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FBFE9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EA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EB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EC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ED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EE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EF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0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1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2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3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4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5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6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7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8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9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A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B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C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D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E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BFFF" w14:textId="7A4153DD" w:rsidR="00C114FF" w:rsidRPr="006414D3" w:rsidRDefault="00D42565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>
        <w:rPr>
          <w:b/>
        </w:rPr>
        <w:t>PŘÍLOHA I</w:t>
      </w:r>
    </w:p>
    <w:p w14:paraId="36AFC000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01" w14:textId="77777777" w:rsidR="00C114FF" w:rsidRPr="006414D3" w:rsidRDefault="00D42565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>
        <w:rPr>
          <w:b/>
        </w:rPr>
        <w:t>SOUHRN ÚDAJŮ O PŘÍPRAVKU</w:t>
      </w:r>
    </w:p>
    <w:p w14:paraId="36AFC002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br w:type="page"/>
      </w:r>
      <w:r>
        <w:rPr>
          <w:b/>
        </w:rPr>
        <w:lastRenderedPageBreak/>
        <w:t>1.</w:t>
      </w:r>
      <w:r>
        <w:rPr>
          <w:b/>
        </w:rPr>
        <w:tab/>
        <w:t>NÁZEV VETERINÁRNÍHO LÉČIVÉHO PŘÍPRAVKU</w:t>
      </w:r>
    </w:p>
    <w:p w14:paraId="36AFC003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B7B1A5" w14:textId="37D22745" w:rsidR="000E5B92" w:rsidRPr="006414D3" w:rsidRDefault="00074480" w:rsidP="00074480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rPr>
          <w:rStyle w:val="ui-provider"/>
        </w:rPr>
        <w:t>Purmazole</w:t>
      </w:r>
      <w:proofErr w:type="spellEnd"/>
      <w:r>
        <w:rPr>
          <w:rStyle w:val="ui-provider"/>
        </w:rPr>
        <w:t xml:space="preserve"> 5 mg/ml perorální roztok pro kočky</w:t>
      </w:r>
    </w:p>
    <w:p w14:paraId="36AFC005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07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2.</w:t>
      </w:r>
      <w:r>
        <w:rPr>
          <w:b/>
        </w:rPr>
        <w:tab/>
        <w:t>KVALITATIVNÍ A KVANTITATIVNÍ SLOŽENÍ</w:t>
      </w:r>
    </w:p>
    <w:p w14:paraId="36AFC008" w14:textId="6CCB90CD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70EF3A" w14:textId="14396400" w:rsidR="00074480" w:rsidRDefault="00F10372" w:rsidP="00074480">
      <w:pPr>
        <w:tabs>
          <w:tab w:val="clear" w:pos="567"/>
        </w:tabs>
        <w:spacing w:line="240" w:lineRule="auto"/>
        <w:rPr>
          <w:bCs/>
          <w:szCs w:val="22"/>
        </w:rPr>
      </w:pPr>
      <w:r>
        <w:t xml:space="preserve">Každý </w:t>
      </w:r>
      <w:r w:rsidR="00074480">
        <w:t>ml obsahuje:</w:t>
      </w:r>
    </w:p>
    <w:p w14:paraId="6E963140" w14:textId="77777777" w:rsidR="00074480" w:rsidRPr="004B39C9" w:rsidRDefault="00074480" w:rsidP="00074480">
      <w:pPr>
        <w:tabs>
          <w:tab w:val="clear" w:pos="567"/>
        </w:tabs>
        <w:spacing w:line="240" w:lineRule="auto"/>
        <w:rPr>
          <w:bCs/>
          <w:szCs w:val="22"/>
        </w:rPr>
      </w:pPr>
    </w:p>
    <w:p w14:paraId="12EC5266" w14:textId="77777777" w:rsidR="00074480" w:rsidRDefault="00074480" w:rsidP="00074480">
      <w:pPr>
        <w:tabs>
          <w:tab w:val="clear" w:pos="567"/>
        </w:tabs>
        <w:spacing w:line="240" w:lineRule="auto"/>
        <w:rPr>
          <w:b/>
          <w:szCs w:val="22"/>
        </w:rPr>
      </w:pPr>
      <w:r>
        <w:rPr>
          <w:b/>
        </w:rPr>
        <w:t>Léčivé látky:</w:t>
      </w:r>
    </w:p>
    <w:p w14:paraId="0F21C722" w14:textId="05517DB4" w:rsidR="00074480" w:rsidRDefault="00074480" w:rsidP="00074480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>
        <w:t>Thiamazol</w:t>
      </w:r>
      <w:r w:rsidR="00855BF3">
        <w:t>um</w:t>
      </w:r>
      <w:proofErr w:type="spellEnd"/>
      <w:r>
        <w:t xml:space="preserve">             5 mg</w:t>
      </w:r>
    </w:p>
    <w:p w14:paraId="1DE1200C" w14:textId="77777777" w:rsidR="00074480" w:rsidRPr="006414D3" w:rsidRDefault="00074480" w:rsidP="00074480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09724C7" w14:textId="77777777" w:rsidR="00074480" w:rsidRDefault="00074480" w:rsidP="00074480">
      <w:pPr>
        <w:tabs>
          <w:tab w:val="clear" w:pos="567"/>
        </w:tabs>
        <w:spacing w:line="240" w:lineRule="auto"/>
        <w:rPr>
          <w:b/>
          <w:szCs w:val="22"/>
        </w:rPr>
      </w:pPr>
      <w:r>
        <w:rPr>
          <w:b/>
        </w:rPr>
        <w:t>Pomocné látky:</w:t>
      </w:r>
    </w:p>
    <w:p w14:paraId="216ADDE1" w14:textId="77777777" w:rsidR="00074480" w:rsidRDefault="00074480" w:rsidP="00074480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5"/>
        <w:gridCol w:w="5103"/>
      </w:tblGrid>
      <w:tr w:rsidR="00074480" w14:paraId="74BBECC2" w14:textId="77777777" w:rsidTr="000B72D3">
        <w:trPr>
          <w:trHeight w:hRule="exact" w:val="867"/>
        </w:trPr>
        <w:tc>
          <w:tcPr>
            <w:tcW w:w="4395" w:type="dxa"/>
          </w:tcPr>
          <w:p w14:paraId="1BCED6AF" w14:textId="77777777" w:rsidR="00074480" w:rsidRPr="00B97F1E" w:rsidRDefault="00074480" w:rsidP="000B72D3">
            <w:pPr>
              <w:pStyle w:val="TableParagraph"/>
              <w:spacing w:before="0" w:line="260" w:lineRule="exact"/>
              <w:ind w:right="17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Kvalitativní složení pomocných látek a dalších složek</w:t>
            </w:r>
          </w:p>
        </w:tc>
        <w:tc>
          <w:tcPr>
            <w:tcW w:w="5103" w:type="dxa"/>
          </w:tcPr>
          <w:p w14:paraId="690EB829" w14:textId="77777777" w:rsidR="00074480" w:rsidRPr="00B97F1E" w:rsidRDefault="00074480" w:rsidP="000B72D3">
            <w:pPr>
              <w:pStyle w:val="TableParagraph"/>
              <w:spacing w:before="0" w:line="260" w:lineRule="exact"/>
              <w:ind w:right="27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Kvantitativní složení, pokud je tato informace nezbytná pro řádné podání veterinárního léčivého přípravku</w:t>
            </w:r>
          </w:p>
        </w:tc>
      </w:tr>
      <w:tr w:rsidR="00074480" w14:paraId="743368E2" w14:textId="77777777" w:rsidTr="000B72D3">
        <w:trPr>
          <w:trHeight w:hRule="exact" w:val="283"/>
        </w:trPr>
        <w:tc>
          <w:tcPr>
            <w:tcW w:w="4395" w:type="dxa"/>
          </w:tcPr>
          <w:p w14:paraId="6876D5F2" w14:textId="2F84AA39" w:rsidR="00074480" w:rsidRPr="00B97F1E" w:rsidRDefault="00855BF3" w:rsidP="000B72D3">
            <w:pPr>
              <w:pStyle w:val="TableParagraph"/>
              <w:spacing w:before="0" w:line="260" w:lineRule="exact"/>
              <w:ind w:right="17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</w:rPr>
              <w:t>Natrium-b</w:t>
            </w:r>
            <w:r w:rsidR="00074480">
              <w:rPr>
                <w:rFonts w:ascii="Times New Roman" w:hAnsi="Times New Roman"/>
              </w:rPr>
              <w:t>enzo</w:t>
            </w:r>
            <w:r>
              <w:rPr>
                <w:rFonts w:ascii="Times New Roman" w:hAnsi="Times New Roman"/>
              </w:rPr>
              <w:t>át</w:t>
            </w:r>
            <w:r w:rsidR="00074480">
              <w:rPr>
                <w:rFonts w:ascii="Times New Roman" w:hAnsi="Times New Roman"/>
              </w:rPr>
              <w:t xml:space="preserve"> (E211)</w:t>
            </w:r>
          </w:p>
        </w:tc>
        <w:tc>
          <w:tcPr>
            <w:tcW w:w="5103" w:type="dxa"/>
          </w:tcPr>
          <w:p w14:paraId="31FA8E57" w14:textId="77777777" w:rsidR="00074480" w:rsidRPr="006322D5" w:rsidRDefault="00074480" w:rsidP="000B72D3">
            <w:pPr>
              <w:pStyle w:val="TableParagraph"/>
              <w:spacing w:before="0" w:line="260" w:lineRule="exact"/>
              <w:ind w:right="2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1,5 mg</w:t>
            </w:r>
          </w:p>
        </w:tc>
      </w:tr>
      <w:tr w:rsidR="00074480" w14:paraId="6A274DF5" w14:textId="77777777" w:rsidTr="000B72D3">
        <w:trPr>
          <w:trHeight w:hRule="exact" w:val="390"/>
        </w:trPr>
        <w:tc>
          <w:tcPr>
            <w:tcW w:w="4395" w:type="dxa"/>
          </w:tcPr>
          <w:p w14:paraId="734B98AA" w14:textId="77777777" w:rsidR="00074480" w:rsidRPr="00C5754E" w:rsidRDefault="00074480" w:rsidP="000B72D3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Hypromelosa</w:t>
            </w:r>
            <w:proofErr w:type="spellEnd"/>
          </w:p>
        </w:tc>
        <w:tc>
          <w:tcPr>
            <w:tcW w:w="5103" w:type="dxa"/>
          </w:tcPr>
          <w:p w14:paraId="362CA79F" w14:textId="77777777" w:rsidR="00074480" w:rsidRPr="006322D5" w:rsidRDefault="00074480" w:rsidP="000B72D3">
            <w:pPr>
              <w:pStyle w:val="TableParagraph"/>
              <w:ind w:right="19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074480" w14:paraId="10C3C9D2" w14:textId="77777777" w:rsidTr="000B72D3">
        <w:trPr>
          <w:trHeight w:hRule="exact" w:val="390"/>
        </w:trPr>
        <w:tc>
          <w:tcPr>
            <w:tcW w:w="4395" w:type="dxa"/>
          </w:tcPr>
          <w:p w14:paraId="00E6AFFC" w14:textId="1AB837CE" w:rsidR="00074480" w:rsidRPr="00C5754E" w:rsidRDefault="00074480" w:rsidP="000B72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Povidon K</w:t>
            </w:r>
            <w:r w:rsidR="00855BF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5103" w:type="dxa"/>
          </w:tcPr>
          <w:p w14:paraId="2CFA1351" w14:textId="77777777" w:rsidR="00074480" w:rsidRPr="006322D5" w:rsidRDefault="00074480" w:rsidP="000B72D3">
            <w:pPr>
              <w:pStyle w:val="TableParagraph"/>
              <w:ind w:right="19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074480" w14:paraId="1B5FB789" w14:textId="77777777" w:rsidTr="000B72D3">
        <w:trPr>
          <w:trHeight w:hRule="exact" w:val="390"/>
        </w:trPr>
        <w:tc>
          <w:tcPr>
            <w:tcW w:w="4395" w:type="dxa"/>
          </w:tcPr>
          <w:p w14:paraId="42222F87" w14:textId="0BBDB44E" w:rsidR="00074480" w:rsidRPr="00C5754E" w:rsidRDefault="00074480" w:rsidP="000B72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Glycerol</w:t>
            </w:r>
          </w:p>
        </w:tc>
        <w:tc>
          <w:tcPr>
            <w:tcW w:w="5103" w:type="dxa"/>
          </w:tcPr>
          <w:p w14:paraId="34863303" w14:textId="77777777" w:rsidR="00074480" w:rsidRPr="006322D5" w:rsidRDefault="00074480" w:rsidP="000B72D3">
            <w:pPr>
              <w:pStyle w:val="TableParagraph"/>
              <w:ind w:right="19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074480" w14:paraId="2FCD9267" w14:textId="77777777" w:rsidTr="000B72D3">
        <w:trPr>
          <w:trHeight w:hRule="exact" w:val="390"/>
        </w:trPr>
        <w:tc>
          <w:tcPr>
            <w:tcW w:w="4395" w:type="dxa"/>
          </w:tcPr>
          <w:p w14:paraId="4210B426" w14:textId="21F25ADC" w:rsidR="00074480" w:rsidRPr="00C5754E" w:rsidRDefault="00074480" w:rsidP="00655AFE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Dihydrát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hydrogenfosforečnanu</w:t>
            </w:r>
            <w:proofErr w:type="spellEnd"/>
            <w:r>
              <w:rPr>
                <w:rFonts w:ascii="Times New Roman" w:hAnsi="Times New Roman"/>
              </w:rPr>
              <w:t xml:space="preserve"> sodného</w:t>
            </w:r>
          </w:p>
        </w:tc>
        <w:tc>
          <w:tcPr>
            <w:tcW w:w="5103" w:type="dxa"/>
          </w:tcPr>
          <w:p w14:paraId="15DBE42F" w14:textId="77777777" w:rsidR="00074480" w:rsidRPr="006322D5" w:rsidRDefault="00074480" w:rsidP="000B72D3">
            <w:pPr>
              <w:pStyle w:val="TableParagraph"/>
              <w:ind w:right="19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074480" w14:paraId="3F4DA006" w14:textId="77777777" w:rsidTr="000B72D3">
        <w:trPr>
          <w:trHeight w:hRule="exact" w:val="390"/>
        </w:trPr>
        <w:tc>
          <w:tcPr>
            <w:tcW w:w="4395" w:type="dxa"/>
          </w:tcPr>
          <w:p w14:paraId="7C763D26" w14:textId="69946EEE" w:rsidR="00074480" w:rsidRPr="00C5754E" w:rsidRDefault="00074480" w:rsidP="000B72D3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Dihydrát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dihydrogenfosforečnanu</w:t>
            </w:r>
            <w:proofErr w:type="spellEnd"/>
            <w:r>
              <w:rPr>
                <w:rFonts w:ascii="Times New Roman" w:hAnsi="Times New Roman"/>
              </w:rPr>
              <w:t xml:space="preserve"> sodného </w:t>
            </w:r>
          </w:p>
        </w:tc>
        <w:tc>
          <w:tcPr>
            <w:tcW w:w="5103" w:type="dxa"/>
          </w:tcPr>
          <w:p w14:paraId="5F14E2CC" w14:textId="77777777" w:rsidR="00074480" w:rsidRPr="006322D5" w:rsidRDefault="00074480" w:rsidP="000B72D3">
            <w:pPr>
              <w:pStyle w:val="TableParagraph"/>
              <w:ind w:right="19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074480" w14:paraId="6A5CB7E8" w14:textId="77777777" w:rsidTr="000B72D3">
        <w:trPr>
          <w:trHeight w:hRule="exact" w:val="390"/>
        </w:trPr>
        <w:tc>
          <w:tcPr>
            <w:tcW w:w="4395" w:type="dxa"/>
          </w:tcPr>
          <w:p w14:paraId="2000DFF2" w14:textId="0D60E66F" w:rsidR="00074480" w:rsidRPr="00C5754E" w:rsidRDefault="00074480" w:rsidP="000B72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Kyselina citronová </w:t>
            </w:r>
          </w:p>
        </w:tc>
        <w:tc>
          <w:tcPr>
            <w:tcW w:w="5103" w:type="dxa"/>
          </w:tcPr>
          <w:p w14:paraId="5C9C119E" w14:textId="77777777" w:rsidR="00074480" w:rsidRPr="006322D5" w:rsidRDefault="00074480" w:rsidP="000B72D3">
            <w:pPr>
              <w:pStyle w:val="TableParagraph"/>
              <w:ind w:right="19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074480" w14:paraId="62AEC2BA" w14:textId="77777777" w:rsidTr="000B72D3">
        <w:trPr>
          <w:trHeight w:hRule="exact" w:val="390"/>
        </w:trPr>
        <w:tc>
          <w:tcPr>
            <w:tcW w:w="4395" w:type="dxa"/>
          </w:tcPr>
          <w:p w14:paraId="02083380" w14:textId="77E34F26" w:rsidR="00074480" w:rsidRPr="00C5754E" w:rsidRDefault="00074480" w:rsidP="000B72D3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Simetikonová</w:t>
            </w:r>
            <w:proofErr w:type="spellEnd"/>
            <w:r>
              <w:rPr>
                <w:rFonts w:ascii="Times New Roman" w:hAnsi="Times New Roman"/>
              </w:rPr>
              <w:t xml:space="preserve"> emulze</w:t>
            </w:r>
          </w:p>
        </w:tc>
        <w:tc>
          <w:tcPr>
            <w:tcW w:w="5103" w:type="dxa"/>
          </w:tcPr>
          <w:p w14:paraId="0FAC5E6A" w14:textId="77777777" w:rsidR="00074480" w:rsidRPr="006322D5" w:rsidRDefault="00074480" w:rsidP="000B72D3">
            <w:pPr>
              <w:pStyle w:val="TableParagraph"/>
              <w:ind w:right="19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074480" w14:paraId="6E6CF634" w14:textId="77777777" w:rsidTr="000B72D3">
        <w:trPr>
          <w:trHeight w:hRule="exact" w:val="390"/>
        </w:trPr>
        <w:tc>
          <w:tcPr>
            <w:tcW w:w="4395" w:type="dxa"/>
          </w:tcPr>
          <w:p w14:paraId="65714F95" w14:textId="0F831D1C" w:rsidR="00074480" w:rsidRPr="00C5754E" w:rsidRDefault="00855BF3" w:rsidP="000B72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Tekuté m</w:t>
            </w:r>
            <w:r w:rsidR="00074480">
              <w:rPr>
                <w:rFonts w:ascii="Times New Roman" w:hAnsi="Times New Roman"/>
              </w:rPr>
              <w:t>edové aroma</w:t>
            </w:r>
          </w:p>
        </w:tc>
        <w:tc>
          <w:tcPr>
            <w:tcW w:w="5103" w:type="dxa"/>
          </w:tcPr>
          <w:p w14:paraId="4706E431" w14:textId="77777777" w:rsidR="00074480" w:rsidRPr="006322D5" w:rsidRDefault="00074480" w:rsidP="000B72D3">
            <w:pPr>
              <w:pStyle w:val="TableParagraph"/>
              <w:ind w:right="19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074480" w14:paraId="4E75AF1F" w14:textId="77777777" w:rsidTr="000B72D3">
        <w:trPr>
          <w:trHeight w:hRule="exact" w:val="390"/>
        </w:trPr>
        <w:tc>
          <w:tcPr>
            <w:tcW w:w="4395" w:type="dxa"/>
          </w:tcPr>
          <w:p w14:paraId="5FA0DD20" w14:textId="71BD89F1" w:rsidR="00074480" w:rsidRPr="00C5754E" w:rsidRDefault="00074480" w:rsidP="000B72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Čištěná voda</w:t>
            </w:r>
          </w:p>
        </w:tc>
        <w:tc>
          <w:tcPr>
            <w:tcW w:w="5103" w:type="dxa"/>
          </w:tcPr>
          <w:p w14:paraId="395008FD" w14:textId="77777777" w:rsidR="00074480" w:rsidRDefault="00074480" w:rsidP="000B72D3">
            <w:pPr>
              <w:pStyle w:val="TableParagraph"/>
              <w:ind w:right="1970"/>
              <w:rPr>
                <w:rFonts w:ascii="Times New Roman" w:hAnsi="Times New Roman" w:cs="Times New Roman"/>
              </w:rPr>
            </w:pPr>
          </w:p>
        </w:tc>
      </w:tr>
    </w:tbl>
    <w:p w14:paraId="652E10E4" w14:textId="77777777" w:rsidR="00074480" w:rsidRPr="006414D3" w:rsidRDefault="00074480" w:rsidP="00074480">
      <w:pPr>
        <w:tabs>
          <w:tab w:val="clear" w:pos="567"/>
        </w:tabs>
        <w:spacing w:line="240" w:lineRule="auto"/>
        <w:rPr>
          <w:szCs w:val="22"/>
        </w:rPr>
      </w:pPr>
    </w:p>
    <w:p w14:paraId="334AD92A" w14:textId="46E9D583" w:rsidR="00074480" w:rsidRPr="007A2D44" w:rsidRDefault="00050AD2" w:rsidP="00074480">
      <w:pPr>
        <w:tabs>
          <w:tab w:val="clear" w:pos="567"/>
        </w:tabs>
        <w:spacing w:line="240" w:lineRule="auto"/>
        <w:rPr>
          <w:sz w:val="24"/>
          <w:szCs w:val="22"/>
        </w:rPr>
      </w:pPr>
      <w:bookmarkStart w:id="0" w:name="_Hlk219839568"/>
      <w:r w:rsidRPr="007A2D44">
        <w:t xml:space="preserve">Bezbarvý až světle žlutý neprůhledný roztok. </w:t>
      </w:r>
      <w:bookmarkEnd w:id="0"/>
    </w:p>
    <w:p w14:paraId="36AFC022" w14:textId="7EF1C3E3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F4D706" w14:textId="77777777" w:rsidR="00074480" w:rsidRPr="006414D3" w:rsidRDefault="0007448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23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3.</w:t>
      </w:r>
      <w:r>
        <w:rPr>
          <w:b/>
        </w:rPr>
        <w:tab/>
        <w:t>KLINICKÉ INFORMACE</w:t>
      </w:r>
    </w:p>
    <w:p w14:paraId="36AFC024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25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</w:rPr>
      </w:pPr>
      <w:r>
        <w:rPr>
          <w:b/>
        </w:rPr>
        <w:t>3.1</w:t>
      </w:r>
      <w:r>
        <w:rPr>
          <w:b/>
        </w:rPr>
        <w:tab/>
        <w:t>Cílové druhy zvířat</w:t>
      </w:r>
    </w:p>
    <w:p w14:paraId="242A2AEC" w14:textId="77777777" w:rsidR="00074480" w:rsidRDefault="00074480" w:rsidP="00074480">
      <w:pPr>
        <w:tabs>
          <w:tab w:val="clear" w:pos="567"/>
          <w:tab w:val="left" w:pos="0"/>
        </w:tabs>
        <w:spacing w:line="240" w:lineRule="auto"/>
        <w:ind w:left="567" w:hanging="567"/>
        <w:rPr>
          <w:bCs/>
          <w:szCs w:val="22"/>
        </w:rPr>
      </w:pPr>
    </w:p>
    <w:p w14:paraId="20906CF3" w14:textId="2E4EE815" w:rsidR="00074480" w:rsidRPr="00383A34" w:rsidRDefault="00074480" w:rsidP="00074480">
      <w:pPr>
        <w:tabs>
          <w:tab w:val="clear" w:pos="567"/>
          <w:tab w:val="left" w:pos="0"/>
        </w:tabs>
        <w:spacing w:line="240" w:lineRule="auto"/>
        <w:ind w:left="567" w:hanging="567"/>
        <w:rPr>
          <w:bCs/>
          <w:szCs w:val="22"/>
        </w:rPr>
      </w:pPr>
      <w:r>
        <w:t>Kočky.</w:t>
      </w:r>
    </w:p>
    <w:p w14:paraId="36AFC026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27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3.2</w:t>
      </w:r>
      <w:r>
        <w:rPr>
          <w:b/>
        </w:rPr>
        <w:tab/>
        <w:t>Indikace pro použití pro každý cílový druh zvířat</w:t>
      </w:r>
    </w:p>
    <w:p w14:paraId="36AFC028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08944AE" w14:textId="77777777" w:rsidR="00074480" w:rsidRDefault="00074480" w:rsidP="00074480">
      <w:pPr>
        <w:tabs>
          <w:tab w:val="clear" w:pos="567"/>
        </w:tabs>
        <w:spacing w:line="240" w:lineRule="auto"/>
        <w:rPr>
          <w:szCs w:val="22"/>
        </w:rPr>
      </w:pPr>
      <w:r>
        <w:t xml:space="preserve">Ke stabilizaci hypertyreózy před chirurgickou </w:t>
      </w:r>
      <w:proofErr w:type="spellStart"/>
      <w:r>
        <w:t>tyreoidektomií</w:t>
      </w:r>
      <w:proofErr w:type="spellEnd"/>
      <w:r>
        <w:t xml:space="preserve">. </w:t>
      </w:r>
    </w:p>
    <w:p w14:paraId="4D1C8447" w14:textId="77777777" w:rsidR="00074480" w:rsidRDefault="00074480" w:rsidP="00074480">
      <w:pPr>
        <w:tabs>
          <w:tab w:val="clear" w:pos="567"/>
        </w:tabs>
        <w:spacing w:line="240" w:lineRule="auto"/>
        <w:rPr>
          <w:szCs w:val="22"/>
        </w:rPr>
      </w:pPr>
      <w:r>
        <w:t>K dlouhodobé léčbě hypertyreózy koček.</w:t>
      </w:r>
    </w:p>
    <w:p w14:paraId="36AFC02C" w14:textId="77777777" w:rsidR="00E86CEE" w:rsidRPr="006414D3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6AFC02D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3.3</w:t>
      </w:r>
      <w:r>
        <w:rPr>
          <w:b/>
        </w:rPr>
        <w:tab/>
        <w:t>Kontraindikace</w:t>
      </w:r>
    </w:p>
    <w:p w14:paraId="36AFC02E" w14:textId="77777777" w:rsidR="00C114FF" w:rsidRPr="006414D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04F1226" w14:textId="26E88668" w:rsidR="007A1C1A" w:rsidRPr="00100F35" w:rsidRDefault="007A1C1A" w:rsidP="007A1C1A">
      <w:pPr>
        <w:tabs>
          <w:tab w:val="clear" w:pos="567"/>
        </w:tabs>
        <w:spacing w:line="240" w:lineRule="auto"/>
        <w:rPr>
          <w:szCs w:val="22"/>
        </w:rPr>
      </w:pPr>
      <w:r>
        <w:t xml:space="preserve">Nepoužívat u koček </w:t>
      </w:r>
      <w:r w:rsidR="002C7F50">
        <w:t xml:space="preserve">se </w:t>
      </w:r>
      <w:r>
        <w:t xml:space="preserve">systémovým onemocněním, jako je primární onemocnění jater nebo diabetes </w:t>
      </w:r>
      <w:proofErr w:type="spellStart"/>
      <w:r>
        <w:t>mellitus</w:t>
      </w:r>
      <w:proofErr w:type="spellEnd"/>
      <w:r>
        <w:t>.</w:t>
      </w:r>
    </w:p>
    <w:p w14:paraId="547818CA" w14:textId="77777777" w:rsidR="007A1C1A" w:rsidRPr="00100F35" w:rsidRDefault="007A1C1A" w:rsidP="007A1C1A">
      <w:pPr>
        <w:tabs>
          <w:tab w:val="clear" w:pos="567"/>
        </w:tabs>
        <w:spacing w:line="240" w:lineRule="auto"/>
        <w:rPr>
          <w:szCs w:val="22"/>
        </w:rPr>
      </w:pPr>
      <w:r>
        <w:t>Nepoužívat u koček vykazujících příznaky autoimunitního onemocnění.</w:t>
      </w:r>
    </w:p>
    <w:p w14:paraId="1E5BE72F" w14:textId="77777777" w:rsidR="007A1C1A" w:rsidRPr="00100F35" w:rsidRDefault="007A1C1A" w:rsidP="007A1C1A">
      <w:pPr>
        <w:tabs>
          <w:tab w:val="clear" w:pos="567"/>
        </w:tabs>
        <w:spacing w:line="240" w:lineRule="auto"/>
        <w:rPr>
          <w:szCs w:val="22"/>
        </w:rPr>
      </w:pPr>
      <w:r>
        <w:t xml:space="preserve">Nepoužívat u zvířat s poruchami bílých krvinek, jako jsou </w:t>
      </w:r>
      <w:proofErr w:type="spellStart"/>
      <w:r>
        <w:t>neutropenie</w:t>
      </w:r>
      <w:proofErr w:type="spellEnd"/>
      <w:r>
        <w:t xml:space="preserve"> a lymfopenie.</w:t>
      </w:r>
    </w:p>
    <w:p w14:paraId="46C0BBD5" w14:textId="77777777" w:rsidR="007A1C1A" w:rsidRPr="00100F35" w:rsidRDefault="007A1C1A" w:rsidP="007A1C1A">
      <w:pPr>
        <w:tabs>
          <w:tab w:val="clear" w:pos="567"/>
        </w:tabs>
        <w:spacing w:line="240" w:lineRule="auto"/>
        <w:rPr>
          <w:szCs w:val="22"/>
        </w:rPr>
      </w:pPr>
      <w:r>
        <w:t xml:space="preserve">Nepoužívat u zvířat s poruchami krevních destiček a </w:t>
      </w:r>
      <w:proofErr w:type="spellStart"/>
      <w:r>
        <w:t>koagulopatiemi</w:t>
      </w:r>
      <w:proofErr w:type="spellEnd"/>
      <w:r>
        <w:t xml:space="preserve"> (zejména trombocytopenií).</w:t>
      </w:r>
    </w:p>
    <w:p w14:paraId="6AF2B856" w14:textId="77777777" w:rsidR="007A1C1A" w:rsidRPr="00100F35" w:rsidRDefault="007A1C1A" w:rsidP="007A1C1A">
      <w:pPr>
        <w:tabs>
          <w:tab w:val="clear" w:pos="567"/>
        </w:tabs>
        <w:spacing w:line="240" w:lineRule="auto"/>
        <w:rPr>
          <w:szCs w:val="22"/>
        </w:rPr>
      </w:pPr>
      <w:r>
        <w:t>Nepoužívat u březích nebo laktujících samic. Viz bod 3.7.</w:t>
      </w:r>
    </w:p>
    <w:p w14:paraId="7C96B2E6" w14:textId="77777777" w:rsidR="007A1C1A" w:rsidRPr="00100F35" w:rsidRDefault="007A1C1A" w:rsidP="007A1C1A">
      <w:pPr>
        <w:tabs>
          <w:tab w:val="clear" w:pos="567"/>
        </w:tabs>
        <w:spacing w:line="240" w:lineRule="auto"/>
        <w:rPr>
          <w:szCs w:val="22"/>
        </w:rPr>
      </w:pPr>
      <w:r>
        <w:t>Nepoužívat v případech přecitlivělosti na léčivou látku nebo na některou z pomocných látek.</w:t>
      </w:r>
    </w:p>
    <w:p w14:paraId="24689A67" w14:textId="05AC1600" w:rsidR="00CA7F90" w:rsidRPr="006414D3" w:rsidRDefault="00CA7F9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33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</w:rPr>
      </w:pPr>
      <w:r>
        <w:rPr>
          <w:b/>
        </w:rPr>
        <w:t>3.4</w:t>
      </w:r>
      <w:r>
        <w:rPr>
          <w:b/>
        </w:rPr>
        <w:tab/>
        <w:t xml:space="preserve">Zvláštní upozornění </w:t>
      </w:r>
    </w:p>
    <w:p w14:paraId="36AFC034" w14:textId="77777777" w:rsidR="00C114FF" w:rsidRPr="006414D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23D2EC5" w14:textId="5BF82B72" w:rsidR="007A1C1A" w:rsidRPr="006414D3" w:rsidRDefault="007A1C1A" w:rsidP="007A1C1A">
      <w:pPr>
        <w:tabs>
          <w:tab w:val="clear" w:pos="567"/>
        </w:tabs>
        <w:spacing w:line="240" w:lineRule="auto"/>
        <w:rPr>
          <w:szCs w:val="22"/>
        </w:rPr>
      </w:pPr>
      <w:r>
        <w:t>Pro zlepšení stabilizace pacienta s hypertyreózou je třeba každý den dodržovat stejný režim krmení a dávkování.</w:t>
      </w:r>
    </w:p>
    <w:p w14:paraId="36AFC038" w14:textId="77777777" w:rsidR="00E86CEE" w:rsidRPr="006414D3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6AFC039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3.5</w:t>
      </w:r>
      <w:r>
        <w:rPr>
          <w:b/>
        </w:rPr>
        <w:tab/>
        <w:t>Zvláštní opatření pro použití</w:t>
      </w:r>
    </w:p>
    <w:p w14:paraId="36AFC03A" w14:textId="77777777" w:rsidR="00C114FF" w:rsidRPr="006414D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6AFC03B" w14:textId="77777777" w:rsidR="00C114FF" w:rsidRPr="006414D3" w:rsidRDefault="00D42565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>
        <w:rPr>
          <w:u w:val="single"/>
        </w:rPr>
        <w:t>Zvláštní opatření pro bezpečné použití u cílových druhů zvířat:</w:t>
      </w:r>
    </w:p>
    <w:p w14:paraId="36AFC03C" w14:textId="77777777" w:rsidR="00C114FF" w:rsidRPr="006414D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9377F6D" w14:textId="5E5A5A51" w:rsidR="007A1C1A" w:rsidRDefault="007A1C1A" w:rsidP="00235D0F">
      <w:pPr>
        <w:pStyle w:val="Odstavecseseznamem"/>
        <w:numPr>
          <w:ilvl w:val="0"/>
          <w:numId w:val="13"/>
        </w:numPr>
        <w:tabs>
          <w:tab w:val="left" w:pos="477"/>
          <w:tab w:val="left" w:pos="478"/>
        </w:tabs>
        <w:ind w:left="360" w:right="276"/>
        <w:jc w:val="both"/>
      </w:pPr>
      <w:r>
        <w:t xml:space="preserve">Pokud je zapotřebí více než 10 mg </w:t>
      </w:r>
      <w:proofErr w:type="spellStart"/>
      <w:r>
        <w:t>thiamazolu</w:t>
      </w:r>
      <w:proofErr w:type="spellEnd"/>
      <w:r>
        <w:t xml:space="preserve"> denně (2 ml veterinárního léčivého přípravku), je třeba zvířata sledovat zvláště pečlivě.</w:t>
      </w:r>
    </w:p>
    <w:p w14:paraId="23EFB703" w14:textId="77777777" w:rsidR="00A073BF" w:rsidRPr="00D24AF8" w:rsidRDefault="00A073BF" w:rsidP="00235D0F">
      <w:pPr>
        <w:tabs>
          <w:tab w:val="left" w:pos="477"/>
          <w:tab w:val="left" w:pos="478"/>
        </w:tabs>
        <w:ind w:left="360" w:right="276"/>
        <w:jc w:val="both"/>
      </w:pPr>
    </w:p>
    <w:p w14:paraId="61207EA5" w14:textId="58E08595" w:rsidR="007A1C1A" w:rsidRDefault="007A1C1A" w:rsidP="00AB0D18">
      <w:pPr>
        <w:pStyle w:val="Odstavecseseznamem"/>
        <w:numPr>
          <w:ilvl w:val="0"/>
          <w:numId w:val="13"/>
        </w:numPr>
        <w:tabs>
          <w:tab w:val="left" w:pos="477"/>
          <w:tab w:val="left" w:pos="478"/>
        </w:tabs>
        <w:ind w:left="360" w:right="422"/>
        <w:jc w:val="both"/>
      </w:pPr>
      <w:r>
        <w:t xml:space="preserve">Použití veterinárního léčivého přípravku u koček s poruchou funkce ledvin </w:t>
      </w:r>
      <w:r w:rsidR="00864FD0">
        <w:t>by mělo</w:t>
      </w:r>
      <w:r>
        <w:t xml:space="preserve"> podléhat pečlivému posouzení </w:t>
      </w:r>
      <w:r w:rsidR="00864FD0">
        <w:t>terapeutického prospěchu</w:t>
      </w:r>
      <w:r>
        <w:t xml:space="preserve"> a rizik</w:t>
      </w:r>
      <w:r w:rsidR="00864FD0">
        <w:t>a</w:t>
      </w:r>
      <w:r>
        <w:t xml:space="preserve"> příslušným veterinárním lékařem. Vzhledem k tomu, že </w:t>
      </w:r>
      <w:proofErr w:type="spellStart"/>
      <w:r>
        <w:t>thiamazol</w:t>
      </w:r>
      <w:proofErr w:type="spellEnd"/>
      <w:r>
        <w:t xml:space="preserve"> může snižovat rychlost glomerulární filtrace, je třeba pečlivě sledovat vliv léčby na funkci ledvin, protože může dojít ke zhoršení základního onemocnění.</w:t>
      </w:r>
    </w:p>
    <w:p w14:paraId="21D17A3A" w14:textId="77777777" w:rsidR="00A073BF" w:rsidRPr="00D24AF8" w:rsidRDefault="00A073BF" w:rsidP="00AB0D18">
      <w:pPr>
        <w:tabs>
          <w:tab w:val="left" w:pos="477"/>
          <w:tab w:val="left" w:pos="478"/>
        </w:tabs>
        <w:ind w:left="360" w:right="422"/>
        <w:jc w:val="both"/>
      </w:pPr>
    </w:p>
    <w:p w14:paraId="36A75822" w14:textId="77777777" w:rsidR="007A1C1A" w:rsidRPr="00D24AF8" w:rsidRDefault="007A1C1A" w:rsidP="00AB0D18">
      <w:pPr>
        <w:pStyle w:val="Odstavecseseznamem"/>
        <w:numPr>
          <w:ilvl w:val="0"/>
          <w:numId w:val="13"/>
        </w:numPr>
        <w:tabs>
          <w:tab w:val="left" w:pos="477"/>
          <w:tab w:val="left" w:pos="478"/>
        </w:tabs>
        <w:ind w:left="360"/>
        <w:jc w:val="both"/>
      </w:pPr>
      <w:r>
        <w:t>Vzhledem k riziku leukopenie nebo hemolytické anémie je nutné sledovat hematologické parametry.</w:t>
      </w:r>
    </w:p>
    <w:p w14:paraId="4CECE22C" w14:textId="3871803E" w:rsidR="007A1C1A" w:rsidRPr="00D24AF8" w:rsidRDefault="007A1C1A" w:rsidP="00AB0D18">
      <w:pPr>
        <w:pStyle w:val="Odstavecseseznamem"/>
        <w:numPr>
          <w:ilvl w:val="0"/>
          <w:numId w:val="13"/>
        </w:numPr>
        <w:tabs>
          <w:tab w:val="left" w:pos="477"/>
          <w:tab w:val="left" w:pos="478"/>
        </w:tabs>
        <w:ind w:left="360" w:right="449"/>
        <w:jc w:val="both"/>
      </w:pPr>
      <w:r>
        <w:t xml:space="preserve">U každého zvířete, u kterého se během léčby náhle objeví známky onemocnění, zejména pokud má horečku, </w:t>
      </w:r>
      <w:r w:rsidR="00864FD0">
        <w:t>by měl</w:t>
      </w:r>
      <w:r>
        <w:t xml:space="preserve"> být odebrán vzorek krve k rutinnímu hematologickému a biochemickému vyšetření.</w:t>
      </w:r>
    </w:p>
    <w:p w14:paraId="36AD9950" w14:textId="57635DBC" w:rsidR="007A1C1A" w:rsidRDefault="007A1C1A" w:rsidP="00AB0D18">
      <w:pPr>
        <w:pStyle w:val="Odstavecseseznamem"/>
        <w:numPr>
          <w:ilvl w:val="0"/>
          <w:numId w:val="13"/>
        </w:numPr>
        <w:tabs>
          <w:tab w:val="left" w:pos="477"/>
          <w:tab w:val="left" w:pos="478"/>
        </w:tabs>
        <w:ind w:left="360" w:right="567"/>
        <w:jc w:val="both"/>
      </w:pPr>
      <w:proofErr w:type="spellStart"/>
      <w:r>
        <w:t>Neutropenická</w:t>
      </w:r>
      <w:proofErr w:type="spellEnd"/>
      <w:r>
        <w:t xml:space="preserve"> zvířata (počet </w:t>
      </w:r>
      <w:proofErr w:type="spellStart"/>
      <w:r>
        <w:t>neutrofilů</w:t>
      </w:r>
      <w:proofErr w:type="spellEnd"/>
      <w:r>
        <w:t xml:space="preserve"> &lt; 2,5 × 10⁹/l) </w:t>
      </w:r>
      <w:r w:rsidR="00864FD0">
        <w:t xml:space="preserve">by měla </w:t>
      </w:r>
      <w:r>
        <w:t>být léčena profylaktickými baktericidními antibakteriálními léčiv</w:t>
      </w:r>
      <w:r w:rsidR="00864FD0">
        <w:t>y</w:t>
      </w:r>
      <w:r>
        <w:t xml:space="preserve"> a podpůrnou léčbou.</w:t>
      </w:r>
    </w:p>
    <w:p w14:paraId="109369D0" w14:textId="77777777" w:rsidR="00A073BF" w:rsidRPr="00D24AF8" w:rsidRDefault="00A073BF" w:rsidP="00AB0D18">
      <w:pPr>
        <w:tabs>
          <w:tab w:val="left" w:pos="477"/>
          <w:tab w:val="left" w:pos="478"/>
        </w:tabs>
        <w:ind w:left="360" w:right="567"/>
        <w:jc w:val="both"/>
      </w:pPr>
    </w:p>
    <w:p w14:paraId="3CDF580C" w14:textId="77777777" w:rsidR="007A1C1A" w:rsidRPr="00D24AF8" w:rsidRDefault="007A1C1A" w:rsidP="00B20B00">
      <w:pPr>
        <w:pStyle w:val="Odstavecseseznamem"/>
        <w:numPr>
          <w:ilvl w:val="0"/>
          <w:numId w:val="13"/>
        </w:numPr>
        <w:tabs>
          <w:tab w:val="left" w:pos="477"/>
          <w:tab w:val="left" w:pos="478"/>
        </w:tabs>
        <w:ind w:left="360" w:right="368"/>
        <w:jc w:val="both"/>
      </w:pPr>
      <w:r>
        <w:t xml:space="preserve">Vzhledem k tomu, že </w:t>
      </w:r>
      <w:proofErr w:type="spellStart"/>
      <w:r>
        <w:t>thiamazol</w:t>
      </w:r>
      <w:proofErr w:type="spellEnd"/>
      <w:r>
        <w:t xml:space="preserve"> může způsobit </w:t>
      </w:r>
      <w:proofErr w:type="spellStart"/>
      <w:r>
        <w:t>hemokoncentraci</w:t>
      </w:r>
      <w:proofErr w:type="spellEnd"/>
      <w:r>
        <w:t>, musí mít kočky vždy přístup k pitné vodě.</w:t>
      </w:r>
    </w:p>
    <w:p w14:paraId="5F4190DC" w14:textId="77777777" w:rsidR="007A1C1A" w:rsidRPr="00D24AF8" w:rsidRDefault="007A1C1A" w:rsidP="00B20B00">
      <w:pPr>
        <w:pStyle w:val="Odstavecseseznamem"/>
        <w:tabs>
          <w:tab w:val="left" w:pos="477"/>
          <w:tab w:val="left" w:pos="478"/>
        </w:tabs>
        <w:ind w:left="360"/>
        <w:jc w:val="both"/>
      </w:pPr>
      <w:r>
        <w:t>Pokyny ke sledování jsou uvedeny v bodě 3.9.</w:t>
      </w:r>
    </w:p>
    <w:p w14:paraId="36AFC046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47" w14:textId="77777777" w:rsidR="00C114FF" w:rsidRPr="006414D3" w:rsidRDefault="00D42565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>
        <w:rPr>
          <w:u w:val="single"/>
        </w:rPr>
        <w:t>Zvláštní opatření pro osobu, která podává veterinární léčivý přípravek zvířatům:</w:t>
      </w:r>
    </w:p>
    <w:p w14:paraId="36AFC048" w14:textId="77777777" w:rsidR="00C114FF" w:rsidRPr="006414D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D9B50DC" w14:textId="2FE35192" w:rsidR="007A1C1A" w:rsidRPr="00F92109" w:rsidRDefault="007A1C1A" w:rsidP="00B20B00">
      <w:pPr>
        <w:pStyle w:val="Odstavecseseznamem"/>
        <w:numPr>
          <w:ilvl w:val="0"/>
          <w:numId w:val="17"/>
        </w:numPr>
        <w:tabs>
          <w:tab w:val="left" w:pos="477"/>
          <w:tab w:val="left" w:pos="478"/>
        </w:tabs>
        <w:ind w:left="180" w:right="368"/>
        <w:jc w:val="both"/>
      </w:pPr>
      <w:r>
        <w:t xml:space="preserve">Vzhledem k tomu, že </w:t>
      </w:r>
      <w:proofErr w:type="spellStart"/>
      <w:r>
        <w:t>thiamazol</w:t>
      </w:r>
      <w:proofErr w:type="spellEnd"/>
      <w:r>
        <w:t xml:space="preserve"> je</w:t>
      </w:r>
      <w:r w:rsidR="005F5AEA">
        <w:t xml:space="preserve"> u lidí považován za potenciální </w:t>
      </w:r>
      <w:r>
        <w:t xml:space="preserve">teratogen a vylučuje se do mateřského mléka, musí ženy v plodném věku a kojící ženy při podávání veterinárního léčivého přípravku nebo </w:t>
      </w:r>
      <w:r w:rsidR="005F5AEA">
        <w:t xml:space="preserve">nakládání </w:t>
      </w:r>
      <w:r>
        <w:t>s podestýlkou či zvratky léčených koček používat nepropustné rukavice na jedno použití.</w:t>
      </w:r>
    </w:p>
    <w:p w14:paraId="7844BBD3" w14:textId="77777777" w:rsidR="00A073BF" w:rsidRPr="00AD4CDB" w:rsidRDefault="00A073BF" w:rsidP="0074541D">
      <w:pPr>
        <w:tabs>
          <w:tab w:val="left" w:pos="477"/>
          <w:tab w:val="left" w:pos="478"/>
        </w:tabs>
        <w:ind w:left="180" w:right="368"/>
        <w:jc w:val="both"/>
      </w:pPr>
    </w:p>
    <w:p w14:paraId="2A79F0E6" w14:textId="3EBD2A0D" w:rsidR="007A1C1A" w:rsidRPr="00F92109" w:rsidRDefault="007A1C1A" w:rsidP="0074541D">
      <w:pPr>
        <w:pStyle w:val="Odstavecseseznamem"/>
        <w:numPr>
          <w:ilvl w:val="0"/>
          <w:numId w:val="17"/>
        </w:numPr>
        <w:tabs>
          <w:tab w:val="left" w:pos="477"/>
          <w:tab w:val="left" w:pos="478"/>
        </w:tabs>
        <w:ind w:left="180" w:right="368"/>
        <w:jc w:val="both"/>
      </w:pPr>
      <w:r>
        <w:t xml:space="preserve">Pokud jste těhotná, domníváte se, že můžete být těhotná, nebo se snažíte otěhotnět, neměla byste veterinární léčivý přípravek podávat ani </w:t>
      </w:r>
      <w:r w:rsidR="00890494">
        <w:t xml:space="preserve">nakládat </w:t>
      </w:r>
      <w:r>
        <w:t>s podestýlkou či zvratky léčených koček.</w:t>
      </w:r>
    </w:p>
    <w:p w14:paraId="27C786BD" w14:textId="77777777" w:rsidR="00A073BF" w:rsidRPr="00AD4CDB" w:rsidRDefault="00A073BF" w:rsidP="0074541D">
      <w:pPr>
        <w:tabs>
          <w:tab w:val="left" w:pos="477"/>
          <w:tab w:val="left" w:pos="478"/>
        </w:tabs>
        <w:ind w:left="180" w:right="368"/>
        <w:jc w:val="both"/>
      </w:pPr>
    </w:p>
    <w:p w14:paraId="33F45999" w14:textId="7A0310A8" w:rsidR="00890FDA" w:rsidRPr="00F92109" w:rsidRDefault="00890FDA" w:rsidP="0074541D">
      <w:pPr>
        <w:pStyle w:val="Odstavecseseznamem"/>
        <w:numPr>
          <w:ilvl w:val="0"/>
          <w:numId w:val="17"/>
        </w:numPr>
        <w:tabs>
          <w:tab w:val="left" w:pos="477"/>
          <w:tab w:val="left" w:pos="478"/>
        </w:tabs>
        <w:ind w:left="180" w:right="368"/>
        <w:jc w:val="both"/>
      </w:pPr>
      <w:r>
        <w:t xml:space="preserve">Tento veterinární léčivý přípravek může po kontaktu s kůží vyvolat alergické reakce a také podráždění kůže a očí. Zabraňte kontaktu s kůží a očima, včetně přenosu z rukou do očí. Lidé se známou přecitlivělostí (alergií) na </w:t>
      </w:r>
      <w:proofErr w:type="spellStart"/>
      <w:r>
        <w:t>thiamazol</w:t>
      </w:r>
      <w:proofErr w:type="spellEnd"/>
      <w:r>
        <w:t xml:space="preserve"> nebo benzoan sodný by se měli vyhnout kontaktu s</w:t>
      </w:r>
      <w:r w:rsidR="00890494">
        <w:t> </w:t>
      </w:r>
      <w:r>
        <w:t>veterinárním léčivým přípravkem. V případě náhodného kontaktu s kůží a/nebo očima ihned opláchněte zasaženou kůži a/nebo oči čistou tekoucí vodou. Pokud se objeví podráždění a/nebo příznaky alergie, jako např. kožní vyrážka, otok obličeje, rtů nebo očí či potíže s dýcháním, vyhledejte ihned lékařskou pomoc a ukažte příbalovou informaci nebo etiketu praktickému lékaři.</w:t>
      </w:r>
    </w:p>
    <w:p w14:paraId="55BFCF14" w14:textId="77777777" w:rsidR="00A073BF" w:rsidRPr="00AD4CDB" w:rsidRDefault="00A073BF" w:rsidP="0074541D">
      <w:pPr>
        <w:tabs>
          <w:tab w:val="left" w:pos="477"/>
          <w:tab w:val="left" w:pos="478"/>
        </w:tabs>
        <w:ind w:left="180" w:right="368"/>
        <w:jc w:val="both"/>
      </w:pPr>
    </w:p>
    <w:p w14:paraId="34DF455E" w14:textId="38AB89D5" w:rsidR="007A1C1A" w:rsidRPr="00F92109" w:rsidRDefault="007A1C1A" w:rsidP="0074541D">
      <w:pPr>
        <w:pStyle w:val="Odstavecseseznamem"/>
        <w:numPr>
          <w:ilvl w:val="0"/>
          <w:numId w:val="17"/>
        </w:numPr>
        <w:tabs>
          <w:tab w:val="left" w:pos="477"/>
          <w:tab w:val="left" w:pos="478"/>
        </w:tabs>
        <w:ind w:left="180" w:right="368"/>
        <w:jc w:val="both"/>
      </w:pPr>
      <w:proofErr w:type="spellStart"/>
      <w:r>
        <w:t>Thiamazol</w:t>
      </w:r>
      <w:proofErr w:type="spellEnd"/>
      <w:r>
        <w:t xml:space="preserve"> může způsobit gastrointestinální potíže, zvracení, bolest hlavy, horečku, artralgii (bolest kloubů), pruritus (svědění) a </w:t>
      </w:r>
      <w:proofErr w:type="spellStart"/>
      <w:r>
        <w:t>pancytopenii</w:t>
      </w:r>
      <w:proofErr w:type="spellEnd"/>
      <w:r>
        <w:t xml:space="preserve"> (snížení počtu krvinek a krevních destiček). Zabraňte </w:t>
      </w:r>
      <w:r w:rsidR="00242FDC">
        <w:t>požití nebo</w:t>
      </w:r>
      <w:r w:rsidR="00242FDC" w:rsidRPr="00890494">
        <w:t xml:space="preserve"> </w:t>
      </w:r>
      <w:r w:rsidR="00890494">
        <w:t>kontaktu s kůží</w:t>
      </w:r>
      <w:r>
        <w:t xml:space="preserve">, včetně kontaktu kontaminovaných rukou s ústy, zejména u dětí. </w:t>
      </w:r>
    </w:p>
    <w:p w14:paraId="513B6646" w14:textId="77777777" w:rsidR="00A073BF" w:rsidRPr="00AD4CDB" w:rsidRDefault="00A073BF" w:rsidP="0074541D">
      <w:pPr>
        <w:tabs>
          <w:tab w:val="left" w:pos="477"/>
          <w:tab w:val="left" w:pos="478"/>
        </w:tabs>
        <w:ind w:left="180" w:right="368"/>
        <w:jc w:val="both"/>
      </w:pPr>
    </w:p>
    <w:p w14:paraId="74750495" w14:textId="27D38460" w:rsidR="007A1C1A" w:rsidRPr="00F92109" w:rsidRDefault="007A1C1A" w:rsidP="0074541D">
      <w:pPr>
        <w:pStyle w:val="Odstavecseseznamem"/>
        <w:numPr>
          <w:ilvl w:val="0"/>
          <w:numId w:val="17"/>
        </w:numPr>
        <w:tabs>
          <w:tab w:val="left" w:pos="477"/>
          <w:tab w:val="left" w:pos="478"/>
        </w:tabs>
        <w:ind w:left="180" w:right="368"/>
        <w:jc w:val="both"/>
      </w:pPr>
      <w:r>
        <w:t xml:space="preserve">Při nakládání s veterinárním léčivým přípravkem, zvratky nebo použitou podestýlkou </w:t>
      </w:r>
      <w:r w:rsidR="00890494">
        <w:t>ošetřených</w:t>
      </w:r>
      <w:r>
        <w:t xml:space="preserve"> zvířat nejezte, nepijte ani nekuřte.</w:t>
      </w:r>
    </w:p>
    <w:p w14:paraId="713FA664" w14:textId="77777777" w:rsidR="00A073BF" w:rsidRPr="00AD4CDB" w:rsidRDefault="00A073BF" w:rsidP="0074541D">
      <w:pPr>
        <w:tabs>
          <w:tab w:val="left" w:pos="477"/>
          <w:tab w:val="left" w:pos="478"/>
        </w:tabs>
        <w:ind w:left="180" w:right="368"/>
        <w:jc w:val="both"/>
      </w:pPr>
    </w:p>
    <w:p w14:paraId="483DB560" w14:textId="1EE21230" w:rsidR="007A1C1A" w:rsidRPr="00D24AF8" w:rsidRDefault="007A1C1A" w:rsidP="0074541D">
      <w:pPr>
        <w:pStyle w:val="Odstavecseseznamem"/>
        <w:numPr>
          <w:ilvl w:val="0"/>
          <w:numId w:val="17"/>
        </w:numPr>
        <w:tabs>
          <w:tab w:val="left" w:pos="477"/>
          <w:tab w:val="left" w:pos="478"/>
        </w:tabs>
        <w:ind w:left="180" w:right="368"/>
        <w:jc w:val="both"/>
      </w:pPr>
      <w:r>
        <w:t xml:space="preserve">Nenechávejte naplněné </w:t>
      </w:r>
      <w:r w:rsidR="000F6973">
        <w:t xml:space="preserve">aplikátory </w:t>
      </w:r>
      <w:r>
        <w:t xml:space="preserve">bez dozoru. Ihned po naplnění </w:t>
      </w:r>
      <w:r w:rsidR="00473038">
        <w:t xml:space="preserve">aplikátoru </w:t>
      </w:r>
      <w:r>
        <w:t>nasaďte zpět uzávěr. Po podání veterinárního léčivého přípravku otřete veškeré zbytky ze špičky dávkovací</w:t>
      </w:r>
      <w:r w:rsidR="00473038">
        <w:t>ho</w:t>
      </w:r>
      <w:r>
        <w:t xml:space="preserve"> </w:t>
      </w:r>
      <w:r w:rsidR="00473038">
        <w:lastRenderedPageBreak/>
        <w:t xml:space="preserve">aplikátoru </w:t>
      </w:r>
      <w:r>
        <w:t>papírovým kapesníčkem.  Kontaminovaný papírový kapesníček ihned zlikvidujte. Použit</w:t>
      </w:r>
      <w:r w:rsidR="00473038">
        <w:t>ý</w:t>
      </w:r>
      <w:r>
        <w:t xml:space="preserve"> </w:t>
      </w:r>
      <w:r w:rsidR="00473038">
        <w:t xml:space="preserve">aplikátor </w:t>
      </w:r>
      <w:r>
        <w:t>uchovávejte spolu s veterinárním léčivým přípravkem v původní krabičce.</w:t>
      </w:r>
    </w:p>
    <w:p w14:paraId="0263F76D" w14:textId="684033D4" w:rsidR="007A1C1A" w:rsidRPr="00F92109" w:rsidRDefault="007A1C1A" w:rsidP="0074541D">
      <w:pPr>
        <w:pStyle w:val="Odstavecseseznamem"/>
        <w:numPr>
          <w:ilvl w:val="0"/>
          <w:numId w:val="17"/>
        </w:numPr>
        <w:tabs>
          <w:tab w:val="left" w:pos="477"/>
          <w:tab w:val="left" w:pos="478"/>
        </w:tabs>
        <w:ind w:left="180" w:right="368"/>
        <w:jc w:val="both"/>
      </w:pPr>
      <w:r>
        <w:t xml:space="preserve">Po podání přípravku a </w:t>
      </w:r>
      <w:r w:rsidR="00242FDC">
        <w:t xml:space="preserve">nakládání </w:t>
      </w:r>
      <w:r>
        <w:t xml:space="preserve">se zvratky nebo podestýlkou </w:t>
      </w:r>
      <w:r w:rsidR="00242FDC">
        <w:t xml:space="preserve">použitou ošetřenými </w:t>
      </w:r>
      <w:r>
        <w:t>zvířat</w:t>
      </w:r>
      <w:r w:rsidR="00242FDC">
        <w:t>y</w:t>
      </w:r>
      <w:r>
        <w:t xml:space="preserve"> si umyjte ruce vodou a mýdlem. Veškerý rozlitý nebo rozstříknutý přípravek ihned omyjte z kůže. </w:t>
      </w:r>
    </w:p>
    <w:p w14:paraId="24D13B71" w14:textId="77777777" w:rsidR="00A073BF" w:rsidRPr="00D24AF8" w:rsidRDefault="00A073BF" w:rsidP="0074541D">
      <w:pPr>
        <w:tabs>
          <w:tab w:val="left" w:pos="477"/>
          <w:tab w:val="left" w:pos="478"/>
        </w:tabs>
        <w:ind w:left="180" w:right="368"/>
        <w:jc w:val="both"/>
        <w:rPr>
          <w:lang w:val="en-US"/>
        </w:rPr>
      </w:pPr>
    </w:p>
    <w:p w14:paraId="5017B204" w14:textId="77777777" w:rsidR="007A1C1A" w:rsidRPr="00F92109" w:rsidRDefault="007A1C1A" w:rsidP="0074541D">
      <w:pPr>
        <w:pStyle w:val="Odstavecseseznamem"/>
        <w:numPr>
          <w:ilvl w:val="0"/>
          <w:numId w:val="17"/>
        </w:numPr>
        <w:tabs>
          <w:tab w:val="left" w:pos="477"/>
          <w:tab w:val="left" w:pos="478"/>
        </w:tabs>
        <w:ind w:left="180" w:right="368"/>
        <w:jc w:val="both"/>
      </w:pPr>
      <w:r>
        <w:t>V případě náhodného požití, vyhledejte ihned lékařskou pomoc a ukažte příbalovou informaci nebo etiketu praktickému lékaři.</w:t>
      </w:r>
    </w:p>
    <w:p w14:paraId="36AFC060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61" w14:textId="77777777" w:rsidR="00295140" w:rsidRPr="006414D3" w:rsidRDefault="00D42565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u w:val="single"/>
        </w:rPr>
        <w:t>Zvláštní opatření pro ochranu životního prostředí</w:t>
      </w:r>
      <w:r>
        <w:t>:</w:t>
      </w:r>
    </w:p>
    <w:p w14:paraId="36AFC062" w14:textId="77777777" w:rsidR="00295140" w:rsidRPr="006414D3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65" w14:textId="6E25D8C7" w:rsidR="00295140" w:rsidRPr="006414D3" w:rsidRDefault="007A1C1A" w:rsidP="00A9226B">
      <w:pPr>
        <w:tabs>
          <w:tab w:val="clear" w:pos="567"/>
        </w:tabs>
        <w:spacing w:line="240" w:lineRule="auto"/>
        <w:rPr>
          <w:szCs w:val="22"/>
        </w:rPr>
      </w:pPr>
      <w:r>
        <w:t>Neuplatňuje se.</w:t>
      </w:r>
    </w:p>
    <w:p w14:paraId="36AFC066" w14:textId="77777777" w:rsidR="00295140" w:rsidRPr="006414D3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67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3.6</w:t>
      </w:r>
      <w:r>
        <w:rPr>
          <w:b/>
        </w:rPr>
        <w:tab/>
        <w:t>Nežádoucí účinky</w:t>
      </w:r>
    </w:p>
    <w:p w14:paraId="36AFC068" w14:textId="04963223" w:rsidR="00295140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2B4BBE3A" w14:textId="77777777" w:rsidR="00B27255" w:rsidRDefault="00B27255" w:rsidP="00B27255">
      <w:pPr>
        <w:rPr>
          <w:szCs w:val="22"/>
        </w:rPr>
      </w:pPr>
      <w:r>
        <w:t>Kočky:</w:t>
      </w:r>
    </w:p>
    <w:p w14:paraId="13CD8FCA" w14:textId="77777777" w:rsidR="00B27255" w:rsidRPr="00AD3C88" w:rsidRDefault="00B27255" w:rsidP="00B27255">
      <w:pPr>
        <w:pStyle w:val="Zkladntext"/>
        <w:spacing w:before="7"/>
        <w:rPr>
          <w:szCs w:val="22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1"/>
        <w:gridCol w:w="5515"/>
      </w:tblGrid>
      <w:tr w:rsidR="00B27255" w:rsidRPr="00AD3C88" w14:paraId="7F2707FD" w14:textId="77777777" w:rsidTr="00307681">
        <w:trPr>
          <w:trHeight w:hRule="exact" w:val="1903"/>
        </w:trPr>
        <w:tc>
          <w:tcPr>
            <w:tcW w:w="3441" w:type="dxa"/>
          </w:tcPr>
          <w:p w14:paraId="5011EE41" w14:textId="77777777" w:rsidR="00B27255" w:rsidRPr="00AD3C88" w:rsidRDefault="00B27255" w:rsidP="00D80DA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Méně časté</w:t>
            </w:r>
          </w:p>
          <w:p w14:paraId="7CF9651B" w14:textId="0A8AB8D0" w:rsidR="00B27255" w:rsidRPr="00AD3C88" w:rsidRDefault="00B27255" w:rsidP="00952D21">
            <w:pPr>
              <w:pStyle w:val="TableParagraph"/>
              <w:spacing w:before="61" w:line="260" w:lineRule="exact"/>
              <w:ind w:right="7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(1 až 10 zvířat / 1 000 ošetřených</w:t>
            </w:r>
            <w:r w:rsidR="00952D2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zvířat):</w:t>
            </w:r>
          </w:p>
        </w:tc>
        <w:tc>
          <w:tcPr>
            <w:tcW w:w="5515" w:type="dxa"/>
          </w:tcPr>
          <w:p w14:paraId="06A8BD64" w14:textId="77777777" w:rsidR="00B27255" w:rsidRPr="00AD3C88" w:rsidRDefault="00B27255" w:rsidP="00D80DA5">
            <w:pPr>
              <w:pStyle w:val="TableParagraph"/>
              <w:spacing w:line="278" w:lineRule="auto"/>
              <w:ind w:right="4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zvracení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anorexie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nechutenství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letargie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svědění</w:t>
            </w:r>
            <w:r w:rsidRPr="00FB5BDC">
              <w:rPr>
                <w:rFonts w:ascii="Times New Roman" w:hAnsi="Times New Roman"/>
                <w:vertAlign w:val="superscript"/>
              </w:rPr>
              <w:t>1,2</w:t>
            </w:r>
            <w:r>
              <w:rPr>
                <w:rFonts w:ascii="Times New Roman" w:hAnsi="Times New Roman"/>
              </w:rPr>
              <w:t>, exkoriace</w:t>
            </w:r>
            <w:r w:rsidRPr="00FB5BDC">
              <w:rPr>
                <w:rFonts w:ascii="Times New Roman" w:hAnsi="Times New Roman"/>
                <w:vertAlign w:val="superscript"/>
              </w:rPr>
              <w:t>1,2</w:t>
            </w:r>
          </w:p>
          <w:p w14:paraId="12764D1E" w14:textId="77777777" w:rsidR="00B27255" w:rsidRPr="00AD3C88" w:rsidRDefault="00B27255" w:rsidP="00D80DA5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prodloužené krvácení</w:t>
            </w:r>
            <w:r w:rsidRPr="00FB5BDC">
              <w:rPr>
                <w:rFonts w:ascii="Times New Roman" w:hAnsi="Times New Roman"/>
                <w:vertAlign w:val="superscript"/>
              </w:rPr>
              <w:t>1,3,4</w:t>
            </w:r>
            <w:r>
              <w:rPr>
                <w:rFonts w:ascii="Times New Roman" w:hAnsi="Times New Roman"/>
              </w:rPr>
              <w:t>, ikterus</w:t>
            </w:r>
            <w:r w:rsidRPr="00FB5BDC">
              <w:rPr>
                <w:rFonts w:ascii="Times New Roman" w:hAnsi="Times New Roman"/>
                <w:vertAlign w:val="superscript"/>
              </w:rPr>
              <w:t>1,4</w:t>
            </w:r>
            <w:r>
              <w:rPr>
                <w:rFonts w:ascii="Times New Roman" w:hAnsi="Times New Roman"/>
              </w:rPr>
              <w:t>, hepatopatie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</w:p>
          <w:p w14:paraId="5F793CAE" w14:textId="223EA706" w:rsidR="00B27255" w:rsidRPr="00AD3C88" w:rsidRDefault="00B27255" w:rsidP="00D80DA5">
            <w:pPr>
              <w:pStyle w:val="TableParagraph"/>
              <w:spacing w:before="61" w:line="260" w:lineRule="exact"/>
              <w:ind w:right="59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eozinofilie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lymfocytóza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neutropenie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lymfopenie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leukopenie</w:t>
            </w:r>
            <w:r w:rsidRPr="00FB5BDC">
              <w:rPr>
                <w:rFonts w:ascii="Times New Roman" w:hAnsi="Times New Roman"/>
                <w:vertAlign w:val="superscript"/>
              </w:rPr>
              <w:t>1,8</w:t>
            </w:r>
            <w:r>
              <w:rPr>
                <w:rFonts w:ascii="Times New Roman" w:hAnsi="Times New Roman"/>
              </w:rPr>
              <w:t>, agranulocytóza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</w:p>
          <w:p w14:paraId="4919D5AC" w14:textId="33E394B3" w:rsidR="00B27255" w:rsidRPr="00AD3C88" w:rsidRDefault="00B27255" w:rsidP="00452F5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trombocytopenie</w:t>
            </w:r>
            <w:r w:rsidRPr="00FB5BDC">
              <w:rPr>
                <w:rFonts w:ascii="Times New Roman" w:hAnsi="Times New Roman"/>
                <w:vertAlign w:val="superscript"/>
              </w:rPr>
              <w:t>1,6,7</w:t>
            </w:r>
            <w:r>
              <w:rPr>
                <w:rFonts w:ascii="Times New Roman" w:hAnsi="Times New Roman"/>
              </w:rPr>
              <w:t>, hemolytická anémie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</w:p>
        </w:tc>
      </w:tr>
      <w:tr w:rsidR="00B27255" w:rsidRPr="00AD3C88" w14:paraId="78C61230" w14:textId="77777777" w:rsidTr="00FA05DE">
        <w:trPr>
          <w:trHeight w:hRule="exact" w:val="719"/>
        </w:trPr>
        <w:tc>
          <w:tcPr>
            <w:tcW w:w="3441" w:type="dxa"/>
          </w:tcPr>
          <w:p w14:paraId="176A7351" w14:textId="77777777" w:rsidR="00B27255" w:rsidRPr="00AD3C88" w:rsidRDefault="00B27255" w:rsidP="00D80DA5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Vzácné (1 až 10 zvířat /</w:t>
            </w:r>
          </w:p>
          <w:p w14:paraId="69D6AE62" w14:textId="77777777" w:rsidR="00B27255" w:rsidRPr="00AD3C88" w:rsidRDefault="00B27255" w:rsidP="00D80DA5">
            <w:pPr>
              <w:pStyle w:val="TableParagraph"/>
              <w:spacing w:before="0" w:line="26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10 000 ošetřených zvířat):</w:t>
            </w:r>
          </w:p>
        </w:tc>
        <w:tc>
          <w:tcPr>
            <w:tcW w:w="5515" w:type="dxa"/>
          </w:tcPr>
          <w:p w14:paraId="6BECDC23" w14:textId="7121E857" w:rsidR="00B27255" w:rsidRPr="00AD3C88" w:rsidRDefault="00B27255" w:rsidP="00452F5F">
            <w:pPr>
              <w:pStyle w:val="TableParagraph"/>
              <w:spacing w:before="60" w:line="260" w:lineRule="exact"/>
              <w:ind w:right="9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autoimunitní porucha (</w:t>
            </w:r>
            <w:proofErr w:type="spellStart"/>
            <w:r>
              <w:rPr>
                <w:rFonts w:ascii="Times New Roman" w:hAnsi="Times New Roman"/>
              </w:rPr>
              <w:t>antinukleární</w:t>
            </w:r>
            <w:proofErr w:type="spellEnd"/>
            <w:r>
              <w:rPr>
                <w:rFonts w:ascii="Times New Roman" w:hAnsi="Times New Roman"/>
              </w:rPr>
              <w:t xml:space="preserve"> protilátky v séru)</w:t>
            </w:r>
            <w:r w:rsidRPr="00FB5BDC">
              <w:rPr>
                <w:rFonts w:ascii="Times New Roman" w:hAnsi="Times New Roman"/>
                <w:vertAlign w:val="superscript"/>
              </w:rPr>
              <w:t>5,7</w:t>
            </w:r>
            <w:r>
              <w:rPr>
                <w:rFonts w:ascii="Times New Roman" w:hAnsi="Times New Roman"/>
              </w:rPr>
              <w:t>, anémie</w:t>
            </w:r>
            <w:r w:rsidRPr="00FB5BDC">
              <w:rPr>
                <w:rFonts w:ascii="Times New Roman" w:hAnsi="Times New Roman"/>
                <w:vertAlign w:val="superscript"/>
              </w:rPr>
              <w:t>5,7</w:t>
            </w:r>
          </w:p>
        </w:tc>
      </w:tr>
      <w:tr w:rsidR="00B27255" w:rsidRPr="00AD3C88" w14:paraId="367EFFE1" w14:textId="77777777" w:rsidTr="00D80DA5">
        <w:trPr>
          <w:trHeight w:hRule="exact" w:val="1170"/>
        </w:trPr>
        <w:tc>
          <w:tcPr>
            <w:tcW w:w="3441" w:type="dxa"/>
          </w:tcPr>
          <w:p w14:paraId="61B4B5CB" w14:textId="77777777" w:rsidR="00B27255" w:rsidRPr="00AD3C88" w:rsidRDefault="00B27255" w:rsidP="00D80DA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Velmi vzácné</w:t>
            </w:r>
          </w:p>
          <w:p w14:paraId="6CAF1E69" w14:textId="77777777" w:rsidR="00B27255" w:rsidRPr="00AD3C88" w:rsidRDefault="00B27255" w:rsidP="00D80DA5">
            <w:pPr>
              <w:pStyle w:val="TableParagraph"/>
              <w:spacing w:before="61" w:line="260" w:lineRule="exact"/>
              <w:ind w:right="35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(&lt;1 zvíře / 10 000 ošetřených zvířat, včetně ojedinělých hlášení):</w:t>
            </w:r>
          </w:p>
        </w:tc>
        <w:tc>
          <w:tcPr>
            <w:tcW w:w="5515" w:type="dxa"/>
          </w:tcPr>
          <w:p w14:paraId="152E910B" w14:textId="1FE9C566" w:rsidR="00B27255" w:rsidRPr="00307681" w:rsidRDefault="00B27255" w:rsidP="00BB128B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</w:rPr>
              <w:t>lymfadenopatie</w:t>
            </w:r>
            <w:r w:rsidRPr="00FB5BDC">
              <w:rPr>
                <w:rFonts w:ascii="Times New Roman" w:hAnsi="Times New Roman"/>
                <w:vertAlign w:val="superscript"/>
              </w:rPr>
              <w:t>5,7</w:t>
            </w:r>
          </w:p>
        </w:tc>
      </w:tr>
    </w:tbl>
    <w:p w14:paraId="412B2D03" w14:textId="77777777" w:rsidR="00B27255" w:rsidRPr="00AD3C88" w:rsidRDefault="00B27255" w:rsidP="00B27255">
      <w:pPr>
        <w:pStyle w:val="Zkladntext"/>
        <w:spacing w:line="250" w:lineRule="exact"/>
        <w:ind w:left="118"/>
        <w:rPr>
          <w:szCs w:val="22"/>
        </w:rPr>
      </w:pPr>
      <w:r w:rsidRPr="00FB5BDC">
        <w:rPr>
          <w:vertAlign w:val="superscript"/>
        </w:rPr>
        <w:t>1</w:t>
      </w:r>
      <w:r>
        <w:t xml:space="preserve"> Tyto nežádoucí účinky odezní během 7–45 dnů po ukončení léčby </w:t>
      </w:r>
      <w:proofErr w:type="spellStart"/>
      <w:r>
        <w:t>thiamazolem</w:t>
      </w:r>
      <w:proofErr w:type="spellEnd"/>
      <w:r>
        <w:t>.</w:t>
      </w:r>
    </w:p>
    <w:p w14:paraId="306A9080" w14:textId="77777777" w:rsidR="00B27255" w:rsidRPr="00AD3C88" w:rsidRDefault="00B27255" w:rsidP="00B27255">
      <w:pPr>
        <w:pStyle w:val="Zkladntext"/>
        <w:spacing w:line="260" w:lineRule="exact"/>
        <w:ind w:left="118"/>
        <w:rPr>
          <w:szCs w:val="22"/>
        </w:rPr>
      </w:pPr>
      <w:r w:rsidRPr="00FB5BDC">
        <w:rPr>
          <w:vertAlign w:val="superscript"/>
        </w:rPr>
        <w:t>2</w:t>
      </w:r>
      <w:r>
        <w:t xml:space="preserve"> Závažné, postihující hlavu a krk.</w:t>
      </w:r>
    </w:p>
    <w:p w14:paraId="03365220" w14:textId="77777777" w:rsidR="00B27255" w:rsidRPr="00AD3C88" w:rsidRDefault="00B27255" w:rsidP="00B27255">
      <w:pPr>
        <w:pStyle w:val="Zkladntext"/>
        <w:spacing w:line="260" w:lineRule="exact"/>
        <w:ind w:left="118"/>
        <w:rPr>
          <w:szCs w:val="22"/>
        </w:rPr>
      </w:pPr>
      <w:r w:rsidRPr="00FB5BDC">
        <w:rPr>
          <w:vertAlign w:val="superscript"/>
        </w:rPr>
        <w:t>3</w:t>
      </w:r>
      <w:r>
        <w:t xml:space="preserve"> Příznak krvácivé diatézy.</w:t>
      </w:r>
    </w:p>
    <w:p w14:paraId="55F93E03" w14:textId="77777777" w:rsidR="00B27255" w:rsidRPr="00AD3C88" w:rsidRDefault="00B27255" w:rsidP="00B27255">
      <w:pPr>
        <w:pStyle w:val="Zkladntext"/>
        <w:spacing w:line="260" w:lineRule="exact"/>
        <w:ind w:left="118"/>
        <w:rPr>
          <w:szCs w:val="22"/>
        </w:rPr>
      </w:pPr>
      <w:r w:rsidRPr="00FB5BDC">
        <w:rPr>
          <w:vertAlign w:val="superscript"/>
        </w:rPr>
        <w:t>4</w:t>
      </w:r>
      <w:r>
        <w:t xml:space="preserve"> Souvisí s </w:t>
      </w:r>
      <w:proofErr w:type="spellStart"/>
      <w:r>
        <w:t>hepatopatií</w:t>
      </w:r>
      <w:proofErr w:type="spellEnd"/>
      <w:r>
        <w:t>.</w:t>
      </w:r>
    </w:p>
    <w:p w14:paraId="55CCCF42" w14:textId="77777777" w:rsidR="00B27255" w:rsidRPr="00AD3C88" w:rsidRDefault="00B27255" w:rsidP="00B27255">
      <w:pPr>
        <w:pStyle w:val="Zkladntext"/>
        <w:spacing w:line="260" w:lineRule="exact"/>
        <w:ind w:left="118"/>
        <w:rPr>
          <w:szCs w:val="22"/>
        </w:rPr>
      </w:pPr>
      <w:r w:rsidRPr="00FB5BDC">
        <w:rPr>
          <w:vertAlign w:val="superscript"/>
        </w:rPr>
        <w:t>5</w:t>
      </w:r>
      <w:r>
        <w:t xml:space="preserve"> Imunologický nežádoucí účinek.</w:t>
      </w:r>
    </w:p>
    <w:p w14:paraId="2D380379" w14:textId="59502151" w:rsidR="00B27255" w:rsidRDefault="00B27255" w:rsidP="00B27255">
      <w:pPr>
        <w:pStyle w:val="Zkladntext"/>
        <w:spacing w:before="9" w:line="260" w:lineRule="exact"/>
        <w:ind w:left="118" w:right="381"/>
        <w:rPr>
          <w:szCs w:val="22"/>
        </w:rPr>
      </w:pPr>
      <w:r w:rsidRPr="00FB5BDC">
        <w:rPr>
          <w:vertAlign w:val="superscript"/>
        </w:rPr>
        <w:t>6</w:t>
      </w:r>
      <w:r>
        <w:t xml:space="preserve"> Vyskytuje se méně často jako hematologická abnormalita a vzácně jako imunologický nežádoucí účinek.</w:t>
      </w:r>
    </w:p>
    <w:p w14:paraId="721B0C78" w14:textId="3263CBC6" w:rsidR="009932E4" w:rsidRPr="00AD3C88" w:rsidRDefault="009932E4" w:rsidP="00B27255">
      <w:pPr>
        <w:pStyle w:val="Zkladntext"/>
        <w:spacing w:before="9" w:line="260" w:lineRule="exact"/>
        <w:ind w:left="118" w:right="381"/>
        <w:rPr>
          <w:szCs w:val="22"/>
        </w:rPr>
      </w:pPr>
      <w:r w:rsidRPr="00FB5BDC">
        <w:rPr>
          <w:vertAlign w:val="superscript"/>
        </w:rPr>
        <w:t>7</w:t>
      </w:r>
      <w:r>
        <w:t xml:space="preserve"> Léčbu je třeba ihned ukončit a po přiměřené době na zotavení zvážit alternativní léčbu.  </w:t>
      </w:r>
    </w:p>
    <w:p w14:paraId="58EA1365" w14:textId="2E068D94" w:rsidR="00B27255" w:rsidRDefault="004A234F" w:rsidP="00B27255">
      <w:pPr>
        <w:pStyle w:val="Zkladntext"/>
        <w:spacing w:before="6"/>
        <w:rPr>
          <w:szCs w:val="22"/>
        </w:rPr>
      </w:pPr>
      <w:r>
        <w:t xml:space="preserve">  </w:t>
      </w:r>
      <w:r w:rsidRPr="00FB5BDC">
        <w:rPr>
          <w:vertAlign w:val="superscript"/>
        </w:rPr>
        <w:t>8</w:t>
      </w:r>
      <w:r>
        <w:t xml:space="preserve"> Mírná.</w:t>
      </w:r>
    </w:p>
    <w:p w14:paraId="581DE6A2" w14:textId="77777777" w:rsidR="00FC0ABF" w:rsidRDefault="00FC0ABF" w:rsidP="00B27255">
      <w:pPr>
        <w:pStyle w:val="Zkladntext"/>
        <w:spacing w:before="6"/>
        <w:rPr>
          <w:szCs w:val="22"/>
        </w:rPr>
      </w:pPr>
    </w:p>
    <w:p w14:paraId="0595EFB2" w14:textId="2852F8B9" w:rsidR="00BB128B" w:rsidRDefault="00BB128B" w:rsidP="00B27255">
      <w:pPr>
        <w:pStyle w:val="Zkladntext"/>
        <w:spacing w:before="6"/>
        <w:rPr>
          <w:szCs w:val="22"/>
        </w:rPr>
      </w:pPr>
      <w:r>
        <w:t>Nežádoucí účinky byly hlášeny po dlouhodobé léčbě hypertyreózy. V mnoha případech mohou být příznaky mírné a přechodné a nemusí být důvodem k ukončení léčby. Závažnější účinky jsou po ukončení léčby většinou reverzibilní.</w:t>
      </w:r>
    </w:p>
    <w:p w14:paraId="484FF159" w14:textId="77777777" w:rsidR="00BB128B" w:rsidRPr="00AD3C88" w:rsidRDefault="00BB128B" w:rsidP="00B27255">
      <w:pPr>
        <w:pStyle w:val="Zkladntext"/>
        <w:spacing w:before="6"/>
        <w:rPr>
          <w:szCs w:val="22"/>
        </w:rPr>
      </w:pPr>
    </w:p>
    <w:p w14:paraId="26F6ECC0" w14:textId="77777777" w:rsidR="00B27255" w:rsidRPr="00AD3C88" w:rsidRDefault="00B27255" w:rsidP="00B27255">
      <w:pPr>
        <w:pStyle w:val="Zkladntext"/>
        <w:spacing w:before="1" w:line="260" w:lineRule="exact"/>
        <w:ind w:right="232"/>
        <w:rPr>
          <w:szCs w:val="22"/>
        </w:rPr>
      </w:pPr>
      <w:r>
        <w:t xml:space="preserve">Po dlouhodobé léčbě </w:t>
      </w:r>
      <w:proofErr w:type="spellStart"/>
      <w:r>
        <w:t>thiamazolem</w:t>
      </w:r>
      <w:proofErr w:type="spellEnd"/>
      <w:r>
        <w:t xml:space="preserve"> bylo u hlodavců prokázáno zvýšené riziko </w:t>
      </w:r>
      <w:proofErr w:type="spellStart"/>
      <w:r>
        <w:t>neoplazie</w:t>
      </w:r>
      <w:proofErr w:type="spellEnd"/>
      <w:r>
        <w:t xml:space="preserve"> štítné žlázy, u koček však nejsou k dispozici žádné důkazy.</w:t>
      </w:r>
    </w:p>
    <w:p w14:paraId="69E53A2B" w14:textId="77777777" w:rsidR="00B27255" w:rsidRPr="00AD3C88" w:rsidRDefault="00B27255" w:rsidP="00B27255">
      <w:pPr>
        <w:pStyle w:val="Zkladntext"/>
        <w:rPr>
          <w:szCs w:val="22"/>
        </w:rPr>
      </w:pPr>
    </w:p>
    <w:p w14:paraId="19F57B36" w14:textId="2C9DC90C" w:rsidR="00B27255" w:rsidRDefault="00B27255" w:rsidP="00B27255">
      <w:pPr>
        <w:rPr>
          <w:szCs w:val="22"/>
        </w:rPr>
      </w:pPr>
      <w:r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 nebo jeho místnímu zástupci, nebo příslušnému vnitrostátnímu orgánu prostřednictvím národního systému hlášení</w:t>
      </w:r>
      <w:r w:rsidR="006E2CB4">
        <w:t>.</w:t>
      </w:r>
      <w:r>
        <w:t xml:space="preserve"> Podrobné kontaktní údaje naleznete v příbalové informaci.</w:t>
      </w:r>
    </w:p>
    <w:bookmarkStart w:id="1" w:name="_Hlk66891708"/>
    <w:p w14:paraId="36AFC081" w14:textId="5A15E32F" w:rsidR="00A95E81" w:rsidRDefault="000B72D3" w:rsidP="00247A48">
      <w:pPr>
        <w:rPr>
          <w:szCs w:val="22"/>
        </w:rPr>
      </w:pPr>
      <w:r>
        <w:fldChar w:fldCharType="begin"/>
      </w:r>
      <w:r>
        <w:instrText xml:space="preserve"> HYPERLINK "https://www.ema.europa.eu/documents/template-form/qrd-appendix-i-adverse-event-phv-mss-reporting-details_en.docx" </w:instrText>
      </w:r>
      <w:r>
        <w:fldChar w:fldCharType="end"/>
      </w:r>
    </w:p>
    <w:bookmarkEnd w:id="1"/>
    <w:p w14:paraId="36AFC082" w14:textId="77777777" w:rsidR="00C114FF" w:rsidRPr="006414D3" w:rsidRDefault="00D42565" w:rsidP="00D10050">
      <w:pPr>
        <w:keepNext/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lastRenderedPageBreak/>
        <w:t>3.7</w:t>
      </w:r>
      <w:r>
        <w:rPr>
          <w:b/>
        </w:rPr>
        <w:tab/>
        <w:t>Použití v průběhu březosti, laktace nebo snášky</w:t>
      </w:r>
    </w:p>
    <w:p w14:paraId="36AFC083" w14:textId="77777777" w:rsidR="00C114FF" w:rsidRPr="006414D3" w:rsidRDefault="00C114FF" w:rsidP="00D10050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6BE35766" w14:textId="77777777" w:rsidR="00B27255" w:rsidRPr="000000B8" w:rsidRDefault="00B27255" w:rsidP="00D10050">
      <w:pPr>
        <w:keepNext/>
        <w:tabs>
          <w:tab w:val="clear" w:pos="567"/>
        </w:tabs>
        <w:spacing w:line="240" w:lineRule="auto"/>
        <w:rPr>
          <w:szCs w:val="22"/>
          <w:u w:val="single"/>
        </w:rPr>
      </w:pPr>
      <w:r>
        <w:rPr>
          <w:u w:val="single"/>
        </w:rPr>
        <w:t>Březost a laktace:</w:t>
      </w:r>
    </w:p>
    <w:p w14:paraId="0B9CD546" w14:textId="5D5FCEBA" w:rsidR="00B27255" w:rsidRPr="006414D3" w:rsidRDefault="00B27255" w:rsidP="00B27255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 xml:space="preserve">Laboratorní studie u potkanů a myší prokázaly teratogenní a embryotoxické účinky </w:t>
      </w:r>
      <w:proofErr w:type="spellStart"/>
      <w:r>
        <w:t>thiamazolu</w:t>
      </w:r>
      <w:proofErr w:type="spellEnd"/>
      <w:r>
        <w:t>. Nebyla stanovena bezpečnost veterinárního léčivého přípravku pro použití u koček během březosti nebo laktace. Nepoužívat u březích nebo laktujících samic.</w:t>
      </w:r>
    </w:p>
    <w:p w14:paraId="36AFC098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99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3.8</w:t>
      </w:r>
      <w:r>
        <w:rPr>
          <w:b/>
        </w:rPr>
        <w:tab/>
        <w:t>Interakce s jinými léčivými přípravky a další formy interakce</w:t>
      </w:r>
    </w:p>
    <w:p w14:paraId="36AFC09A" w14:textId="77777777" w:rsidR="00C114FF" w:rsidRPr="006414D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F307CD7" w14:textId="77777777" w:rsidR="00B27255" w:rsidRDefault="00B27255" w:rsidP="00B27255">
      <w:pPr>
        <w:tabs>
          <w:tab w:val="clear" w:pos="567"/>
        </w:tabs>
        <w:spacing w:line="240" w:lineRule="auto"/>
        <w:rPr>
          <w:szCs w:val="22"/>
        </w:rPr>
      </w:pPr>
      <w:r>
        <w:t xml:space="preserve">Souběžná léčba fenobarbitalem může snížit klinickou účinnost </w:t>
      </w:r>
      <w:proofErr w:type="spellStart"/>
      <w:r>
        <w:t>thiamazolu</w:t>
      </w:r>
      <w:proofErr w:type="spellEnd"/>
      <w:r>
        <w:t>.</w:t>
      </w:r>
    </w:p>
    <w:p w14:paraId="22320093" w14:textId="77777777" w:rsidR="00B27255" w:rsidRPr="000000B8" w:rsidRDefault="00B27255" w:rsidP="00B27255">
      <w:pPr>
        <w:tabs>
          <w:tab w:val="clear" w:pos="567"/>
        </w:tabs>
        <w:spacing w:line="240" w:lineRule="auto"/>
        <w:rPr>
          <w:szCs w:val="22"/>
        </w:rPr>
      </w:pPr>
    </w:p>
    <w:p w14:paraId="734CD147" w14:textId="77777777" w:rsidR="00B27255" w:rsidRDefault="00B27255" w:rsidP="00B27255">
      <w:pPr>
        <w:tabs>
          <w:tab w:val="clear" w:pos="567"/>
        </w:tabs>
        <w:spacing w:line="240" w:lineRule="auto"/>
        <w:rPr>
          <w:szCs w:val="22"/>
        </w:rPr>
      </w:pPr>
      <w:r>
        <w:t xml:space="preserve">Je známo, že </w:t>
      </w:r>
      <w:proofErr w:type="spellStart"/>
      <w:r>
        <w:t>thiamazol</w:t>
      </w:r>
      <w:proofErr w:type="spellEnd"/>
      <w:r>
        <w:t xml:space="preserve"> snižuje oxidaci </w:t>
      </w:r>
      <w:proofErr w:type="spellStart"/>
      <w:r>
        <w:t>benzimidazolových</w:t>
      </w:r>
      <w:proofErr w:type="spellEnd"/>
      <w:r>
        <w:t xml:space="preserve"> anthelmintik v játrech a při současném podávání může vést ke zvýšení jejich plazmatických koncentrací.</w:t>
      </w:r>
    </w:p>
    <w:p w14:paraId="650594BD" w14:textId="77777777" w:rsidR="00B27255" w:rsidRPr="000000B8" w:rsidRDefault="00B27255" w:rsidP="00B27255">
      <w:pPr>
        <w:tabs>
          <w:tab w:val="clear" w:pos="567"/>
        </w:tabs>
        <w:spacing w:line="240" w:lineRule="auto"/>
        <w:rPr>
          <w:szCs w:val="22"/>
        </w:rPr>
      </w:pPr>
    </w:p>
    <w:p w14:paraId="222811EB" w14:textId="77777777" w:rsidR="00B27255" w:rsidRDefault="00B27255" w:rsidP="00B27255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t>Thiamazol</w:t>
      </w:r>
      <w:proofErr w:type="spellEnd"/>
      <w:r>
        <w:t xml:space="preserve"> má </w:t>
      </w:r>
      <w:proofErr w:type="spellStart"/>
      <w:r>
        <w:t>imunomodulační</w:t>
      </w:r>
      <w:proofErr w:type="spellEnd"/>
      <w:r>
        <w:t xml:space="preserve"> účinky, což je třeba zohlednit při zvažování vakcinačních programů.</w:t>
      </w:r>
    </w:p>
    <w:p w14:paraId="36AFC0A9" w14:textId="77777777" w:rsidR="00C90EDA" w:rsidRPr="006414D3" w:rsidRDefault="00C90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AA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3.9</w:t>
      </w:r>
      <w:r>
        <w:rPr>
          <w:b/>
        </w:rPr>
        <w:tab/>
        <w:t>Cesty podání a dávkování</w:t>
      </w:r>
    </w:p>
    <w:p w14:paraId="36AFC0AB" w14:textId="77777777" w:rsidR="00145D34" w:rsidRPr="006414D3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A41F4A8" w14:textId="1D7586D5" w:rsidR="00B27255" w:rsidRDefault="00A073BF" w:rsidP="00B27255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Perorální podání. </w:t>
      </w:r>
    </w:p>
    <w:p w14:paraId="7F53AED7" w14:textId="69A094CD" w:rsidR="00B27255" w:rsidRPr="00C31AEE" w:rsidRDefault="00B27255" w:rsidP="00B27255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Veterinární léčivý přípravek </w:t>
      </w:r>
      <w:r w:rsidR="00F41C80">
        <w:rPr>
          <w:color w:val="000000"/>
        </w:rPr>
        <w:t>by měl</w:t>
      </w:r>
      <w:r>
        <w:rPr>
          <w:color w:val="000000"/>
        </w:rPr>
        <w:t xml:space="preserve"> být podáván přímo do </w:t>
      </w:r>
      <w:r w:rsidR="00F41C80">
        <w:rPr>
          <w:color w:val="000000"/>
        </w:rPr>
        <w:t xml:space="preserve">dutiny ústní </w:t>
      </w:r>
      <w:r>
        <w:rPr>
          <w:color w:val="000000"/>
        </w:rPr>
        <w:t>kočky.</w:t>
      </w:r>
    </w:p>
    <w:p w14:paraId="486757D4" w14:textId="66EAB992" w:rsidR="00B27255" w:rsidRDefault="00B27255" w:rsidP="00B27255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>Nepodávat v krmivu, protože účinnost veterinárního léčivého přípravku při podání touto cestou nebyla stanovena.</w:t>
      </w:r>
    </w:p>
    <w:p w14:paraId="3FA1453E" w14:textId="77777777" w:rsidR="00B27255" w:rsidRPr="00AD4CDB" w:rsidRDefault="00B27255" w:rsidP="00B27255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en-GB"/>
        </w:rPr>
      </w:pPr>
    </w:p>
    <w:p w14:paraId="28EA4493" w14:textId="1B7A2BFE" w:rsidR="00B27255" w:rsidRPr="000000B8" w:rsidRDefault="00B27255" w:rsidP="00B27255">
      <w:pPr>
        <w:tabs>
          <w:tab w:val="clear" w:pos="567"/>
        </w:tabs>
        <w:spacing w:line="240" w:lineRule="auto"/>
        <w:jc w:val="both"/>
        <w:rPr>
          <w:color w:val="000000"/>
        </w:rPr>
      </w:pPr>
      <w:r>
        <w:rPr>
          <w:color w:val="000000" w:themeColor="text1"/>
        </w:rPr>
        <w:t xml:space="preserve">Ke stabilizaci hypertyreózy koček před chirurgickou </w:t>
      </w:r>
      <w:proofErr w:type="spellStart"/>
      <w:r>
        <w:rPr>
          <w:color w:val="000000" w:themeColor="text1"/>
        </w:rPr>
        <w:t>tyreoidektomií</w:t>
      </w:r>
      <w:proofErr w:type="spellEnd"/>
      <w:r>
        <w:rPr>
          <w:color w:val="000000" w:themeColor="text1"/>
        </w:rPr>
        <w:t xml:space="preserve"> a k dlouhodobé léčbě hypertyreózy koček je doporučená počáteční dávka 5 mg </w:t>
      </w:r>
      <w:proofErr w:type="spellStart"/>
      <w:r>
        <w:rPr>
          <w:color w:val="000000" w:themeColor="text1"/>
        </w:rPr>
        <w:t>thiamazolu</w:t>
      </w:r>
      <w:proofErr w:type="spellEnd"/>
      <w:r>
        <w:rPr>
          <w:color w:val="000000" w:themeColor="text1"/>
        </w:rPr>
        <w:t xml:space="preserve"> denně (1 ml veterinárního léčivého přípravku denně).</w:t>
      </w:r>
    </w:p>
    <w:p w14:paraId="3E558834" w14:textId="77777777" w:rsidR="00B27255" w:rsidRPr="00AD4CDB" w:rsidRDefault="00B27255" w:rsidP="00B27255">
      <w:pPr>
        <w:tabs>
          <w:tab w:val="clear" w:pos="567"/>
        </w:tabs>
        <w:spacing w:line="240" w:lineRule="auto"/>
        <w:jc w:val="both"/>
        <w:rPr>
          <w:color w:val="000000"/>
          <w:szCs w:val="22"/>
          <w:lang w:eastAsia="en-GB"/>
        </w:rPr>
      </w:pPr>
    </w:p>
    <w:p w14:paraId="725713B2" w14:textId="0945FB84" w:rsidR="00B27255" w:rsidRDefault="00B27255" w:rsidP="00B27255">
      <w:pPr>
        <w:tabs>
          <w:tab w:val="clear" w:pos="567"/>
        </w:tabs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Celková denní dávka má být rozdělena do dvou stejných dávek a podávána ráno a večer. Pokud je z důvodu lepšího dodržování léčebného režimu vhodnější podávání jednou denně, je to přijatelné, ačkoli podávání dvakrát denně (2,5 mg </w:t>
      </w:r>
      <w:proofErr w:type="spellStart"/>
      <w:r>
        <w:rPr>
          <w:color w:val="000000"/>
        </w:rPr>
        <w:t>thiamazolu</w:t>
      </w:r>
      <w:proofErr w:type="spellEnd"/>
      <w:r>
        <w:rPr>
          <w:color w:val="000000"/>
        </w:rPr>
        <w:t xml:space="preserve"> nebo 0,5 ml veterinárního léčivého přípravku dvakrát denně) může být z krátkodobého hlediska účinnější.  Pro zlepšení stabilizace pacienta s hypertyreózou je třeba každý den dodržovat stejný režim dávkování ve vztahu ke krmení.</w:t>
      </w:r>
    </w:p>
    <w:p w14:paraId="119B8795" w14:textId="77777777" w:rsidR="00B27255" w:rsidRPr="00AD4CDB" w:rsidRDefault="00B27255" w:rsidP="00B27255">
      <w:pPr>
        <w:tabs>
          <w:tab w:val="clear" w:pos="567"/>
        </w:tabs>
        <w:spacing w:line="240" w:lineRule="auto"/>
        <w:jc w:val="both"/>
        <w:rPr>
          <w:color w:val="000000"/>
          <w:szCs w:val="22"/>
          <w:lang w:eastAsia="en-GB"/>
        </w:rPr>
      </w:pPr>
    </w:p>
    <w:p w14:paraId="16AD129C" w14:textId="3D2CA58D" w:rsidR="00B27255" w:rsidRDefault="00A361C7" w:rsidP="00B27255">
      <w:pPr>
        <w:tabs>
          <w:tab w:val="clear" w:pos="567"/>
        </w:tabs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Použijte </w:t>
      </w:r>
      <w:r w:rsidR="009B1075">
        <w:rPr>
          <w:color w:val="000000"/>
        </w:rPr>
        <w:t>aplikátor</w:t>
      </w:r>
      <w:r>
        <w:rPr>
          <w:color w:val="000000"/>
        </w:rPr>
        <w:t xml:space="preserve"> dodan</w:t>
      </w:r>
      <w:r w:rsidR="009B1075">
        <w:rPr>
          <w:color w:val="000000"/>
        </w:rPr>
        <w:t>ý</w:t>
      </w:r>
      <w:r>
        <w:rPr>
          <w:color w:val="000000"/>
        </w:rPr>
        <w:t xml:space="preserve"> v balení. </w:t>
      </w:r>
      <w:r w:rsidR="009B1075">
        <w:rPr>
          <w:color w:val="000000"/>
        </w:rPr>
        <w:t>Aplikátor</w:t>
      </w:r>
      <w:r>
        <w:rPr>
          <w:color w:val="000000"/>
        </w:rPr>
        <w:t xml:space="preserve"> je opatřen stupnicí po 0,25 mg až do 5 mg a lze j</w:t>
      </w:r>
      <w:r w:rsidR="003163BD">
        <w:rPr>
          <w:color w:val="000000"/>
        </w:rPr>
        <w:t>ej</w:t>
      </w:r>
      <w:r>
        <w:rPr>
          <w:color w:val="000000"/>
        </w:rPr>
        <w:t xml:space="preserve"> nasadit na lahvičku. Pro přesné podání dávky sejměte uzávěr z lahvičky, zasuňte hrot </w:t>
      </w:r>
      <w:r w:rsidR="009B1075">
        <w:rPr>
          <w:color w:val="000000"/>
        </w:rPr>
        <w:t xml:space="preserve">aplikátoru </w:t>
      </w:r>
      <w:r>
        <w:rPr>
          <w:color w:val="000000"/>
        </w:rPr>
        <w:t xml:space="preserve">do adaptéru lahvičky, obraťte lahvičku dnem vzhůru a natáhněte požadovanou dávku. Poté lahvičku vraťte do svislé polohy, vyjměte z ní </w:t>
      </w:r>
      <w:r w:rsidR="009B1075">
        <w:rPr>
          <w:color w:val="000000"/>
        </w:rPr>
        <w:t>aplikátor</w:t>
      </w:r>
      <w:r>
        <w:rPr>
          <w:color w:val="000000"/>
        </w:rPr>
        <w:t xml:space="preserve"> a podejte veterinární léčivý přípravek přímo do </w:t>
      </w:r>
      <w:r w:rsidR="009B1075">
        <w:rPr>
          <w:color w:val="000000"/>
        </w:rPr>
        <w:t xml:space="preserve">dutiny ústní </w:t>
      </w:r>
      <w:r>
        <w:rPr>
          <w:color w:val="000000"/>
        </w:rPr>
        <w:t>kočky.</w:t>
      </w:r>
    </w:p>
    <w:p w14:paraId="08AF95FC" w14:textId="77777777" w:rsidR="00B27255" w:rsidRPr="00AD4CDB" w:rsidRDefault="00B27255" w:rsidP="00B27255">
      <w:pPr>
        <w:tabs>
          <w:tab w:val="clear" w:pos="567"/>
        </w:tabs>
        <w:spacing w:line="240" w:lineRule="auto"/>
        <w:jc w:val="both"/>
        <w:rPr>
          <w:color w:val="000000"/>
          <w:szCs w:val="22"/>
          <w:lang w:eastAsia="en-GB"/>
        </w:rPr>
      </w:pPr>
    </w:p>
    <w:p w14:paraId="53199792" w14:textId="68B5CFEE" w:rsidR="00B27255" w:rsidRDefault="00B27255" w:rsidP="00B27255">
      <w:pPr>
        <w:tabs>
          <w:tab w:val="clear" w:pos="567"/>
        </w:tabs>
        <w:spacing w:line="240" w:lineRule="auto"/>
        <w:jc w:val="both"/>
        <w:rPr>
          <w:color w:val="000000"/>
        </w:rPr>
      </w:pPr>
      <w:r>
        <w:rPr>
          <w:color w:val="000000" w:themeColor="text1"/>
        </w:rPr>
        <w:t>Před zahájením léčby a poté po 3, 6, 10 a 20 týdnech a následně každé 3 měsíce je třeba provést hematologické a biochemické vyšetření a stanovit celkový T</w:t>
      </w:r>
      <w:r w:rsidRPr="007A2D44">
        <w:rPr>
          <w:color w:val="000000" w:themeColor="text1"/>
          <w:vertAlign w:val="subscript"/>
        </w:rPr>
        <w:t>4</w:t>
      </w:r>
      <w:r>
        <w:rPr>
          <w:color w:val="000000" w:themeColor="text1"/>
        </w:rPr>
        <w:t xml:space="preserve"> v séru. Při každém z doporučených kontrolních vyšetření je třeba dávku titrovat podle účinku na základě celkového T</w:t>
      </w:r>
      <w:r w:rsidRPr="007A2D44">
        <w:rPr>
          <w:color w:val="000000" w:themeColor="text1"/>
          <w:vertAlign w:val="subscript"/>
        </w:rPr>
        <w:t>4</w:t>
      </w:r>
      <w:r>
        <w:rPr>
          <w:color w:val="000000" w:themeColor="text1"/>
        </w:rPr>
        <w:t xml:space="preserve"> a klinické odpovědi na léčbu. Dávku je třeba upravovat po 2,5 mg </w:t>
      </w:r>
      <w:proofErr w:type="spellStart"/>
      <w:r>
        <w:rPr>
          <w:color w:val="000000" w:themeColor="text1"/>
        </w:rPr>
        <w:t>thiamazolu</w:t>
      </w:r>
      <w:proofErr w:type="spellEnd"/>
      <w:r>
        <w:rPr>
          <w:color w:val="000000" w:themeColor="text1"/>
        </w:rPr>
        <w:t xml:space="preserve"> (0,5 ml veterinárního léčivého přípravku), přičemž cílem je dosáhnout nejnižší možné dávky. U koček, u nichž je zapotřebí zvláště malá úprava dávky, lze použít přírůstky po 1,25 mg </w:t>
      </w:r>
      <w:proofErr w:type="spellStart"/>
      <w:r>
        <w:rPr>
          <w:color w:val="000000" w:themeColor="text1"/>
        </w:rPr>
        <w:t>thiamazolu</w:t>
      </w:r>
      <w:proofErr w:type="spellEnd"/>
      <w:r>
        <w:rPr>
          <w:color w:val="000000" w:themeColor="text1"/>
        </w:rPr>
        <w:t xml:space="preserve"> (0,25 ml veterinárního léčivého přípravku).</w:t>
      </w:r>
    </w:p>
    <w:p w14:paraId="17D8B0A1" w14:textId="77777777" w:rsidR="00B27255" w:rsidRPr="00AD4CDB" w:rsidRDefault="00B27255" w:rsidP="00B27255">
      <w:pPr>
        <w:tabs>
          <w:tab w:val="clear" w:pos="567"/>
        </w:tabs>
        <w:spacing w:line="240" w:lineRule="auto"/>
        <w:jc w:val="both"/>
        <w:rPr>
          <w:color w:val="000000"/>
          <w:szCs w:val="22"/>
          <w:lang w:eastAsia="en-GB"/>
        </w:rPr>
      </w:pPr>
    </w:p>
    <w:p w14:paraId="6EFCDC3D" w14:textId="17EF9570" w:rsidR="00B27255" w:rsidRDefault="00B27255" w:rsidP="00B27255">
      <w:pPr>
        <w:tabs>
          <w:tab w:val="clear" w:pos="567"/>
        </w:tabs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Pokud je zapotřebí více než 10 mg </w:t>
      </w:r>
      <w:proofErr w:type="spellStart"/>
      <w:r>
        <w:rPr>
          <w:color w:val="000000"/>
        </w:rPr>
        <w:t>thiamazolu</w:t>
      </w:r>
      <w:proofErr w:type="spellEnd"/>
      <w:r>
        <w:rPr>
          <w:color w:val="000000"/>
        </w:rPr>
        <w:t xml:space="preserve"> denně (2 ml veterinárního léčivého přípravku), je třeba zvířata sledovat zvláště pečlivě.</w:t>
      </w:r>
    </w:p>
    <w:p w14:paraId="759A027F" w14:textId="77777777" w:rsidR="00B27255" w:rsidRPr="00AD4CDB" w:rsidRDefault="00B27255" w:rsidP="00B27255">
      <w:pPr>
        <w:tabs>
          <w:tab w:val="clear" w:pos="567"/>
        </w:tabs>
        <w:spacing w:line="240" w:lineRule="auto"/>
        <w:jc w:val="both"/>
        <w:rPr>
          <w:color w:val="000000"/>
          <w:szCs w:val="22"/>
          <w:lang w:eastAsia="en-GB"/>
        </w:rPr>
      </w:pPr>
    </w:p>
    <w:p w14:paraId="305EC989" w14:textId="4FD8D727" w:rsidR="00B27255" w:rsidRPr="000000B8" w:rsidRDefault="00B27255" w:rsidP="00B27255">
      <w:pPr>
        <w:tabs>
          <w:tab w:val="clear" w:pos="567"/>
        </w:tabs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Podaná dávka nesmí překročit 20 mg </w:t>
      </w:r>
      <w:proofErr w:type="spellStart"/>
      <w:r>
        <w:rPr>
          <w:color w:val="000000"/>
        </w:rPr>
        <w:t>thiamazolu</w:t>
      </w:r>
      <w:proofErr w:type="spellEnd"/>
      <w:r>
        <w:rPr>
          <w:color w:val="000000"/>
        </w:rPr>
        <w:t xml:space="preserve"> denně (4 ml veterinárního léčivého přípravku).</w:t>
      </w:r>
    </w:p>
    <w:p w14:paraId="3F6648F0" w14:textId="17B953D2" w:rsidR="00B27255" w:rsidRDefault="00B27255" w:rsidP="00B27255">
      <w:pPr>
        <w:tabs>
          <w:tab w:val="clear" w:pos="567"/>
        </w:tabs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Při dlouhodobé léčbě hypertyreózy </w:t>
      </w:r>
      <w:r w:rsidR="00B16EEC">
        <w:rPr>
          <w:color w:val="000000"/>
        </w:rPr>
        <w:t>by</w:t>
      </w:r>
      <w:r>
        <w:rPr>
          <w:color w:val="000000"/>
        </w:rPr>
        <w:t xml:space="preserve"> zvíře</w:t>
      </w:r>
      <w:r w:rsidR="00B16EEC">
        <w:rPr>
          <w:color w:val="000000"/>
        </w:rPr>
        <w:t xml:space="preserve"> mělo být</w:t>
      </w:r>
      <w:r>
        <w:rPr>
          <w:color w:val="000000"/>
        </w:rPr>
        <w:t xml:space="preserve"> léčeno celoživotně.</w:t>
      </w:r>
    </w:p>
    <w:p w14:paraId="36AFC0B5" w14:textId="77777777" w:rsidR="00247A48" w:rsidRPr="006414D3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B6" w14:textId="77777777" w:rsidR="00C114FF" w:rsidRPr="009311ED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3.10</w:t>
      </w:r>
      <w:r>
        <w:rPr>
          <w:b/>
        </w:rPr>
        <w:tab/>
        <w:t>Příznaky předávkování (a kde je relevantní, první pomoc a antidota)</w:t>
      </w:r>
    </w:p>
    <w:p w14:paraId="36AFC0B7" w14:textId="71478AF9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68F48" w14:textId="77777777" w:rsidR="00B27255" w:rsidRDefault="00B27255" w:rsidP="00B27255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 xml:space="preserve">Ve studiích snášenlivosti u mladých zdravých koček se při dávkách až 30 mg/zvíře/den vyskytly následující klinické příznaky související s dávkou: anorexie, zvracení, letargie, pruritus a hematologické a biochemické abnormality, jako jsou </w:t>
      </w:r>
      <w:proofErr w:type="spellStart"/>
      <w:r>
        <w:t>neutropenie</w:t>
      </w:r>
      <w:proofErr w:type="spellEnd"/>
      <w:r>
        <w:t xml:space="preserve">, lymfopenie, snížené sérové koncentrace draslíku a fosforu, zvýšené koncentrace hořčíku a kreatininu a výskyt </w:t>
      </w:r>
      <w:proofErr w:type="spellStart"/>
      <w:r>
        <w:t>antinukleárních</w:t>
      </w:r>
      <w:proofErr w:type="spellEnd"/>
      <w:r>
        <w:t xml:space="preserve"> protilátek. Při dávce </w:t>
      </w:r>
      <w:r>
        <w:lastRenderedPageBreak/>
        <w:t>30 mg/den vykazovaly některé kočky příznaky hemolytické anémie a závažného zhoršení klinického stavu. Některé z těchto příznaků se mohou vyskytnout také u koček s hypertyreózou léčených dávkami až 20 mg denně.</w:t>
      </w:r>
    </w:p>
    <w:p w14:paraId="4283CAEC" w14:textId="77777777" w:rsidR="00B27255" w:rsidRPr="00E97A9E" w:rsidRDefault="00B27255" w:rsidP="00B27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50C8CAF" w14:textId="77777777" w:rsidR="00B27255" w:rsidRDefault="00B27255" w:rsidP="00B27255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>Nadměrné dávky mohou u koček s hypertyreózou vyvolat příznaky hypotyreózy. To je však nepravděpodobné, protože hypotyreóza je obvykle korigována mechanismy negativní zpětné vazby. Viz bod 3.6: Nežádoucí účinky.</w:t>
      </w:r>
    </w:p>
    <w:p w14:paraId="5D7E0451" w14:textId="77777777" w:rsidR="00B27255" w:rsidRPr="00E97A9E" w:rsidRDefault="00B27255" w:rsidP="00B272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6788319" w14:textId="77777777" w:rsidR="00B27255" w:rsidRDefault="00B27255" w:rsidP="00B27255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>V případě předávkování ukončete léčbu a zahajte symptomatickou a podpůrnou léčbu.</w:t>
      </w:r>
    </w:p>
    <w:p w14:paraId="7DDA0AE7" w14:textId="77777777" w:rsidR="00B27255" w:rsidRPr="006414D3" w:rsidRDefault="00B2725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B8" w14:textId="77777777" w:rsidR="009A6509" w:rsidRPr="009311ED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3.11</w:t>
      </w:r>
      <w:r>
        <w:rPr>
          <w:b/>
        </w:rPr>
        <w:tab/>
        <w:t>Zvláštní omezení pro použití a zvláštní podmínky pro použití, včetně omezení používání antimikrobních a antiparazitárních veterinárních léčivých přípravků, za účelem snížení rizika rozvoje rezistence</w:t>
      </w:r>
    </w:p>
    <w:p w14:paraId="36AFC0B9" w14:textId="77777777" w:rsidR="009A6509" w:rsidRPr="009311ED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C2" w14:textId="4DB30440" w:rsidR="009A6509" w:rsidRPr="00B870D9" w:rsidRDefault="00B870D9" w:rsidP="00B870D9">
      <w:pPr>
        <w:rPr>
          <w:szCs w:val="22"/>
        </w:rPr>
      </w:pPr>
      <w:r>
        <w:t>Neuplatňuje se.</w:t>
      </w:r>
    </w:p>
    <w:p w14:paraId="36AFC0C3" w14:textId="77777777" w:rsidR="009A6509" w:rsidRPr="006414D3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36AFC0C4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3.12</w:t>
      </w:r>
      <w:r>
        <w:rPr>
          <w:b/>
        </w:rPr>
        <w:tab/>
        <w:t>Ochranné lhůty</w:t>
      </w:r>
    </w:p>
    <w:p w14:paraId="36AFC0C5" w14:textId="77777777" w:rsidR="00C114FF" w:rsidRPr="006414D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6AFC0CF" w14:textId="7E857F15" w:rsidR="00C114FF" w:rsidRPr="006414D3" w:rsidRDefault="00D42565" w:rsidP="00B870D9">
      <w:pPr>
        <w:tabs>
          <w:tab w:val="clear" w:pos="567"/>
        </w:tabs>
        <w:spacing w:line="240" w:lineRule="auto"/>
        <w:rPr>
          <w:szCs w:val="22"/>
        </w:rPr>
      </w:pPr>
      <w:r>
        <w:t>Neuplatňuje se.</w:t>
      </w:r>
    </w:p>
    <w:p w14:paraId="36AFC0D1" w14:textId="549A9C2D" w:rsidR="00FC02F3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A66454F" w14:textId="77777777" w:rsidR="005C41A6" w:rsidRPr="006414D3" w:rsidRDefault="005C41A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D2" w14:textId="7C3D125A" w:rsidR="00C114FF" w:rsidRPr="00506AAE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4.</w:t>
      </w:r>
      <w:r>
        <w:rPr>
          <w:b/>
        </w:rPr>
        <w:tab/>
        <w:t>FARMAKOLOGICKÉ INFORMACE</w:t>
      </w:r>
    </w:p>
    <w:p w14:paraId="36AFC0D3" w14:textId="77777777" w:rsidR="00C114FF" w:rsidRPr="00AD4CDB" w:rsidRDefault="00C114FF" w:rsidP="00145C3F">
      <w:pPr>
        <w:tabs>
          <w:tab w:val="clear" w:pos="567"/>
        </w:tabs>
        <w:spacing w:line="240" w:lineRule="auto"/>
        <w:rPr>
          <w:szCs w:val="22"/>
          <w:lang w:val="en-US"/>
        </w:rPr>
      </w:pPr>
    </w:p>
    <w:p w14:paraId="69DB584E" w14:textId="75842582" w:rsidR="00AC177C" w:rsidRPr="005F48B2" w:rsidRDefault="00D42565" w:rsidP="00AC177C">
      <w:pPr>
        <w:pStyle w:val="Zkladntext"/>
      </w:pPr>
      <w:r>
        <w:rPr>
          <w:b/>
        </w:rPr>
        <w:t>4.1</w:t>
      </w:r>
      <w:r>
        <w:rPr>
          <w:b/>
        </w:rPr>
        <w:tab/>
      </w:r>
      <w:proofErr w:type="spellStart"/>
      <w:r>
        <w:rPr>
          <w:b/>
        </w:rPr>
        <w:t>ATCvet</w:t>
      </w:r>
      <w:proofErr w:type="spellEnd"/>
      <w:r>
        <w:rPr>
          <w:b/>
        </w:rPr>
        <w:t xml:space="preserve"> kód:</w:t>
      </w:r>
      <w:r w:rsidR="00D10050">
        <w:rPr>
          <w:b/>
        </w:rPr>
        <w:t xml:space="preserve"> </w:t>
      </w:r>
      <w:r w:rsidR="00AC177C">
        <w:t>QH03BB02</w:t>
      </w:r>
    </w:p>
    <w:p w14:paraId="36AFC0D6" w14:textId="77777777" w:rsidR="00C114FF" w:rsidRPr="00AD4CDB" w:rsidRDefault="00C114FF" w:rsidP="00A9226B">
      <w:pPr>
        <w:tabs>
          <w:tab w:val="clear" w:pos="567"/>
        </w:tabs>
        <w:spacing w:line="240" w:lineRule="auto"/>
        <w:rPr>
          <w:szCs w:val="22"/>
          <w:lang w:val="en-US"/>
        </w:rPr>
      </w:pPr>
    </w:p>
    <w:p w14:paraId="36AFC0D7" w14:textId="6FA24312" w:rsidR="00C114FF" w:rsidRPr="006414D3" w:rsidRDefault="00FD1E4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</w:rPr>
      </w:pPr>
      <w:r>
        <w:rPr>
          <w:b/>
        </w:rPr>
        <w:t>4.2</w:t>
      </w:r>
      <w:r>
        <w:rPr>
          <w:b/>
        </w:rPr>
        <w:tab/>
        <w:t>Farmakodynamika</w:t>
      </w:r>
    </w:p>
    <w:p w14:paraId="36AFC0D8" w14:textId="77C6A4E8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1B9905" w14:textId="699FE934" w:rsidR="00AC177C" w:rsidRDefault="00AC177C" w:rsidP="00AC177C">
      <w:pPr>
        <w:tabs>
          <w:tab w:val="clear" w:pos="567"/>
        </w:tabs>
        <w:spacing w:line="240" w:lineRule="auto"/>
        <w:jc w:val="both"/>
        <w:rPr>
          <w:color w:val="000000"/>
          <w:szCs w:val="22"/>
        </w:rPr>
      </w:pPr>
      <w:proofErr w:type="spellStart"/>
      <w:r>
        <w:rPr>
          <w:color w:val="000000"/>
        </w:rPr>
        <w:t>Thiamazol</w:t>
      </w:r>
      <w:proofErr w:type="spellEnd"/>
      <w:r>
        <w:rPr>
          <w:color w:val="000000"/>
        </w:rPr>
        <w:t xml:space="preserve"> působí blokováním biosyntézy hormon</w:t>
      </w:r>
      <w:r w:rsidR="00E50ACA">
        <w:rPr>
          <w:color w:val="000000"/>
        </w:rPr>
        <w:t>u</w:t>
      </w:r>
      <w:r>
        <w:rPr>
          <w:color w:val="000000"/>
        </w:rPr>
        <w:t xml:space="preserve"> štítné žlázy </w:t>
      </w:r>
      <w:r w:rsidRPr="007A2D44">
        <w:rPr>
          <w:i/>
          <w:color w:val="000000"/>
        </w:rPr>
        <w:t xml:space="preserve">in </w:t>
      </w:r>
      <w:proofErr w:type="spellStart"/>
      <w:r w:rsidRPr="007A2D44">
        <w:rPr>
          <w:i/>
          <w:color w:val="000000"/>
        </w:rPr>
        <w:t>vivo</w:t>
      </w:r>
      <w:proofErr w:type="spellEnd"/>
      <w:r>
        <w:rPr>
          <w:color w:val="000000"/>
        </w:rPr>
        <w:t>. Primárním účinkem je inhibice vazby jodidu na enzym tyreo</w:t>
      </w:r>
      <w:r w:rsidR="00E50ACA">
        <w:rPr>
          <w:color w:val="000000"/>
        </w:rPr>
        <w:t xml:space="preserve">idální </w:t>
      </w:r>
      <w:r>
        <w:rPr>
          <w:color w:val="000000"/>
        </w:rPr>
        <w:t xml:space="preserve">peroxidázu, čímž se zabrání katalyzované </w:t>
      </w:r>
      <w:proofErr w:type="spellStart"/>
      <w:r>
        <w:rPr>
          <w:color w:val="000000"/>
        </w:rPr>
        <w:t>jodaci</w:t>
      </w:r>
      <w:proofErr w:type="spellEnd"/>
      <w:r>
        <w:rPr>
          <w:color w:val="000000"/>
        </w:rPr>
        <w:t xml:space="preserve"> tyreoglobulinu a syntéze T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a T</w:t>
      </w:r>
      <w:r>
        <w:rPr>
          <w:color w:val="000000"/>
          <w:vertAlign w:val="subscript"/>
        </w:rPr>
        <w:t>4</w:t>
      </w:r>
      <w:r>
        <w:rPr>
          <w:color w:val="000000"/>
        </w:rPr>
        <w:t>.</w:t>
      </w:r>
    </w:p>
    <w:p w14:paraId="71014A3A" w14:textId="77777777" w:rsidR="00AC177C" w:rsidRPr="006414D3" w:rsidRDefault="00AC177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D9" w14:textId="75F3DD12" w:rsidR="00C114FF" w:rsidRPr="006414D3" w:rsidRDefault="00FD1E4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4.3</w:t>
      </w:r>
      <w:r>
        <w:rPr>
          <w:b/>
        </w:rPr>
        <w:tab/>
        <w:t>Farmakokinetika</w:t>
      </w:r>
    </w:p>
    <w:p w14:paraId="36AFC0DA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BA7B14" w14:textId="01715849" w:rsidR="00AC177C" w:rsidRDefault="00AC177C" w:rsidP="00AC177C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Po perorálním podání zdravým kočkám se </w:t>
      </w:r>
      <w:proofErr w:type="spellStart"/>
      <w:r>
        <w:rPr>
          <w:color w:val="000000"/>
        </w:rPr>
        <w:t>thiamazol</w:t>
      </w:r>
      <w:proofErr w:type="spellEnd"/>
      <w:r>
        <w:rPr>
          <w:color w:val="000000"/>
        </w:rPr>
        <w:t xml:space="preserve"> rychle a úplně vstřebává s biologickou dostupností &gt; 75 %. Mezi jednotlivými zvířaty však existují značné rozdíly. Eliminace léčivé látky z plazmy koček je rychlá, s poločasem 2,3 až 8,7 hodiny. Maximálních plazmatických koncentrací je dosaženo přibližně </w:t>
      </w:r>
      <w:r w:rsidR="00E50ACA">
        <w:rPr>
          <w:color w:val="000000"/>
        </w:rPr>
        <w:t xml:space="preserve">za </w:t>
      </w:r>
      <w:r>
        <w:rPr>
          <w:color w:val="000000"/>
        </w:rPr>
        <w:t xml:space="preserve">0,5 až 1,5 hodiny po podání. Průměrná </w:t>
      </w:r>
      <w:proofErr w:type="spellStart"/>
      <w:r>
        <w:rPr>
          <w:color w:val="000000"/>
        </w:rPr>
        <w:t>C</w:t>
      </w:r>
      <w:r>
        <w:rPr>
          <w:color w:val="000000"/>
          <w:vertAlign w:val="subscript"/>
        </w:rPr>
        <w:t>max</w:t>
      </w:r>
      <w:proofErr w:type="spellEnd"/>
      <w:r>
        <w:rPr>
          <w:color w:val="000000"/>
        </w:rPr>
        <w:t xml:space="preserve"> je 1,4 </w:t>
      </w:r>
      <w:proofErr w:type="spellStart"/>
      <w:r>
        <w:rPr>
          <w:color w:val="000000"/>
        </w:rPr>
        <w:t>μg</w:t>
      </w:r>
      <w:proofErr w:type="spellEnd"/>
      <w:r>
        <w:rPr>
          <w:color w:val="000000"/>
        </w:rPr>
        <w:t>/ml.</w:t>
      </w:r>
    </w:p>
    <w:p w14:paraId="4A1098AA" w14:textId="77777777" w:rsidR="00AC177C" w:rsidRPr="00AD4CDB" w:rsidRDefault="00AC177C" w:rsidP="00AC177C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en-GB"/>
        </w:rPr>
      </w:pPr>
    </w:p>
    <w:p w14:paraId="79BD88E5" w14:textId="36C26F32" w:rsidR="00AC177C" w:rsidRDefault="00AC177C" w:rsidP="00AC177C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U potkanů bylo prokázáno, že se </w:t>
      </w:r>
      <w:proofErr w:type="spellStart"/>
      <w:r>
        <w:rPr>
          <w:color w:val="000000"/>
        </w:rPr>
        <w:t>thiamazol</w:t>
      </w:r>
      <w:proofErr w:type="spellEnd"/>
      <w:r>
        <w:rPr>
          <w:color w:val="000000"/>
        </w:rPr>
        <w:t xml:space="preserve"> váže na plazmatické bílkoviny jen slabě (5 %); 40 % se vázalo na červené krvinky. Metabolismus </w:t>
      </w:r>
      <w:proofErr w:type="spellStart"/>
      <w:r>
        <w:rPr>
          <w:color w:val="000000"/>
        </w:rPr>
        <w:t>thiamazolu</w:t>
      </w:r>
      <w:proofErr w:type="spellEnd"/>
      <w:r>
        <w:rPr>
          <w:color w:val="000000"/>
        </w:rPr>
        <w:t xml:space="preserve"> u koček nebyl zkoumán; u potkanů je však </w:t>
      </w:r>
      <w:proofErr w:type="spellStart"/>
      <w:r>
        <w:rPr>
          <w:color w:val="000000"/>
        </w:rPr>
        <w:t>thiamazol</w:t>
      </w:r>
      <w:proofErr w:type="spellEnd"/>
      <w:r>
        <w:rPr>
          <w:color w:val="000000"/>
        </w:rPr>
        <w:t xml:space="preserve"> rychle metabolizován ve štítné žláze. Přibližně 64 % podané dávky se vylučuje močí a pouze 7,8 % </w:t>
      </w:r>
      <w:r w:rsidR="00E50ACA">
        <w:rPr>
          <w:color w:val="000000"/>
        </w:rPr>
        <w:t>trusem</w:t>
      </w:r>
      <w:r>
        <w:rPr>
          <w:color w:val="000000"/>
        </w:rPr>
        <w:t>. To je na rozdíl od člověka, u něhož hrají játra významnou roli v metabolickém odbourávání této látky. Předpokládá se, že doba setrvání léčivé látky ve štítné žláze je delší než v plazmě.</w:t>
      </w:r>
    </w:p>
    <w:p w14:paraId="7739C2E8" w14:textId="77777777" w:rsidR="00AC177C" w:rsidRPr="00AD4CDB" w:rsidRDefault="00AC177C" w:rsidP="00AC177C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en-GB"/>
        </w:rPr>
      </w:pPr>
    </w:p>
    <w:p w14:paraId="7DF73916" w14:textId="77777777" w:rsidR="00AC177C" w:rsidRPr="00F21B3B" w:rsidRDefault="00AC177C" w:rsidP="00AC177C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color w:val="000000"/>
        </w:rPr>
        <w:t>Z údajů u člověka a potkanů je známo, že léčivá látka může procházet placentou a hromadí se ve štítné žláze plodu. Ve vysoké míře rovněž přechází do mateřského mléka.</w:t>
      </w:r>
    </w:p>
    <w:p w14:paraId="36AFC0DC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DD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DE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5.</w:t>
      </w:r>
      <w:r>
        <w:rPr>
          <w:b/>
        </w:rPr>
        <w:tab/>
        <w:t>FARMACEUTICKÉ ÚDAJE</w:t>
      </w:r>
    </w:p>
    <w:p w14:paraId="36AFC0DF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E0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5.1</w:t>
      </w:r>
      <w:r>
        <w:rPr>
          <w:b/>
        </w:rPr>
        <w:tab/>
        <w:t>Hlavní inkompatibility</w:t>
      </w:r>
    </w:p>
    <w:p w14:paraId="36AFC0E1" w14:textId="77777777" w:rsidR="00C114FF" w:rsidRPr="006414D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6AFC0E6" w14:textId="0B255F8E" w:rsidR="00C114FF" w:rsidRPr="006414D3" w:rsidRDefault="00D42565" w:rsidP="00322982">
      <w:pPr>
        <w:rPr>
          <w:szCs w:val="22"/>
        </w:rPr>
      </w:pPr>
      <w:r>
        <w:t>Studie kompatibility nejsou k dispozici, a proto tento veterinární léčivý přípravek nesmí být mísen s žádnými dalšími veterinárními léčivými přípravky.</w:t>
      </w:r>
    </w:p>
    <w:p w14:paraId="36AFC0E7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E8" w14:textId="77777777" w:rsidR="00C114FF" w:rsidRPr="006414D3" w:rsidRDefault="00D42565" w:rsidP="00D10050">
      <w:pPr>
        <w:keepNext/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lastRenderedPageBreak/>
        <w:t>5.2</w:t>
      </w:r>
      <w:r>
        <w:rPr>
          <w:b/>
        </w:rPr>
        <w:tab/>
        <w:t>Doba použitelnosti</w:t>
      </w:r>
    </w:p>
    <w:p w14:paraId="36AFC0E9" w14:textId="77777777" w:rsidR="00C114FF" w:rsidRPr="006414D3" w:rsidRDefault="00C114FF" w:rsidP="00D10050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70C2A927" w14:textId="77777777" w:rsidR="004014E5" w:rsidRDefault="004014E5" w:rsidP="004014E5">
      <w:pPr>
        <w:tabs>
          <w:tab w:val="clear" w:pos="567"/>
        </w:tabs>
        <w:spacing w:line="240" w:lineRule="auto"/>
      </w:pPr>
      <w:r>
        <w:t>Doba použitelnosti veterinárního léčivého přípravku v neporušeném obalu: 2 roky.</w:t>
      </w:r>
    </w:p>
    <w:p w14:paraId="76E0276A" w14:textId="421D127E" w:rsidR="004014E5" w:rsidRDefault="004014E5" w:rsidP="004014E5">
      <w:pPr>
        <w:tabs>
          <w:tab w:val="clear" w:pos="567"/>
        </w:tabs>
        <w:spacing w:line="240" w:lineRule="auto"/>
      </w:pPr>
      <w:bookmarkStart w:id="2" w:name="_Hlk219841244"/>
      <w:r>
        <w:t>Doba použitelnosti po prvním otevření vnitřního obalu: 6 měsíců.</w:t>
      </w:r>
    </w:p>
    <w:bookmarkEnd w:id="2"/>
    <w:p w14:paraId="36AFC0F0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0F1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5.3</w:t>
      </w:r>
      <w:r>
        <w:rPr>
          <w:b/>
        </w:rPr>
        <w:tab/>
        <w:t>Zvláštní opatření pro uchovávání</w:t>
      </w:r>
    </w:p>
    <w:p w14:paraId="2E96FD88" w14:textId="2593A4D2" w:rsidR="004014E5" w:rsidRPr="00FA05DE" w:rsidRDefault="004014E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49CDAF" w14:textId="12DE7C24" w:rsidR="00535677" w:rsidRDefault="00535677" w:rsidP="00535677">
      <w:pPr>
        <w:tabs>
          <w:tab w:val="clear" w:pos="567"/>
        </w:tabs>
        <w:spacing w:line="240" w:lineRule="auto"/>
        <w:rPr>
          <w:szCs w:val="22"/>
        </w:rPr>
      </w:pPr>
      <w:r>
        <w:t xml:space="preserve">Uchovávejte v původním obalu, aby byl </w:t>
      </w:r>
      <w:r w:rsidR="006A7D11">
        <w:t xml:space="preserve">přípravek </w:t>
      </w:r>
      <w:r>
        <w:t xml:space="preserve">chráněn před světlem. </w:t>
      </w:r>
    </w:p>
    <w:p w14:paraId="2DA05A09" w14:textId="0FC2A951" w:rsidR="004014E5" w:rsidRDefault="00D42565" w:rsidP="00A9226B">
      <w:pPr>
        <w:tabs>
          <w:tab w:val="clear" w:pos="567"/>
        </w:tabs>
        <w:spacing w:line="240" w:lineRule="auto"/>
        <w:rPr>
          <w:szCs w:val="22"/>
        </w:rPr>
      </w:pPr>
      <w:r>
        <w:t>Tento veterinární léčivý přípravek nevyžaduje žádné zvláštní teplotní podmínky uchovávání.</w:t>
      </w:r>
    </w:p>
    <w:p w14:paraId="36AFC10F" w14:textId="7926EBB8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110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5.4</w:t>
      </w:r>
      <w:r>
        <w:rPr>
          <w:b/>
        </w:rPr>
        <w:tab/>
        <w:t>Druh a složení vnitřního obalu</w:t>
      </w:r>
    </w:p>
    <w:p w14:paraId="36AFC111" w14:textId="77777777" w:rsidR="00C114FF" w:rsidRPr="006414D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5D3D80D" w14:textId="68933D30" w:rsidR="00542EB0" w:rsidRDefault="00542EB0" w:rsidP="007A2D44">
      <w:pPr>
        <w:tabs>
          <w:tab w:val="clear" w:pos="567"/>
        </w:tabs>
        <w:spacing w:line="240" w:lineRule="auto"/>
        <w:rPr>
          <w:szCs w:val="22"/>
        </w:rPr>
      </w:pPr>
      <w:bookmarkStart w:id="3" w:name="_Hlk219935026"/>
      <w:r>
        <w:t xml:space="preserve">Hnědé lahvičky z </w:t>
      </w:r>
      <w:proofErr w:type="spellStart"/>
      <w:r>
        <w:t>polyethylentereftalátu</w:t>
      </w:r>
      <w:proofErr w:type="spellEnd"/>
      <w:r>
        <w:t xml:space="preserve"> (PET) s vložkami uzávěru z </w:t>
      </w:r>
      <w:proofErr w:type="spellStart"/>
      <w:r>
        <w:t>nízkohustotního</w:t>
      </w:r>
      <w:proofErr w:type="spellEnd"/>
      <w:r>
        <w:t xml:space="preserve"> </w:t>
      </w:r>
      <w:proofErr w:type="spellStart"/>
      <w:r>
        <w:t>polyethylenu</w:t>
      </w:r>
      <w:proofErr w:type="spellEnd"/>
      <w:r>
        <w:t xml:space="preserve"> (LDPE) a dětskými bezpečnostními uzávěry z </w:t>
      </w:r>
      <w:bookmarkStart w:id="4" w:name="_Hlk219934284"/>
      <w:proofErr w:type="spellStart"/>
      <w:r>
        <w:t>vysokohustotního</w:t>
      </w:r>
      <w:proofErr w:type="spellEnd"/>
      <w:r>
        <w:t xml:space="preserve"> </w:t>
      </w:r>
      <w:proofErr w:type="spellStart"/>
      <w:r>
        <w:t>polyethylenu</w:t>
      </w:r>
      <w:proofErr w:type="spellEnd"/>
      <w:r>
        <w:t xml:space="preserve"> (HDPE/LDPE) nebo polypropylenu (PP)/HDPE</w:t>
      </w:r>
      <w:bookmarkEnd w:id="4"/>
      <w:r>
        <w:t xml:space="preserve">, opatřenými pojistkou proti neoprávněné manipulaci, v papírové krabičce. </w:t>
      </w:r>
    </w:p>
    <w:p w14:paraId="3C5C14BA" w14:textId="3D343859" w:rsidR="00751458" w:rsidRDefault="00542EB0" w:rsidP="007A2D44">
      <w:pPr>
        <w:tabs>
          <w:tab w:val="clear" w:pos="567"/>
        </w:tabs>
        <w:spacing w:line="240" w:lineRule="auto"/>
        <w:rPr>
          <w:szCs w:val="22"/>
        </w:rPr>
      </w:pPr>
      <w:r>
        <w:t>Veterinární léčivý přípravek je dodáván s 1ml odměrn</w:t>
      </w:r>
      <w:r w:rsidR="00721DDD">
        <w:t>ým perorálním aplikátorem</w:t>
      </w:r>
      <w:r>
        <w:t xml:space="preserve"> se stupnicí po 0,25 mg až do 5 mg, kter</w:t>
      </w:r>
      <w:r w:rsidR="00721DDD">
        <w:t>ý</w:t>
      </w:r>
      <w:r>
        <w:t xml:space="preserve"> se skládá z pístu z HDPE a </w:t>
      </w:r>
      <w:r w:rsidR="00721DDD">
        <w:t xml:space="preserve">těla </w:t>
      </w:r>
      <w:r>
        <w:t>z PP.</w:t>
      </w:r>
    </w:p>
    <w:bookmarkEnd w:id="3"/>
    <w:p w14:paraId="116A88C5" w14:textId="77777777" w:rsidR="00751458" w:rsidRPr="00AD4CDB" w:rsidRDefault="00751458" w:rsidP="00751458">
      <w:pPr>
        <w:rPr>
          <w:szCs w:val="22"/>
        </w:rPr>
      </w:pPr>
    </w:p>
    <w:p w14:paraId="3F0D95CE" w14:textId="77777777" w:rsidR="00751458" w:rsidRDefault="00751458" w:rsidP="00751458">
      <w:pPr>
        <w:spacing w:line="276" w:lineRule="auto"/>
        <w:rPr>
          <w:szCs w:val="22"/>
          <w:u w:val="single"/>
        </w:rPr>
      </w:pPr>
      <w:bookmarkStart w:id="5" w:name="_Hlk219935038"/>
      <w:r>
        <w:rPr>
          <w:u w:val="single"/>
        </w:rPr>
        <w:t>Velikost balení:</w:t>
      </w:r>
    </w:p>
    <w:p w14:paraId="7F796C48" w14:textId="28E4BDF2" w:rsidR="0064045E" w:rsidRPr="007A2D44" w:rsidRDefault="0064045E" w:rsidP="00FA05DE">
      <w:pPr>
        <w:pStyle w:val="Nadpis5"/>
        <w:jc w:val="left"/>
        <w:rPr>
          <w:b w:val="0"/>
          <w:i/>
          <w:szCs w:val="22"/>
        </w:rPr>
      </w:pPr>
      <w:r w:rsidRPr="007A2D44">
        <w:rPr>
          <w:b w:val="0"/>
          <w:szCs w:val="22"/>
        </w:rPr>
        <w:t>Papírová krabička s 1 lahvičkou obsahující 30 ml perorálního roztoku a 1 perorální</w:t>
      </w:r>
      <w:r w:rsidR="00721DDD" w:rsidRPr="007E5A3F">
        <w:rPr>
          <w:b w:val="0"/>
          <w:szCs w:val="22"/>
        </w:rPr>
        <w:t>m</w:t>
      </w:r>
      <w:r w:rsidRPr="007A2D44">
        <w:rPr>
          <w:b w:val="0"/>
          <w:szCs w:val="22"/>
        </w:rPr>
        <w:t xml:space="preserve"> </w:t>
      </w:r>
      <w:r w:rsidR="00721DDD" w:rsidRPr="007E5A3F">
        <w:rPr>
          <w:b w:val="0"/>
          <w:szCs w:val="22"/>
        </w:rPr>
        <w:t>aplikátorem</w:t>
      </w:r>
      <w:r w:rsidRPr="007A2D44">
        <w:rPr>
          <w:b w:val="0"/>
          <w:szCs w:val="22"/>
        </w:rPr>
        <w:t xml:space="preserve"> o objemu 1 ml se stupnicí po 0,25 mg.</w:t>
      </w:r>
    </w:p>
    <w:p w14:paraId="642D7309" w14:textId="6A57BAB0" w:rsidR="0064045E" w:rsidRPr="000A50C7" w:rsidRDefault="0064045E" w:rsidP="0064045E">
      <w:pPr>
        <w:spacing w:line="276" w:lineRule="auto"/>
        <w:rPr>
          <w:szCs w:val="22"/>
          <w:u w:val="single"/>
        </w:rPr>
      </w:pPr>
      <w:r w:rsidRPr="007A2D44">
        <w:rPr>
          <w:szCs w:val="22"/>
        </w:rPr>
        <w:t>Papírová krabička s 1 lahvičkou obsahující 100 ml perorálního roztoku a 1 </w:t>
      </w:r>
      <w:r w:rsidR="00721DDD" w:rsidRPr="007E5A3F">
        <w:rPr>
          <w:szCs w:val="22"/>
        </w:rPr>
        <w:t xml:space="preserve">perorálním aplikátorem </w:t>
      </w:r>
      <w:r w:rsidRPr="007A2D44">
        <w:rPr>
          <w:szCs w:val="22"/>
        </w:rPr>
        <w:t>o objemu 1 ml se stupnicí po 0,25 mg.</w:t>
      </w:r>
    </w:p>
    <w:bookmarkEnd w:id="5"/>
    <w:p w14:paraId="72E7EC4D" w14:textId="0CFD32D1" w:rsidR="00542EB0" w:rsidRPr="006414D3" w:rsidRDefault="0064045E" w:rsidP="00470FBF">
      <w:pPr>
        <w:spacing w:line="276" w:lineRule="auto"/>
        <w:rPr>
          <w:szCs w:val="22"/>
        </w:rPr>
      </w:pPr>
      <w:r>
        <w:t xml:space="preserve"> Na trhu nemusí být všechny velikosti balení. </w:t>
      </w:r>
    </w:p>
    <w:p w14:paraId="36AFC113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114" w14:textId="77777777" w:rsidR="00C114FF" w:rsidRPr="006414D3" w:rsidRDefault="00D42565" w:rsidP="00D10050">
      <w:pPr>
        <w:keepNext/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5.5</w:t>
      </w:r>
      <w:r>
        <w:tab/>
      </w:r>
      <w:r>
        <w:rPr>
          <w:b/>
        </w:rPr>
        <w:t>Zvláštní opatření pro likvidaci nepoužitých veterinárních léčivých přípravků nebo odpadů, které pochází z těchto přípravků</w:t>
      </w:r>
    </w:p>
    <w:p w14:paraId="36AFC115" w14:textId="77777777" w:rsidR="00C114FF" w:rsidRPr="006414D3" w:rsidRDefault="00C114FF" w:rsidP="00D10050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6AFC116" w14:textId="18CF0962" w:rsidR="00FD1E45" w:rsidRPr="006414D3" w:rsidRDefault="00D42565" w:rsidP="00FD1E45">
      <w:pPr>
        <w:rPr>
          <w:szCs w:val="22"/>
        </w:rPr>
      </w:pPr>
      <w:r>
        <w:t>Léčivé přípravky se nesmí likvidovat prostřednictvím odpadní vody či domovního odpadu.</w:t>
      </w:r>
    </w:p>
    <w:p w14:paraId="36AFC117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11A" w14:textId="77777777" w:rsidR="0078538F" w:rsidRPr="006414D3" w:rsidRDefault="00D42565" w:rsidP="0035607F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>Všechen nepoužitý veterinární léčivý přípravek nebo odpad, který pochází z tohoto přípravku, likvidujte odevzdáním v souladu s místními požadavky a národními systémy sběru, které jsou platné pro příslušný veterinární léčivý přípravek.</w:t>
      </w:r>
    </w:p>
    <w:p w14:paraId="36AFC11D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11E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11F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</w:rPr>
      </w:pPr>
      <w:r>
        <w:rPr>
          <w:b/>
        </w:rPr>
        <w:t>6.</w:t>
      </w:r>
      <w:r>
        <w:rPr>
          <w:b/>
        </w:rPr>
        <w:tab/>
        <w:t>JMÉNO DRŽITELE ROZHODNUTÍ O REGISTRACI</w:t>
      </w:r>
    </w:p>
    <w:p w14:paraId="36AFC120" w14:textId="77777777" w:rsidR="00C114FF" w:rsidRPr="006414D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338326C" w14:textId="4EA4FA42" w:rsidR="0035607F" w:rsidRPr="006414D3" w:rsidRDefault="0035607F" w:rsidP="0035607F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t>Chanelle</w:t>
      </w:r>
      <w:proofErr w:type="spellEnd"/>
      <w:r>
        <w:t xml:space="preserve"> </w:t>
      </w:r>
      <w:proofErr w:type="spellStart"/>
      <w:r>
        <w:t>Pharmaceuticals</w:t>
      </w:r>
      <w:proofErr w:type="spellEnd"/>
      <w:r>
        <w:t xml:space="preserve"> </w:t>
      </w:r>
      <w:proofErr w:type="spellStart"/>
      <w:r>
        <w:t>Manufacturing</w:t>
      </w:r>
      <w:proofErr w:type="spellEnd"/>
      <w:r>
        <w:t xml:space="preserve"> Limited.</w:t>
      </w:r>
    </w:p>
    <w:p w14:paraId="36AFC122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123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124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7.</w:t>
      </w:r>
      <w:r>
        <w:rPr>
          <w:b/>
        </w:rPr>
        <w:tab/>
        <w:t>REGISTRAČNÍ ČÍSLO(A)</w:t>
      </w:r>
    </w:p>
    <w:p w14:paraId="36AFC125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126" w14:textId="2CF61D7F" w:rsidR="00C114FF" w:rsidRDefault="007A2D44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96/049/26-C</w:t>
      </w:r>
    </w:p>
    <w:p w14:paraId="78D65ACA" w14:textId="77777777" w:rsidR="007A2D44" w:rsidRDefault="007A2D4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CF98E1E" w14:textId="77777777" w:rsidR="0035607F" w:rsidRPr="006414D3" w:rsidRDefault="0035607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127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</w:rPr>
        <w:t>8.</w:t>
      </w:r>
      <w:r>
        <w:rPr>
          <w:b/>
        </w:rPr>
        <w:tab/>
        <w:t>DATUM PRVNÍ REGISTRACE</w:t>
      </w:r>
    </w:p>
    <w:p w14:paraId="36AFC128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129" w14:textId="409E1263" w:rsidR="00C114FF" w:rsidRPr="006414D3" w:rsidRDefault="007A2D44" w:rsidP="00A9226B">
      <w:pPr>
        <w:tabs>
          <w:tab w:val="clear" w:pos="567"/>
        </w:tabs>
        <w:spacing w:line="240" w:lineRule="auto"/>
        <w:rPr>
          <w:szCs w:val="22"/>
        </w:rPr>
      </w:pPr>
      <w:r>
        <w:t>16. 9. 2026</w:t>
      </w:r>
    </w:p>
    <w:p w14:paraId="36AFC12A" w14:textId="77777777" w:rsidR="00D65777" w:rsidRPr="006414D3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12B" w14:textId="77777777" w:rsidR="00D65777" w:rsidRPr="006414D3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12C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</w:rPr>
      </w:pPr>
      <w:r>
        <w:rPr>
          <w:b/>
        </w:rPr>
        <w:t>9.</w:t>
      </w:r>
      <w:r>
        <w:rPr>
          <w:b/>
        </w:rPr>
        <w:tab/>
        <w:t>DATUM POSLEDNÍ AKTUALIZACE SOUHRNU ÚDAJŮ O PŘÍPRAVKU</w:t>
      </w:r>
    </w:p>
    <w:p w14:paraId="36AFC12D" w14:textId="77777777" w:rsidR="00C114FF" w:rsidRPr="006414D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6AFC12F" w14:textId="6FC52C8C" w:rsidR="00423968" w:rsidRPr="006414D3" w:rsidRDefault="00E50ACA" w:rsidP="00423968">
      <w:pPr>
        <w:tabs>
          <w:tab w:val="clear" w:pos="567"/>
        </w:tabs>
        <w:spacing w:line="240" w:lineRule="auto"/>
      </w:pPr>
      <w:r>
        <w:t>0</w:t>
      </w:r>
      <w:r w:rsidR="007A2D44">
        <w:t>9</w:t>
      </w:r>
      <w:bookmarkStart w:id="6" w:name="_GoBack"/>
      <w:bookmarkEnd w:id="6"/>
      <w:r>
        <w:t>/2026</w:t>
      </w:r>
    </w:p>
    <w:p w14:paraId="36AFC134" w14:textId="77777777" w:rsidR="0078538F" w:rsidRDefault="0078538F" w:rsidP="0078538F">
      <w:pPr>
        <w:rPr>
          <w:szCs w:val="22"/>
        </w:rPr>
      </w:pPr>
    </w:p>
    <w:p w14:paraId="36AFC139" w14:textId="77777777" w:rsidR="00B113B9" w:rsidRPr="006414D3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13A" w14:textId="77777777" w:rsidR="00C114FF" w:rsidRPr="006414D3" w:rsidRDefault="00D42565" w:rsidP="003F0BC8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</w:rPr>
      </w:pPr>
      <w:r>
        <w:rPr>
          <w:b/>
        </w:rPr>
        <w:t>10.</w:t>
      </w:r>
      <w:r>
        <w:rPr>
          <w:b/>
        </w:rPr>
        <w:tab/>
        <w:t>KLASIFIKACE VETERINÁRNÍCH LÉČIVÝCH PŘÍPRAVKŮ</w:t>
      </w:r>
    </w:p>
    <w:p w14:paraId="36AFC13B" w14:textId="77777777" w:rsidR="0078538F" w:rsidRPr="006414D3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EDD671" w14:textId="77777777" w:rsidR="0035607F" w:rsidRDefault="00D42565" w:rsidP="0078538F">
      <w:pPr>
        <w:numPr>
          <w:ilvl w:val="12"/>
          <w:numId w:val="0"/>
        </w:numPr>
        <w:rPr>
          <w:szCs w:val="22"/>
        </w:rPr>
      </w:pPr>
      <w:r>
        <w:t>Veterinární léčivý přípravek je vydáván pouze na předpis.</w:t>
      </w:r>
    </w:p>
    <w:p w14:paraId="36AFC13F" w14:textId="77777777" w:rsidR="0078538F" w:rsidRPr="006414D3" w:rsidRDefault="0078538F" w:rsidP="0078538F">
      <w:pPr>
        <w:ind w:right="-318"/>
        <w:rPr>
          <w:szCs w:val="22"/>
        </w:rPr>
      </w:pPr>
    </w:p>
    <w:p w14:paraId="36AFC140" w14:textId="4ABD72CF" w:rsidR="0078538F" w:rsidRDefault="00D42565" w:rsidP="0078538F">
      <w:pPr>
        <w:ind w:right="-318"/>
      </w:pPr>
      <w:bookmarkStart w:id="7" w:name="_Hlk73467306"/>
      <w:r>
        <w:t xml:space="preserve">Podrobné informace o tomto veterinárním léčivém přípravku jsou k dispozici v </w:t>
      </w:r>
      <w:r w:rsidRPr="007A2D44">
        <w:rPr>
          <w:rStyle w:val="Hypertextovodkaz"/>
          <w:color w:val="auto"/>
          <w:u w:val="none"/>
        </w:rPr>
        <w:t>databázi přípravků Unie</w:t>
      </w:r>
      <w:r w:rsidRPr="00304B93">
        <w:t xml:space="preserve"> </w:t>
      </w:r>
      <w:r>
        <w:t>(</w:t>
      </w:r>
      <w:hyperlink r:id="rId10" w:history="1">
        <w:r>
          <w:rPr>
            <w:rStyle w:val="Hypertextovodkaz"/>
          </w:rPr>
          <w:t>https://medicines.health.europa.eu/veterinary</w:t>
        </w:r>
      </w:hyperlink>
      <w:r>
        <w:t>).</w:t>
      </w:r>
    </w:p>
    <w:p w14:paraId="60EA5793" w14:textId="1F202B73" w:rsidR="00304B93" w:rsidRDefault="00304B93" w:rsidP="0078538F">
      <w:pPr>
        <w:ind w:right="-318"/>
        <w:rPr>
          <w:szCs w:val="22"/>
        </w:rPr>
      </w:pPr>
    </w:p>
    <w:p w14:paraId="232F98B2" w14:textId="77777777" w:rsidR="00304B93" w:rsidRPr="007A2D44" w:rsidRDefault="00304B93" w:rsidP="007A2D44">
      <w:pPr>
        <w:spacing w:line="240" w:lineRule="auto"/>
      </w:pPr>
      <w:bookmarkStart w:id="8" w:name="_Hlk148432335"/>
      <w:r w:rsidRPr="007A2D44">
        <w:t>Podrobné informace o tomto veterinárním léčivém přípravku naleznete také v národní databázi (</w:t>
      </w:r>
      <w:hyperlink r:id="rId11" w:history="1">
        <w:r w:rsidRPr="007A2D44">
          <w:rPr>
            <w:rStyle w:val="Hypertextovodkaz"/>
          </w:rPr>
          <w:t>https://www.uskvbl.cz</w:t>
        </w:r>
      </w:hyperlink>
      <w:r w:rsidRPr="007A2D44">
        <w:t>).</w:t>
      </w:r>
    </w:p>
    <w:bookmarkEnd w:id="8"/>
    <w:p w14:paraId="302F9F30" w14:textId="77777777" w:rsidR="00304B93" w:rsidRDefault="00304B93" w:rsidP="0078538F">
      <w:pPr>
        <w:ind w:right="-318"/>
        <w:rPr>
          <w:szCs w:val="22"/>
        </w:rPr>
      </w:pPr>
    </w:p>
    <w:bookmarkEnd w:id="7"/>
    <w:p w14:paraId="48C0A5C4" w14:textId="77777777" w:rsidR="0035607F" w:rsidRPr="00964F6D" w:rsidRDefault="0035607F" w:rsidP="0078538F">
      <w:pPr>
        <w:ind w:right="-318"/>
        <w:rPr>
          <w:szCs w:val="22"/>
        </w:rPr>
      </w:pPr>
    </w:p>
    <w:sectPr w:rsidR="0035607F" w:rsidRPr="00964F6D" w:rsidSect="006A14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91559" w14:textId="77777777" w:rsidR="00BD248F" w:rsidRDefault="00BD248F">
      <w:pPr>
        <w:spacing w:line="240" w:lineRule="auto"/>
      </w:pPr>
      <w:r>
        <w:separator/>
      </w:r>
    </w:p>
  </w:endnote>
  <w:endnote w:type="continuationSeparator" w:id="0">
    <w:p w14:paraId="5F2AB2BC" w14:textId="77777777" w:rsidR="00BD248F" w:rsidRDefault="00BD24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3C2EB" w14:textId="77777777" w:rsidR="00EC6EEA" w:rsidRDefault="00EC6EE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FC3FC" w14:textId="2DD3AF29" w:rsidR="00AD4CDB" w:rsidRPr="00B94A1B" w:rsidRDefault="00AD4CD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B94A1B">
      <w:rPr>
        <w:rFonts w:ascii="Times New Roman" w:hAnsi="Times New Roman"/>
      </w:rPr>
      <w:fldChar w:fldCharType="begin"/>
    </w:r>
    <w:r w:rsidRPr="00B94A1B">
      <w:rPr>
        <w:rFonts w:ascii="Times New Roman" w:hAnsi="Times New Roman"/>
      </w:rPr>
      <w:instrText xml:space="preserve"> PAGE  \* MERGEFORMAT </w:instrText>
    </w:r>
    <w:r w:rsidRPr="00B94A1B">
      <w:rPr>
        <w:rFonts w:ascii="Times New Roman" w:hAnsi="Times New Roman"/>
      </w:rPr>
      <w:fldChar w:fldCharType="separate"/>
    </w:r>
    <w:r w:rsidR="00952D21">
      <w:rPr>
        <w:rFonts w:ascii="Times New Roman" w:hAnsi="Times New Roman"/>
        <w:noProof/>
      </w:rPr>
      <w:t>21</w:t>
    </w:r>
    <w:r w:rsidRPr="00B94A1B"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FC3FD" w14:textId="77777777" w:rsidR="00AD4CDB" w:rsidRDefault="00AD4CD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>
      <w:fldChar w:fldCharType="begin"/>
    </w:r>
    <w:r>
      <w:instrText xml:space="preserve"> PAGE  \* MERGEFORMAT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2A9E63" w14:textId="77777777" w:rsidR="00BD248F" w:rsidRDefault="00BD248F">
      <w:pPr>
        <w:spacing w:line="240" w:lineRule="auto"/>
      </w:pPr>
      <w:r>
        <w:separator/>
      </w:r>
    </w:p>
  </w:footnote>
  <w:footnote w:type="continuationSeparator" w:id="0">
    <w:p w14:paraId="5B5C2802" w14:textId="77777777" w:rsidR="00BD248F" w:rsidRDefault="00BD24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BB70B" w14:textId="77777777" w:rsidR="00EC6EEA" w:rsidRDefault="00EC6EE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6C2D0" w14:textId="686DC6DB" w:rsidR="004A0984" w:rsidRDefault="004A098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91EC7" w14:textId="77777777" w:rsidR="00EC6EEA" w:rsidRDefault="00EC6EE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52E23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C1D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E25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46F1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E20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882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A4D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1CE8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60E5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F9A010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E202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7E84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3A3C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EC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B48D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E69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0E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583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4F73A7"/>
    <w:multiLevelType w:val="hybridMultilevel"/>
    <w:tmpl w:val="45484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7" w15:restartNumberingAfterBreak="0">
    <w:nsid w:val="0D2A2D5A"/>
    <w:multiLevelType w:val="hybridMultilevel"/>
    <w:tmpl w:val="2E749F0C"/>
    <w:lvl w:ilvl="0" w:tplc="8236DD0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B84010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F6E8F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14C672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6EE542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D46A64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EEC111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6825E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08AF7B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343193C"/>
    <w:multiLevelType w:val="hybridMultilevel"/>
    <w:tmpl w:val="70584BD4"/>
    <w:lvl w:ilvl="0" w:tplc="0DF8529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390BAF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E2689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E2054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93A811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282337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C7281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A86F30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D9A00E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1E612438"/>
    <w:multiLevelType w:val="hybridMultilevel"/>
    <w:tmpl w:val="6A70A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2" w15:restartNumberingAfterBreak="0">
    <w:nsid w:val="1FBF0E2B"/>
    <w:multiLevelType w:val="hybridMultilevel"/>
    <w:tmpl w:val="8E0A8F32"/>
    <w:lvl w:ilvl="0" w:tplc="D618E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E6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640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63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540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847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34D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45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A3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4" w15:restartNumberingAfterBreak="0">
    <w:nsid w:val="2B354683"/>
    <w:multiLevelType w:val="hybridMultilevel"/>
    <w:tmpl w:val="0EE81776"/>
    <w:lvl w:ilvl="0" w:tplc="CA98D1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DC0A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228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091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3AC3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C82F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B8C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1A27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2A6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36D96073"/>
    <w:multiLevelType w:val="hybridMultilevel"/>
    <w:tmpl w:val="CA663CC0"/>
    <w:lvl w:ilvl="0" w:tplc="DC16CE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18513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94E8C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AAA38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EBC0B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1EE4C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301A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9EB63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EEC0C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DA64B37"/>
    <w:multiLevelType w:val="hybridMultilevel"/>
    <w:tmpl w:val="6D20E0BE"/>
    <w:lvl w:ilvl="0" w:tplc="3F0631C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1404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26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F03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040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3647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02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C9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0E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35555F"/>
    <w:multiLevelType w:val="hybridMultilevel"/>
    <w:tmpl w:val="AAF65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091E30"/>
    <w:multiLevelType w:val="hybridMultilevel"/>
    <w:tmpl w:val="B596B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373A9"/>
    <w:multiLevelType w:val="hybridMultilevel"/>
    <w:tmpl w:val="E3BA04EE"/>
    <w:lvl w:ilvl="0" w:tplc="B22A819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6D2B12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00E23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82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405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3AC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ED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947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4" w15:restartNumberingAfterBreak="0">
    <w:nsid w:val="4DAE5508"/>
    <w:multiLevelType w:val="hybridMultilevel"/>
    <w:tmpl w:val="DA0EE772"/>
    <w:lvl w:ilvl="0" w:tplc="25487D4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1656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C496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48BB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2D4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869F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42E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E8D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8B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B473E"/>
    <w:multiLevelType w:val="hybridMultilevel"/>
    <w:tmpl w:val="BA782D10"/>
    <w:lvl w:ilvl="0" w:tplc="E566334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E80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009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C0C6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E3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CAF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E6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4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BEA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1F1D26"/>
    <w:multiLevelType w:val="hybridMultilevel"/>
    <w:tmpl w:val="2E749F0C"/>
    <w:lvl w:ilvl="0" w:tplc="533A5ED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5980C2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1EED4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CF42D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7B271F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CE62FE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A0252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E5CAD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F0E8A1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7" w15:restartNumberingAfterBreak="0">
    <w:nsid w:val="52C80393"/>
    <w:multiLevelType w:val="hybridMultilevel"/>
    <w:tmpl w:val="7996087A"/>
    <w:lvl w:ilvl="0" w:tplc="35CE78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F8A94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E47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D85D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2EC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9C28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A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8421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A6A3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9" w15:restartNumberingAfterBreak="0">
    <w:nsid w:val="5A3F65D8"/>
    <w:multiLevelType w:val="multilevel"/>
    <w:tmpl w:val="A02E932A"/>
    <w:numStyleLink w:val="BulletsAgency"/>
  </w:abstractNum>
  <w:abstractNum w:abstractNumId="30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31" w15:restartNumberingAfterBreak="0">
    <w:nsid w:val="630E67BF"/>
    <w:multiLevelType w:val="hybridMultilevel"/>
    <w:tmpl w:val="B1D854E2"/>
    <w:lvl w:ilvl="0" w:tplc="249A8F3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97CB9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9830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F0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03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662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0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2F5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145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3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4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6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7" w15:restartNumberingAfterBreak="0">
    <w:nsid w:val="71FB76EB"/>
    <w:multiLevelType w:val="hybridMultilevel"/>
    <w:tmpl w:val="CC66055E"/>
    <w:lvl w:ilvl="0" w:tplc="3DC2D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945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4A1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8CE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69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12C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9866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DA0F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B638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2087B01"/>
    <w:multiLevelType w:val="hybridMultilevel"/>
    <w:tmpl w:val="D4C290BC"/>
    <w:lvl w:ilvl="0" w:tplc="F67C8A84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B086D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A429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4D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89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846C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DAC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B2A5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DAB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A8A5987"/>
    <w:multiLevelType w:val="hybridMultilevel"/>
    <w:tmpl w:val="D73EEE10"/>
    <w:lvl w:ilvl="0" w:tplc="E8A6E37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450EB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B22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CB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6E7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2A5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627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6EDC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BE07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27"/>
  </w:num>
  <w:num w:numId="2">
    <w:abstractNumId w:val="14"/>
  </w:num>
  <w:num w:numId="3">
    <w:abstractNumId w:val="37"/>
  </w:num>
  <w:num w:numId="4">
    <w:abstractNumId w:val="12"/>
  </w:num>
  <w:num w:numId="5">
    <w:abstractNumId w:val="3"/>
  </w:num>
  <w:num w:numId="6">
    <w:abstractNumId w:val="30"/>
  </w:num>
  <w:num w:numId="7">
    <w:abstractNumId w:val="16"/>
  </w:num>
  <w:num w:numId="8">
    <w:abstractNumId w:val="33"/>
  </w:num>
  <w:num w:numId="9">
    <w:abstractNumId w:val="26"/>
  </w:num>
  <w:num w:numId="10">
    <w:abstractNumId w:val="36"/>
  </w:num>
  <w:num w:numId="11">
    <w:abstractNumId w:val="39"/>
  </w:num>
  <w:num w:numId="12">
    <w:abstractNumId w:val="6"/>
  </w:num>
  <w:num w:numId="13">
    <w:abstractNumId w:val="5"/>
  </w:num>
  <w:num w:numId="14">
    <w:abstractNumId w:val="25"/>
  </w:num>
  <w:num w:numId="15">
    <w:abstractNumId w:val="2"/>
  </w:num>
  <w:num w:numId="16">
    <w:abstractNumId w:val="10"/>
  </w:num>
  <w:num w:numId="17">
    <w:abstractNumId w:val="21"/>
  </w:num>
  <w:num w:numId="18">
    <w:abstractNumId w:val="13"/>
  </w:num>
  <w:num w:numId="19">
    <w:abstractNumId w:val="4"/>
  </w:num>
  <w:num w:numId="20">
    <w:abstractNumId w:val="29"/>
  </w:num>
  <w:num w:numId="21">
    <w:abstractNumId w:val="1"/>
  </w:num>
  <w:num w:numId="22">
    <w:abstractNumId w:val="19"/>
  </w:num>
  <w:num w:numId="23">
    <w:abstractNumId w:val="23"/>
  </w:num>
  <w:num w:numId="24">
    <w:abstractNumId w:val="35"/>
  </w:num>
  <w:num w:numId="25">
    <w:abstractNumId w:val="17"/>
  </w:num>
  <w:num w:numId="26">
    <w:abstractNumId w:val="31"/>
  </w:num>
  <w:num w:numId="27">
    <w:abstractNumId w:val="20"/>
  </w:num>
  <w:num w:numId="28">
    <w:abstractNumId w:val="34"/>
  </w:num>
  <w:num w:numId="29">
    <w:abstractNumId w:val="9"/>
  </w:num>
  <w:num w:numId="30">
    <w:abstractNumId w:val="24"/>
  </w:num>
  <w:num w:numId="31">
    <w:abstractNumId w:val="18"/>
  </w:num>
  <w:num w:numId="32">
    <w:abstractNumId w:val="40"/>
  </w:num>
  <w:num w:numId="33">
    <w:abstractNumId w:val="32"/>
  </w:num>
  <w:num w:numId="34">
    <w:abstractNumId w:val="7"/>
  </w:num>
  <w:num w:numId="35">
    <w:abstractNumId w:val="38"/>
  </w:num>
  <w:num w:numId="3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7">
    <w:abstractNumId w:val="8"/>
  </w:num>
  <w:num w:numId="38">
    <w:abstractNumId w:val="22"/>
  </w:num>
  <w:num w:numId="39">
    <w:abstractNumId w:val="28"/>
  </w:num>
  <w:num w:numId="40">
    <w:abstractNumId w:val="15"/>
  </w:num>
  <w:num w:numId="41">
    <w:abstractNumId w:val="11"/>
  </w:num>
  <w:num w:numId="4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C114FF"/>
    <w:rsid w:val="000016CD"/>
    <w:rsid w:val="00002CF6"/>
    <w:rsid w:val="00020A50"/>
    <w:rsid w:val="00021B82"/>
    <w:rsid w:val="00024777"/>
    <w:rsid w:val="00024E21"/>
    <w:rsid w:val="00027100"/>
    <w:rsid w:val="00031A38"/>
    <w:rsid w:val="00035378"/>
    <w:rsid w:val="00036C50"/>
    <w:rsid w:val="00050AD2"/>
    <w:rsid w:val="00052D2B"/>
    <w:rsid w:val="00053495"/>
    <w:rsid w:val="0005378F"/>
    <w:rsid w:val="00054F55"/>
    <w:rsid w:val="00061DB6"/>
    <w:rsid w:val="00062945"/>
    <w:rsid w:val="000658A9"/>
    <w:rsid w:val="00070D27"/>
    <w:rsid w:val="00074480"/>
    <w:rsid w:val="00074C79"/>
    <w:rsid w:val="00074F67"/>
    <w:rsid w:val="00080200"/>
    <w:rsid w:val="00080453"/>
    <w:rsid w:val="0008169A"/>
    <w:rsid w:val="00082200"/>
    <w:rsid w:val="00083BF6"/>
    <w:rsid w:val="000860CE"/>
    <w:rsid w:val="00087BE9"/>
    <w:rsid w:val="00090DDB"/>
    <w:rsid w:val="00092A37"/>
    <w:rsid w:val="000938A6"/>
    <w:rsid w:val="00096E78"/>
    <w:rsid w:val="00097C1E"/>
    <w:rsid w:val="000A1DF5"/>
    <w:rsid w:val="000A48F0"/>
    <w:rsid w:val="000A50C7"/>
    <w:rsid w:val="000B38E4"/>
    <w:rsid w:val="000B63A5"/>
    <w:rsid w:val="000B700D"/>
    <w:rsid w:val="000B72D3"/>
    <w:rsid w:val="000B7873"/>
    <w:rsid w:val="000C02A1"/>
    <w:rsid w:val="000C1D4F"/>
    <w:rsid w:val="000C4346"/>
    <w:rsid w:val="000C687A"/>
    <w:rsid w:val="000D1EB8"/>
    <w:rsid w:val="000D67D0"/>
    <w:rsid w:val="000E195C"/>
    <w:rsid w:val="000E3602"/>
    <w:rsid w:val="000E52E0"/>
    <w:rsid w:val="000E5B92"/>
    <w:rsid w:val="000E705A"/>
    <w:rsid w:val="000F104D"/>
    <w:rsid w:val="000F1275"/>
    <w:rsid w:val="000F38DA"/>
    <w:rsid w:val="000F5822"/>
    <w:rsid w:val="000F6973"/>
    <w:rsid w:val="000F796B"/>
    <w:rsid w:val="000F7B44"/>
    <w:rsid w:val="0010031E"/>
    <w:rsid w:val="0010063B"/>
    <w:rsid w:val="001012EB"/>
    <w:rsid w:val="00101B4C"/>
    <w:rsid w:val="001078D1"/>
    <w:rsid w:val="00111185"/>
    <w:rsid w:val="00111CAC"/>
    <w:rsid w:val="001125AE"/>
    <w:rsid w:val="00115151"/>
    <w:rsid w:val="0011563A"/>
    <w:rsid w:val="00115782"/>
    <w:rsid w:val="00121504"/>
    <w:rsid w:val="00121A38"/>
    <w:rsid w:val="00122CEE"/>
    <w:rsid w:val="00124F36"/>
    <w:rsid w:val="00125666"/>
    <w:rsid w:val="00125C80"/>
    <w:rsid w:val="001341F1"/>
    <w:rsid w:val="0013799F"/>
    <w:rsid w:val="00140DF6"/>
    <w:rsid w:val="00145C3F"/>
    <w:rsid w:val="00145D34"/>
    <w:rsid w:val="00146284"/>
    <w:rsid w:val="0014690F"/>
    <w:rsid w:val="0015098E"/>
    <w:rsid w:val="0015146C"/>
    <w:rsid w:val="001549A9"/>
    <w:rsid w:val="001553B5"/>
    <w:rsid w:val="00160A41"/>
    <w:rsid w:val="0016293D"/>
    <w:rsid w:val="00162F26"/>
    <w:rsid w:val="00164543"/>
    <w:rsid w:val="001674D3"/>
    <w:rsid w:val="00170722"/>
    <w:rsid w:val="00175264"/>
    <w:rsid w:val="00176406"/>
    <w:rsid w:val="001803D2"/>
    <w:rsid w:val="00180A78"/>
    <w:rsid w:val="0018228B"/>
    <w:rsid w:val="0018235B"/>
    <w:rsid w:val="0018413F"/>
    <w:rsid w:val="00185A5A"/>
    <w:rsid w:val="00185B50"/>
    <w:rsid w:val="0018625C"/>
    <w:rsid w:val="0018722A"/>
    <w:rsid w:val="00187DE7"/>
    <w:rsid w:val="00187E62"/>
    <w:rsid w:val="00192045"/>
    <w:rsid w:val="00192D98"/>
    <w:rsid w:val="00193B14"/>
    <w:rsid w:val="00193E72"/>
    <w:rsid w:val="00195267"/>
    <w:rsid w:val="001952E9"/>
    <w:rsid w:val="0019600B"/>
    <w:rsid w:val="0019686E"/>
    <w:rsid w:val="001A0E2C"/>
    <w:rsid w:val="001A28C9"/>
    <w:rsid w:val="001A34BC"/>
    <w:rsid w:val="001A3F9F"/>
    <w:rsid w:val="001A5F43"/>
    <w:rsid w:val="001B1C77"/>
    <w:rsid w:val="001B26EB"/>
    <w:rsid w:val="001B6F4A"/>
    <w:rsid w:val="001C0144"/>
    <w:rsid w:val="001C4129"/>
    <w:rsid w:val="001C5288"/>
    <w:rsid w:val="001C5B03"/>
    <w:rsid w:val="001C7CA0"/>
    <w:rsid w:val="001D2E94"/>
    <w:rsid w:val="001D46EF"/>
    <w:rsid w:val="001D6052"/>
    <w:rsid w:val="001D6D96"/>
    <w:rsid w:val="001E16E1"/>
    <w:rsid w:val="001E3A47"/>
    <w:rsid w:val="001E5621"/>
    <w:rsid w:val="001F2E28"/>
    <w:rsid w:val="001F3EF9"/>
    <w:rsid w:val="001F627D"/>
    <w:rsid w:val="001F6622"/>
    <w:rsid w:val="001F6D9D"/>
    <w:rsid w:val="0020126C"/>
    <w:rsid w:val="00202FCA"/>
    <w:rsid w:val="0020548E"/>
    <w:rsid w:val="002100FC"/>
    <w:rsid w:val="00213890"/>
    <w:rsid w:val="00214E52"/>
    <w:rsid w:val="002207C0"/>
    <w:rsid w:val="00224791"/>
    <w:rsid w:val="00224B93"/>
    <w:rsid w:val="0023309C"/>
    <w:rsid w:val="00235D0F"/>
    <w:rsid w:val="0023676E"/>
    <w:rsid w:val="002414B6"/>
    <w:rsid w:val="002422EB"/>
    <w:rsid w:val="00242397"/>
    <w:rsid w:val="00242F30"/>
    <w:rsid w:val="00242FDC"/>
    <w:rsid w:val="00247A48"/>
    <w:rsid w:val="00247F69"/>
    <w:rsid w:val="00250DD1"/>
    <w:rsid w:val="00251183"/>
    <w:rsid w:val="002511B1"/>
    <w:rsid w:val="00251689"/>
    <w:rsid w:val="0025267C"/>
    <w:rsid w:val="00253B6B"/>
    <w:rsid w:val="00265656"/>
    <w:rsid w:val="00265E77"/>
    <w:rsid w:val="00266155"/>
    <w:rsid w:val="0027270B"/>
    <w:rsid w:val="00282E7B"/>
    <w:rsid w:val="002838C8"/>
    <w:rsid w:val="002845B4"/>
    <w:rsid w:val="00285071"/>
    <w:rsid w:val="002861CD"/>
    <w:rsid w:val="00290805"/>
    <w:rsid w:val="002908DF"/>
    <w:rsid w:val="00290C2A"/>
    <w:rsid w:val="002931DD"/>
    <w:rsid w:val="00295140"/>
    <w:rsid w:val="002A0E7C"/>
    <w:rsid w:val="002A15E1"/>
    <w:rsid w:val="002A21ED"/>
    <w:rsid w:val="002A2C86"/>
    <w:rsid w:val="002A3F88"/>
    <w:rsid w:val="002A570C"/>
    <w:rsid w:val="002A710D"/>
    <w:rsid w:val="002B0F11"/>
    <w:rsid w:val="002B2E17"/>
    <w:rsid w:val="002B3339"/>
    <w:rsid w:val="002B3E62"/>
    <w:rsid w:val="002B4047"/>
    <w:rsid w:val="002B6560"/>
    <w:rsid w:val="002C1306"/>
    <w:rsid w:val="002C1F7D"/>
    <w:rsid w:val="002C3BA1"/>
    <w:rsid w:val="002C55FF"/>
    <w:rsid w:val="002C592B"/>
    <w:rsid w:val="002C7F50"/>
    <w:rsid w:val="002D300D"/>
    <w:rsid w:val="002D3F2C"/>
    <w:rsid w:val="002E0CD4"/>
    <w:rsid w:val="002E1ADD"/>
    <w:rsid w:val="002E1E01"/>
    <w:rsid w:val="002E3722"/>
    <w:rsid w:val="002E3A90"/>
    <w:rsid w:val="002E46CC"/>
    <w:rsid w:val="002E4F48"/>
    <w:rsid w:val="002E62CB"/>
    <w:rsid w:val="002E6DF1"/>
    <w:rsid w:val="002E6ED9"/>
    <w:rsid w:val="002F0957"/>
    <w:rsid w:val="002F3C6F"/>
    <w:rsid w:val="002F41AD"/>
    <w:rsid w:val="002F43F6"/>
    <w:rsid w:val="002F6DAA"/>
    <w:rsid w:val="002F71D5"/>
    <w:rsid w:val="00300013"/>
    <w:rsid w:val="003020BB"/>
    <w:rsid w:val="00302266"/>
    <w:rsid w:val="003022FC"/>
    <w:rsid w:val="00304393"/>
    <w:rsid w:val="00304B93"/>
    <w:rsid w:val="00305AB2"/>
    <w:rsid w:val="00307681"/>
    <w:rsid w:val="00307DE1"/>
    <w:rsid w:val="0031032B"/>
    <w:rsid w:val="00310952"/>
    <w:rsid w:val="003163BD"/>
    <w:rsid w:val="00316E87"/>
    <w:rsid w:val="00322982"/>
    <w:rsid w:val="0032453E"/>
    <w:rsid w:val="00325053"/>
    <w:rsid w:val="003256AC"/>
    <w:rsid w:val="00326531"/>
    <w:rsid w:val="0033129D"/>
    <w:rsid w:val="003320ED"/>
    <w:rsid w:val="0033480E"/>
    <w:rsid w:val="003349CC"/>
    <w:rsid w:val="003357B1"/>
    <w:rsid w:val="00336602"/>
    <w:rsid w:val="00337123"/>
    <w:rsid w:val="00340FBC"/>
    <w:rsid w:val="00340FFC"/>
    <w:rsid w:val="00341866"/>
    <w:rsid w:val="0034378D"/>
    <w:rsid w:val="003445B5"/>
    <w:rsid w:val="0034620F"/>
    <w:rsid w:val="003535E0"/>
    <w:rsid w:val="003551C9"/>
    <w:rsid w:val="00355D02"/>
    <w:rsid w:val="0035607F"/>
    <w:rsid w:val="0035649E"/>
    <w:rsid w:val="003568DF"/>
    <w:rsid w:val="00357C73"/>
    <w:rsid w:val="003615F4"/>
    <w:rsid w:val="00361607"/>
    <w:rsid w:val="00366F56"/>
    <w:rsid w:val="003737C8"/>
    <w:rsid w:val="0037589D"/>
    <w:rsid w:val="00375924"/>
    <w:rsid w:val="00376BB1"/>
    <w:rsid w:val="00377BFB"/>
    <w:rsid w:val="00377E23"/>
    <w:rsid w:val="003803CC"/>
    <w:rsid w:val="00380B36"/>
    <w:rsid w:val="0038277C"/>
    <w:rsid w:val="003837F1"/>
    <w:rsid w:val="003841FC"/>
    <w:rsid w:val="0038638B"/>
    <w:rsid w:val="003909E0"/>
    <w:rsid w:val="00393E09"/>
    <w:rsid w:val="00395B15"/>
    <w:rsid w:val="00396026"/>
    <w:rsid w:val="003A31B9"/>
    <w:rsid w:val="003A3E2F"/>
    <w:rsid w:val="003A6CCB"/>
    <w:rsid w:val="003B10C4"/>
    <w:rsid w:val="003B1526"/>
    <w:rsid w:val="003B48EB"/>
    <w:rsid w:val="003B5CD1"/>
    <w:rsid w:val="003C1D04"/>
    <w:rsid w:val="003C33FF"/>
    <w:rsid w:val="003C64A5"/>
    <w:rsid w:val="003D03CC"/>
    <w:rsid w:val="003D378C"/>
    <w:rsid w:val="003D3893"/>
    <w:rsid w:val="003D4BB7"/>
    <w:rsid w:val="003E0116"/>
    <w:rsid w:val="003E04B7"/>
    <w:rsid w:val="003E1762"/>
    <w:rsid w:val="003E26C3"/>
    <w:rsid w:val="003E58E9"/>
    <w:rsid w:val="003F0BC8"/>
    <w:rsid w:val="003F0D6C"/>
    <w:rsid w:val="003F0F26"/>
    <w:rsid w:val="003F12D9"/>
    <w:rsid w:val="003F142C"/>
    <w:rsid w:val="003F1B4C"/>
    <w:rsid w:val="003F3CE6"/>
    <w:rsid w:val="003F521C"/>
    <w:rsid w:val="003F5DCF"/>
    <w:rsid w:val="003F677F"/>
    <w:rsid w:val="003F78CA"/>
    <w:rsid w:val="004008F6"/>
    <w:rsid w:val="004014E5"/>
    <w:rsid w:val="00404382"/>
    <w:rsid w:val="00411441"/>
    <w:rsid w:val="00412BBE"/>
    <w:rsid w:val="0041440C"/>
    <w:rsid w:val="00414B20"/>
    <w:rsid w:val="00415990"/>
    <w:rsid w:val="00415E04"/>
    <w:rsid w:val="00417DE3"/>
    <w:rsid w:val="00420850"/>
    <w:rsid w:val="00423968"/>
    <w:rsid w:val="00426DD9"/>
    <w:rsid w:val="00427054"/>
    <w:rsid w:val="004304B1"/>
    <w:rsid w:val="00432DA8"/>
    <w:rsid w:val="0043320A"/>
    <w:rsid w:val="004332E3"/>
    <w:rsid w:val="004371A3"/>
    <w:rsid w:val="0043722B"/>
    <w:rsid w:val="004403A1"/>
    <w:rsid w:val="004404CF"/>
    <w:rsid w:val="00444591"/>
    <w:rsid w:val="00446960"/>
    <w:rsid w:val="00446A92"/>
    <w:rsid w:val="00446F37"/>
    <w:rsid w:val="004518A6"/>
    <w:rsid w:val="00452F5F"/>
    <w:rsid w:val="00453E1D"/>
    <w:rsid w:val="00454589"/>
    <w:rsid w:val="00454767"/>
    <w:rsid w:val="00456ED0"/>
    <w:rsid w:val="00457550"/>
    <w:rsid w:val="00457B74"/>
    <w:rsid w:val="00460F0F"/>
    <w:rsid w:val="00461B2A"/>
    <w:rsid w:val="004620A4"/>
    <w:rsid w:val="00463541"/>
    <w:rsid w:val="00463875"/>
    <w:rsid w:val="00470FBF"/>
    <w:rsid w:val="00472A20"/>
    <w:rsid w:val="00472FB5"/>
    <w:rsid w:val="00473038"/>
    <w:rsid w:val="0047444E"/>
    <w:rsid w:val="004744AB"/>
    <w:rsid w:val="00474C50"/>
    <w:rsid w:val="00474F41"/>
    <w:rsid w:val="004771F9"/>
    <w:rsid w:val="0047743C"/>
    <w:rsid w:val="004832A8"/>
    <w:rsid w:val="00486006"/>
    <w:rsid w:val="00486BAD"/>
    <w:rsid w:val="00486BBE"/>
    <w:rsid w:val="00487123"/>
    <w:rsid w:val="00495A75"/>
    <w:rsid w:val="00495CAE"/>
    <w:rsid w:val="004967DA"/>
    <w:rsid w:val="0049706E"/>
    <w:rsid w:val="004A0984"/>
    <w:rsid w:val="004A1703"/>
    <w:rsid w:val="004A1BD5"/>
    <w:rsid w:val="004A234F"/>
    <w:rsid w:val="004A4368"/>
    <w:rsid w:val="004A61E1"/>
    <w:rsid w:val="004A7EF6"/>
    <w:rsid w:val="004B1E04"/>
    <w:rsid w:val="004B2344"/>
    <w:rsid w:val="004B2798"/>
    <w:rsid w:val="004B4555"/>
    <w:rsid w:val="004B4D5C"/>
    <w:rsid w:val="004B5DDC"/>
    <w:rsid w:val="004B6834"/>
    <w:rsid w:val="004B798E"/>
    <w:rsid w:val="004C2ABD"/>
    <w:rsid w:val="004C376F"/>
    <w:rsid w:val="004C5F62"/>
    <w:rsid w:val="004D3E58"/>
    <w:rsid w:val="004D6746"/>
    <w:rsid w:val="004D767B"/>
    <w:rsid w:val="004E0538"/>
    <w:rsid w:val="004E082E"/>
    <w:rsid w:val="004E0F32"/>
    <w:rsid w:val="004E23A1"/>
    <w:rsid w:val="004E23EA"/>
    <w:rsid w:val="004E26C7"/>
    <w:rsid w:val="004E3D48"/>
    <w:rsid w:val="004E40E9"/>
    <w:rsid w:val="004E493C"/>
    <w:rsid w:val="004E623E"/>
    <w:rsid w:val="004E6E73"/>
    <w:rsid w:val="004E7092"/>
    <w:rsid w:val="004E7ECE"/>
    <w:rsid w:val="004F4DB1"/>
    <w:rsid w:val="004F6F64"/>
    <w:rsid w:val="005004EC"/>
    <w:rsid w:val="00500D70"/>
    <w:rsid w:val="005015F5"/>
    <w:rsid w:val="00501951"/>
    <w:rsid w:val="00506AAE"/>
    <w:rsid w:val="005120AA"/>
    <w:rsid w:val="00517756"/>
    <w:rsid w:val="005202C6"/>
    <w:rsid w:val="005213B2"/>
    <w:rsid w:val="00523C53"/>
    <w:rsid w:val="005267A0"/>
    <w:rsid w:val="00527B8F"/>
    <w:rsid w:val="00530C00"/>
    <w:rsid w:val="00535677"/>
    <w:rsid w:val="0053740A"/>
    <w:rsid w:val="00542012"/>
    <w:rsid w:val="00542EB0"/>
    <w:rsid w:val="00543DF5"/>
    <w:rsid w:val="00545A61"/>
    <w:rsid w:val="005508AA"/>
    <w:rsid w:val="0055260D"/>
    <w:rsid w:val="00555422"/>
    <w:rsid w:val="00555810"/>
    <w:rsid w:val="00562DCA"/>
    <w:rsid w:val="005633F0"/>
    <w:rsid w:val="0056568F"/>
    <w:rsid w:val="00567EDA"/>
    <w:rsid w:val="00570123"/>
    <w:rsid w:val="0057436C"/>
    <w:rsid w:val="00575DE3"/>
    <w:rsid w:val="005822FD"/>
    <w:rsid w:val="00582578"/>
    <w:rsid w:val="00583CC0"/>
    <w:rsid w:val="0058621D"/>
    <w:rsid w:val="00590B72"/>
    <w:rsid w:val="00592420"/>
    <w:rsid w:val="00597DE9"/>
    <w:rsid w:val="00597FED"/>
    <w:rsid w:val="005A14FE"/>
    <w:rsid w:val="005A4CBE"/>
    <w:rsid w:val="005B04A8"/>
    <w:rsid w:val="005B1353"/>
    <w:rsid w:val="005B1FD0"/>
    <w:rsid w:val="005B28AD"/>
    <w:rsid w:val="005B328D"/>
    <w:rsid w:val="005B3503"/>
    <w:rsid w:val="005B3EE7"/>
    <w:rsid w:val="005B42CE"/>
    <w:rsid w:val="005B4DCD"/>
    <w:rsid w:val="005B4E22"/>
    <w:rsid w:val="005B4FAD"/>
    <w:rsid w:val="005B5327"/>
    <w:rsid w:val="005B78F5"/>
    <w:rsid w:val="005C276A"/>
    <w:rsid w:val="005C41A6"/>
    <w:rsid w:val="005D0166"/>
    <w:rsid w:val="005D380C"/>
    <w:rsid w:val="005D63C3"/>
    <w:rsid w:val="005D6E04"/>
    <w:rsid w:val="005D7A12"/>
    <w:rsid w:val="005E22AA"/>
    <w:rsid w:val="005E53EE"/>
    <w:rsid w:val="005F0542"/>
    <w:rsid w:val="005F0F72"/>
    <w:rsid w:val="005F1C1F"/>
    <w:rsid w:val="005F346D"/>
    <w:rsid w:val="005F38FB"/>
    <w:rsid w:val="005F48B2"/>
    <w:rsid w:val="005F5AEA"/>
    <w:rsid w:val="005F7F5F"/>
    <w:rsid w:val="00600938"/>
    <w:rsid w:val="00602AB7"/>
    <w:rsid w:val="00602D3B"/>
    <w:rsid w:val="0060326F"/>
    <w:rsid w:val="00604008"/>
    <w:rsid w:val="00606794"/>
    <w:rsid w:val="00606EA1"/>
    <w:rsid w:val="0060713D"/>
    <w:rsid w:val="006128F0"/>
    <w:rsid w:val="0061726B"/>
    <w:rsid w:val="00617B81"/>
    <w:rsid w:val="0062387A"/>
    <w:rsid w:val="006267FB"/>
    <w:rsid w:val="00632A8D"/>
    <w:rsid w:val="0063377D"/>
    <w:rsid w:val="006344BE"/>
    <w:rsid w:val="00634A66"/>
    <w:rsid w:val="00640336"/>
    <w:rsid w:val="0064045E"/>
    <w:rsid w:val="00640FC9"/>
    <w:rsid w:val="006414D3"/>
    <w:rsid w:val="00642905"/>
    <w:rsid w:val="006432F2"/>
    <w:rsid w:val="0065320F"/>
    <w:rsid w:val="00653D64"/>
    <w:rsid w:val="00654927"/>
    <w:rsid w:val="00654E13"/>
    <w:rsid w:val="00655AFE"/>
    <w:rsid w:val="00656A3F"/>
    <w:rsid w:val="00665E60"/>
    <w:rsid w:val="00666CDA"/>
    <w:rsid w:val="00667489"/>
    <w:rsid w:val="00670D44"/>
    <w:rsid w:val="006736A5"/>
    <w:rsid w:val="00673F4C"/>
    <w:rsid w:val="00676AFC"/>
    <w:rsid w:val="0067760F"/>
    <w:rsid w:val="0067780B"/>
    <w:rsid w:val="006807CD"/>
    <w:rsid w:val="00681574"/>
    <w:rsid w:val="00682D43"/>
    <w:rsid w:val="0068507D"/>
    <w:rsid w:val="006854F5"/>
    <w:rsid w:val="00685BAF"/>
    <w:rsid w:val="006874B9"/>
    <w:rsid w:val="00690463"/>
    <w:rsid w:val="00690F2B"/>
    <w:rsid w:val="006A0D03"/>
    <w:rsid w:val="006A14B3"/>
    <w:rsid w:val="006A41E9"/>
    <w:rsid w:val="006A52BC"/>
    <w:rsid w:val="006A7650"/>
    <w:rsid w:val="006A7D11"/>
    <w:rsid w:val="006B12CB"/>
    <w:rsid w:val="006B2BF7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CB4"/>
    <w:rsid w:val="006E2F95"/>
    <w:rsid w:val="006E5CBA"/>
    <w:rsid w:val="006F148B"/>
    <w:rsid w:val="006F5076"/>
    <w:rsid w:val="006F741A"/>
    <w:rsid w:val="006F7796"/>
    <w:rsid w:val="0070262B"/>
    <w:rsid w:val="0070389E"/>
    <w:rsid w:val="0070401D"/>
    <w:rsid w:val="00705EAF"/>
    <w:rsid w:val="007062F9"/>
    <w:rsid w:val="0070773E"/>
    <w:rsid w:val="007101CC"/>
    <w:rsid w:val="007104CE"/>
    <w:rsid w:val="00715C55"/>
    <w:rsid w:val="0071677E"/>
    <w:rsid w:val="00721DDD"/>
    <w:rsid w:val="007237C7"/>
    <w:rsid w:val="00724E3B"/>
    <w:rsid w:val="00724F8C"/>
    <w:rsid w:val="00725BF4"/>
    <w:rsid w:val="00725EEA"/>
    <w:rsid w:val="007276B6"/>
    <w:rsid w:val="00730CE9"/>
    <w:rsid w:val="007319EE"/>
    <w:rsid w:val="0073373D"/>
    <w:rsid w:val="007357F6"/>
    <w:rsid w:val="0074263C"/>
    <w:rsid w:val="007439DB"/>
    <w:rsid w:val="00743F4F"/>
    <w:rsid w:val="0074495C"/>
    <w:rsid w:val="0074541D"/>
    <w:rsid w:val="00746CFA"/>
    <w:rsid w:val="00751458"/>
    <w:rsid w:val="00755DC1"/>
    <w:rsid w:val="007568D8"/>
    <w:rsid w:val="00757696"/>
    <w:rsid w:val="007639B9"/>
    <w:rsid w:val="00765316"/>
    <w:rsid w:val="007708C8"/>
    <w:rsid w:val="00775BFF"/>
    <w:rsid w:val="0077719D"/>
    <w:rsid w:val="00780013"/>
    <w:rsid w:val="00780DF0"/>
    <w:rsid w:val="007810B7"/>
    <w:rsid w:val="00782F0F"/>
    <w:rsid w:val="0078538F"/>
    <w:rsid w:val="00787482"/>
    <w:rsid w:val="00794EE4"/>
    <w:rsid w:val="007A1C1A"/>
    <w:rsid w:val="007A286D"/>
    <w:rsid w:val="007A2A83"/>
    <w:rsid w:val="007A2D44"/>
    <w:rsid w:val="007A314D"/>
    <w:rsid w:val="007A38DF"/>
    <w:rsid w:val="007A52D6"/>
    <w:rsid w:val="007B00E5"/>
    <w:rsid w:val="007B20CF"/>
    <w:rsid w:val="007B2499"/>
    <w:rsid w:val="007B4695"/>
    <w:rsid w:val="007B72E1"/>
    <w:rsid w:val="007B783A"/>
    <w:rsid w:val="007C0EF8"/>
    <w:rsid w:val="007C181F"/>
    <w:rsid w:val="007C1B95"/>
    <w:rsid w:val="007C250C"/>
    <w:rsid w:val="007C378F"/>
    <w:rsid w:val="007C3DF3"/>
    <w:rsid w:val="007C48FB"/>
    <w:rsid w:val="007C796D"/>
    <w:rsid w:val="007D03C4"/>
    <w:rsid w:val="007D27F9"/>
    <w:rsid w:val="007D2D8F"/>
    <w:rsid w:val="007D3B60"/>
    <w:rsid w:val="007D4796"/>
    <w:rsid w:val="007D4E6E"/>
    <w:rsid w:val="007D73FB"/>
    <w:rsid w:val="007D7996"/>
    <w:rsid w:val="007E0833"/>
    <w:rsid w:val="007E2F2D"/>
    <w:rsid w:val="007E461E"/>
    <w:rsid w:val="007E556A"/>
    <w:rsid w:val="007E5A3F"/>
    <w:rsid w:val="007F1375"/>
    <w:rsid w:val="007F1433"/>
    <w:rsid w:val="007F1491"/>
    <w:rsid w:val="007F2F03"/>
    <w:rsid w:val="007F6422"/>
    <w:rsid w:val="00800FE0"/>
    <w:rsid w:val="008066AD"/>
    <w:rsid w:val="00806C46"/>
    <w:rsid w:val="00813740"/>
    <w:rsid w:val="00814AF1"/>
    <w:rsid w:val="0081517F"/>
    <w:rsid w:val="00815370"/>
    <w:rsid w:val="0082153D"/>
    <w:rsid w:val="008255AA"/>
    <w:rsid w:val="00827B33"/>
    <w:rsid w:val="00830FF3"/>
    <w:rsid w:val="008334BF"/>
    <w:rsid w:val="00836932"/>
    <w:rsid w:val="00836B8C"/>
    <w:rsid w:val="00840062"/>
    <w:rsid w:val="008410C5"/>
    <w:rsid w:val="00845B0A"/>
    <w:rsid w:val="00846931"/>
    <w:rsid w:val="00846AC9"/>
    <w:rsid w:val="00846C08"/>
    <w:rsid w:val="008530E7"/>
    <w:rsid w:val="00855BF3"/>
    <w:rsid w:val="00856A55"/>
    <w:rsid w:val="00856BDB"/>
    <w:rsid w:val="00857675"/>
    <w:rsid w:val="0086012B"/>
    <w:rsid w:val="00864FD0"/>
    <w:rsid w:val="00866F8B"/>
    <w:rsid w:val="00870385"/>
    <w:rsid w:val="00870526"/>
    <w:rsid w:val="00871AE0"/>
    <w:rsid w:val="00872C48"/>
    <w:rsid w:val="00875497"/>
    <w:rsid w:val="00875EC3"/>
    <w:rsid w:val="008763E7"/>
    <w:rsid w:val="00877CEA"/>
    <w:rsid w:val="008808C5"/>
    <w:rsid w:val="00881790"/>
    <w:rsid w:val="00881A7C"/>
    <w:rsid w:val="00883C78"/>
    <w:rsid w:val="00885159"/>
    <w:rsid w:val="00885179"/>
    <w:rsid w:val="00885214"/>
    <w:rsid w:val="00887615"/>
    <w:rsid w:val="00890052"/>
    <w:rsid w:val="00890494"/>
    <w:rsid w:val="00890FDA"/>
    <w:rsid w:val="00894E3A"/>
    <w:rsid w:val="00895A2F"/>
    <w:rsid w:val="00896EBD"/>
    <w:rsid w:val="008A24D9"/>
    <w:rsid w:val="008A51F8"/>
    <w:rsid w:val="008A5665"/>
    <w:rsid w:val="008A727A"/>
    <w:rsid w:val="008A79F3"/>
    <w:rsid w:val="008B24A8"/>
    <w:rsid w:val="008B25E4"/>
    <w:rsid w:val="008B3D78"/>
    <w:rsid w:val="008C261B"/>
    <w:rsid w:val="008C4FCA"/>
    <w:rsid w:val="008C7882"/>
    <w:rsid w:val="008C7A64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F09C7"/>
    <w:rsid w:val="008F1B1B"/>
    <w:rsid w:val="008F2FAD"/>
    <w:rsid w:val="008F4DEF"/>
    <w:rsid w:val="00903D0D"/>
    <w:rsid w:val="009048E1"/>
    <w:rsid w:val="00904DC4"/>
    <w:rsid w:val="0090598C"/>
    <w:rsid w:val="009071BB"/>
    <w:rsid w:val="0091335F"/>
    <w:rsid w:val="00913885"/>
    <w:rsid w:val="009149A5"/>
    <w:rsid w:val="00915ABF"/>
    <w:rsid w:val="009209F3"/>
    <w:rsid w:val="00921CAD"/>
    <w:rsid w:val="00924879"/>
    <w:rsid w:val="0092666D"/>
    <w:rsid w:val="00926C69"/>
    <w:rsid w:val="009278F3"/>
    <w:rsid w:val="00927BA7"/>
    <w:rsid w:val="00930C0E"/>
    <w:rsid w:val="009311ED"/>
    <w:rsid w:val="00931D41"/>
    <w:rsid w:val="00933D18"/>
    <w:rsid w:val="0093401B"/>
    <w:rsid w:val="00934A53"/>
    <w:rsid w:val="00942221"/>
    <w:rsid w:val="009438FD"/>
    <w:rsid w:val="00950FBB"/>
    <w:rsid w:val="00951118"/>
    <w:rsid w:val="0095122F"/>
    <w:rsid w:val="00952D21"/>
    <w:rsid w:val="00953349"/>
    <w:rsid w:val="00953E4C"/>
    <w:rsid w:val="00954E0C"/>
    <w:rsid w:val="00961156"/>
    <w:rsid w:val="00964F03"/>
    <w:rsid w:val="00964F6D"/>
    <w:rsid w:val="00966F1F"/>
    <w:rsid w:val="00967965"/>
    <w:rsid w:val="00975676"/>
    <w:rsid w:val="00976467"/>
    <w:rsid w:val="00976D32"/>
    <w:rsid w:val="009822B0"/>
    <w:rsid w:val="009844F7"/>
    <w:rsid w:val="009932E4"/>
    <w:rsid w:val="009938F7"/>
    <w:rsid w:val="00995A7D"/>
    <w:rsid w:val="00995ACC"/>
    <w:rsid w:val="00995C39"/>
    <w:rsid w:val="00997407"/>
    <w:rsid w:val="009A05AA"/>
    <w:rsid w:val="009A2D5A"/>
    <w:rsid w:val="009A6509"/>
    <w:rsid w:val="009A6E2F"/>
    <w:rsid w:val="009A7DDF"/>
    <w:rsid w:val="009B1075"/>
    <w:rsid w:val="009B2969"/>
    <w:rsid w:val="009B2C7E"/>
    <w:rsid w:val="009B624C"/>
    <w:rsid w:val="009B67E5"/>
    <w:rsid w:val="009B6DBD"/>
    <w:rsid w:val="009B79B3"/>
    <w:rsid w:val="009C108A"/>
    <w:rsid w:val="009C2E47"/>
    <w:rsid w:val="009C46B5"/>
    <w:rsid w:val="009C4A9F"/>
    <w:rsid w:val="009C6BFB"/>
    <w:rsid w:val="009D0C05"/>
    <w:rsid w:val="009D2B62"/>
    <w:rsid w:val="009E1DCF"/>
    <w:rsid w:val="009E2C00"/>
    <w:rsid w:val="009E49AD"/>
    <w:rsid w:val="009E4CC5"/>
    <w:rsid w:val="009E70F4"/>
    <w:rsid w:val="009E72A3"/>
    <w:rsid w:val="009F1AD2"/>
    <w:rsid w:val="009F7AD8"/>
    <w:rsid w:val="00A00C78"/>
    <w:rsid w:val="00A00E1A"/>
    <w:rsid w:val="00A03A20"/>
    <w:rsid w:val="00A0479E"/>
    <w:rsid w:val="00A073BF"/>
    <w:rsid w:val="00A07979"/>
    <w:rsid w:val="00A1064D"/>
    <w:rsid w:val="00A10EA0"/>
    <w:rsid w:val="00A11755"/>
    <w:rsid w:val="00A15DAA"/>
    <w:rsid w:val="00A207FB"/>
    <w:rsid w:val="00A20F9B"/>
    <w:rsid w:val="00A24016"/>
    <w:rsid w:val="00A25EA4"/>
    <w:rsid w:val="00A265BF"/>
    <w:rsid w:val="00A26F44"/>
    <w:rsid w:val="00A34FAB"/>
    <w:rsid w:val="00A35670"/>
    <w:rsid w:val="00A35A62"/>
    <w:rsid w:val="00A36196"/>
    <w:rsid w:val="00A361C7"/>
    <w:rsid w:val="00A411FC"/>
    <w:rsid w:val="00A417DD"/>
    <w:rsid w:val="00A42C43"/>
    <w:rsid w:val="00A4313D"/>
    <w:rsid w:val="00A43951"/>
    <w:rsid w:val="00A50120"/>
    <w:rsid w:val="00A60273"/>
    <w:rsid w:val="00A60351"/>
    <w:rsid w:val="00A61C6D"/>
    <w:rsid w:val="00A63015"/>
    <w:rsid w:val="00A6387B"/>
    <w:rsid w:val="00A6477D"/>
    <w:rsid w:val="00A66254"/>
    <w:rsid w:val="00A678B4"/>
    <w:rsid w:val="00A704A3"/>
    <w:rsid w:val="00A70E2D"/>
    <w:rsid w:val="00A75B94"/>
    <w:rsid w:val="00A75E23"/>
    <w:rsid w:val="00A82AA0"/>
    <w:rsid w:val="00A82F8A"/>
    <w:rsid w:val="00A83595"/>
    <w:rsid w:val="00A84622"/>
    <w:rsid w:val="00A84BF0"/>
    <w:rsid w:val="00A84E7B"/>
    <w:rsid w:val="00A9226B"/>
    <w:rsid w:val="00A9575C"/>
    <w:rsid w:val="00A95B56"/>
    <w:rsid w:val="00A95E81"/>
    <w:rsid w:val="00A969AF"/>
    <w:rsid w:val="00AA0E9B"/>
    <w:rsid w:val="00AA7683"/>
    <w:rsid w:val="00AB0D18"/>
    <w:rsid w:val="00AB1A2E"/>
    <w:rsid w:val="00AB2AF8"/>
    <w:rsid w:val="00AB328A"/>
    <w:rsid w:val="00AB4918"/>
    <w:rsid w:val="00AB4BC8"/>
    <w:rsid w:val="00AB5A4B"/>
    <w:rsid w:val="00AB6BA7"/>
    <w:rsid w:val="00AB709E"/>
    <w:rsid w:val="00AB7632"/>
    <w:rsid w:val="00AB7BE8"/>
    <w:rsid w:val="00AC177C"/>
    <w:rsid w:val="00AC67E1"/>
    <w:rsid w:val="00AD0710"/>
    <w:rsid w:val="00AD090D"/>
    <w:rsid w:val="00AD26ED"/>
    <w:rsid w:val="00AD4CDB"/>
    <w:rsid w:val="00AD4DB9"/>
    <w:rsid w:val="00AD6165"/>
    <w:rsid w:val="00AD63C0"/>
    <w:rsid w:val="00AD71C2"/>
    <w:rsid w:val="00AE35B2"/>
    <w:rsid w:val="00AE6AA0"/>
    <w:rsid w:val="00AF2FB5"/>
    <w:rsid w:val="00AF4A5B"/>
    <w:rsid w:val="00AF7B1E"/>
    <w:rsid w:val="00B011E9"/>
    <w:rsid w:val="00B0241F"/>
    <w:rsid w:val="00B06E9C"/>
    <w:rsid w:val="00B113B9"/>
    <w:rsid w:val="00B119A2"/>
    <w:rsid w:val="00B11B28"/>
    <w:rsid w:val="00B11CF4"/>
    <w:rsid w:val="00B12489"/>
    <w:rsid w:val="00B130A4"/>
    <w:rsid w:val="00B16EEC"/>
    <w:rsid w:val="00B177F2"/>
    <w:rsid w:val="00B201F1"/>
    <w:rsid w:val="00B20B00"/>
    <w:rsid w:val="00B22559"/>
    <w:rsid w:val="00B2603F"/>
    <w:rsid w:val="00B27255"/>
    <w:rsid w:val="00B302B7"/>
    <w:rsid w:val="00B304E7"/>
    <w:rsid w:val="00B318B6"/>
    <w:rsid w:val="00B33D97"/>
    <w:rsid w:val="00B3499B"/>
    <w:rsid w:val="00B41F47"/>
    <w:rsid w:val="00B429DA"/>
    <w:rsid w:val="00B44468"/>
    <w:rsid w:val="00B450F2"/>
    <w:rsid w:val="00B451DA"/>
    <w:rsid w:val="00B46E34"/>
    <w:rsid w:val="00B47E9F"/>
    <w:rsid w:val="00B60AC9"/>
    <w:rsid w:val="00B62B03"/>
    <w:rsid w:val="00B631DE"/>
    <w:rsid w:val="00B63619"/>
    <w:rsid w:val="00B63DEF"/>
    <w:rsid w:val="00B67323"/>
    <w:rsid w:val="00B715F2"/>
    <w:rsid w:val="00B74071"/>
    <w:rsid w:val="00B7412C"/>
    <w:rsid w:val="00B7428E"/>
    <w:rsid w:val="00B74B67"/>
    <w:rsid w:val="00B778EB"/>
    <w:rsid w:val="00B779AA"/>
    <w:rsid w:val="00B81C95"/>
    <w:rsid w:val="00B82330"/>
    <w:rsid w:val="00B82ED4"/>
    <w:rsid w:val="00B8424F"/>
    <w:rsid w:val="00B84BFF"/>
    <w:rsid w:val="00B86896"/>
    <w:rsid w:val="00B870D9"/>
    <w:rsid w:val="00B875A6"/>
    <w:rsid w:val="00B87DBB"/>
    <w:rsid w:val="00B91C0B"/>
    <w:rsid w:val="00B93E4C"/>
    <w:rsid w:val="00B94A1B"/>
    <w:rsid w:val="00B96139"/>
    <w:rsid w:val="00BA1C05"/>
    <w:rsid w:val="00BA1ECC"/>
    <w:rsid w:val="00BA5C89"/>
    <w:rsid w:val="00BB04EB"/>
    <w:rsid w:val="00BB128B"/>
    <w:rsid w:val="00BB2539"/>
    <w:rsid w:val="00BB4CE2"/>
    <w:rsid w:val="00BB5EF0"/>
    <w:rsid w:val="00BB6724"/>
    <w:rsid w:val="00BC075D"/>
    <w:rsid w:val="00BC0EFB"/>
    <w:rsid w:val="00BC2211"/>
    <w:rsid w:val="00BC2E39"/>
    <w:rsid w:val="00BC2E71"/>
    <w:rsid w:val="00BC6091"/>
    <w:rsid w:val="00BD2364"/>
    <w:rsid w:val="00BD248F"/>
    <w:rsid w:val="00BD28E3"/>
    <w:rsid w:val="00BE117E"/>
    <w:rsid w:val="00BE1546"/>
    <w:rsid w:val="00BE1E49"/>
    <w:rsid w:val="00BE238C"/>
    <w:rsid w:val="00BE3261"/>
    <w:rsid w:val="00BE334C"/>
    <w:rsid w:val="00BF00EF"/>
    <w:rsid w:val="00BF58FC"/>
    <w:rsid w:val="00C0049F"/>
    <w:rsid w:val="00C01B97"/>
    <w:rsid w:val="00C01F77"/>
    <w:rsid w:val="00C01FFC"/>
    <w:rsid w:val="00C05321"/>
    <w:rsid w:val="00C06AE4"/>
    <w:rsid w:val="00C114FF"/>
    <w:rsid w:val="00C11D49"/>
    <w:rsid w:val="00C11EA9"/>
    <w:rsid w:val="00C171A1"/>
    <w:rsid w:val="00C171A4"/>
    <w:rsid w:val="00C17F12"/>
    <w:rsid w:val="00C20734"/>
    <w:rsid w:val="00C213A4"/>
    <w:rsid w:val="00C21C1A"/>
    <w:rsid w:val="00C237E9"/>
    <w:rsid w:val="00C2434A"/>
    <w:rsid w:val="00C26290"/>
    <w:rsid w:val="00C32989"/>
    <w:rsid w:val="00C36883"/>
    <w:rsid w:val="00C40928"/>
    <w:rsid w:val="00C40CFF"/>
    <w:rsid w:val="00C42697"/>
    <w:rsid w:val="00C426B9"/>
    <w:rsid w:val="00C43F01"/>
    <w:rsid w:val="00C47552"/>
    <w:rsid w:val="00C477C0"/>
    <w:rsid w:val="00C50C8B"/>
    <w:rsid w:val="00C55BF1"/>
    <w:rsid w:val="00C57A81"/>
    <w:rsid w:val="00C60193"/>
    <w:rsid w:val="00C634D4"/>
    <w:rsid w:val="00C63AA5"/>
    <w:rsid w:val="00C65071"/>
    <w:rsid w:val="00C6727C"/>
    <w:rsid w:val="00C6744C"/>
    <w:rsid w:val="00C71064"/>
    <w:rsid w:val="00C73134"/>
    <w:rsid w:val="00C73F6D"/>
    <w:rsid w:val="00C74F6E"/>
    <w:rsid w:val="00C77FA4"/>
    <w:rsid w:val="00C77FFA"/>
    <w:rsid w:val="00C80401"/>
    <w:rsid w:val="00C81C97"/>
    <w:rsid w:val="00C828CF"/>
    <w:rsid w:val="00C82A44"/>
    <w:rsid w:val="00C840C2"/>
    <w:rsid w:val="00C84101"/>
    <w:rsid w:val="00C84229"/>
    <w:rsid w:val="00C8535F"/>
    <w:rsid w:val="00C9068F"/>
    <w:rsid w:val="00C90EDA"/>
    <w:rsid w:val="00C93C62"/>
    <w:rsid w:val="00C959E7"/>
    <w:rsid w:val="00C95F42"/>
    <w:rsid w:val="00CA7F90"/>
    <w:rsid w:val="00CB680E"/>
    <w:rsid w:val="00CC1E65"/>
    <w:rsid w:val="00CC492E"/>
    <w:rsid w:val="00CC532C"/>
    <w:rsid w:val="00CC567A"/>
    <w:rsid w:val="00CC71F2"/>
    <w:rsid w:val="00CC7C87"/>
    <w:rsid w:val="00CD4059"/>
    <w:rsid w:val="00CD4E5A"/>
    <w:rsid w:val="00CD6AFD"/>
    <w:rsid w:val="00CD72C8"/>
    <w:rsid w:val="00CD7F42"/>
    <w:rsid w:val="00CE03CE"/>
    <w:rsid w:val="00CE0F5D"/>
    <w:rsid w:val="00CE1A6A"/>
    <w:rsid w:val="00CE522A"/>
    <w:rsid w:val="00CF0DFF"/>
    <w:rsid w:val="00CF7213"/>
    <w:rsid w:val="00D028A9"/>
    <w:rsid w:val="00D0359D"/>
    <w:rsid w:val="00D04DED"/>
    <w:rsid w:val="00D05869"/>
    <w:rsid w:val="00D0616C"/>
    <w:rsid w:val="00D06349"/>
    <w:rsid w:val="00D10050"/>
    <w:rsid w:val="00D1089A"/>
    <w:rsid w:val="00D116BD"/>
    <w:rsid w:val="00D14811"/>
    <w:rsid w:val="00D159D2"/>
    <w:rsid w:val="00D15B21"/>
    <w:rsid w:val="00D2001A"/>
    <w:rsid w:val="00D20684"/>
    <w:rsid w:val="00D234AA"/>
    <w:rsid w:val="00D26B62"/>
    <w:rsid w:val="00D32624"/>
    <w:rsid w:val="00D3691A"/>
    <w:rsid w:val="00D377E2"/>
    <w:rsid w:val="00D42565"/>
    <w:rsid w:val="00D42DCB"/>
    <w:rsid w:val="00D45482"/>
    <w:rsid w:val="00D46DF2"/>
    <w:rsid w:val="00D47674"/>
    <w:rsid w:val="00D52537"/>
    <w:rsid w:val="00D52B34"/>
    <w:rsid w:val="00D5338C"/>
    <w:rsid w:val="00D606B2"/>
    <w:rsid w:val="00D625A7"/>
    <w:rsid w:val="00D64074"/>
    <w:rsid w:val="00D65777"/>
    <w:rsid w:val="00D66586"/>
    <w:rsid w:val="00D728A0"/>
    <w:rsid w:val="00D80DA5"/>
    <w:rsid w:val="00D83661"/>
    <w:rsid w:val="00D95C60"/>
    <w:rsid w:val="00D970B3"/>
    <w:rsid w:val="00D97E7D"/>
    <w:rsid w:val="00DB0FAF"/>
    <w:rsid w:val="00DB20E5"/>
    <w:rsid w:val="00DB21A4"/>
    <w:rsid w:val="00DB3439"/>
    <w:rsid w:val="00DB3618"/>
    <w:rsid w:val="00DB38D0"/>
    <w:rsid w:val="00DB468A"/>
    <w:rsid w:val="00DC2946"/>
    <w:rsid w:val="00DC550F"/>
    <w:rsid w:val="00DC58BA"/>
    <w:rsid w:val="00DC6087"/>
    <w:rsid w:val="00DC64FD"/>
    <w:rsid w:val="00DD53C3"/>
    <w:rsid w:val="00DD6D15"/>
    <w:rsid w:val="00DE127F"/>
    <w:rsid w:val="00DE424A"/>
    <w:rsid w:val="00DE4419"/>
    <w:rsid w:val="00DE67C4"/>
    <w:rsid w:val="00DE6836"/>
    <w:rsid w:val="00DF0ACA"/>
    <w:rsid w:val="00DF189A"/>
    <w:rsid w:val="00DF2245"/>
    <w:rsid w:val="00DF4CE9"/>
    <w:rsid w:val="00DF77CF"/>
    <w:rsid w:val="00E019DC"/>
    <w:rsid w:val="00E026E8"/>
    <w:rsid w:val="00E060F7"/>
    <w:rsid w:val="00E07D26"/>
    <w:rsid w:val="00E11149"/>
    <w:rsid w:val="00E13306"/>
    <w:rsid w:val="00E14C47"/>
    <w:rsid w:val="00E15211"/>
    <w:rsid w:val="00E22290"/>
    <w:rsid w:val="00E22698"/>
    <w:rsid w:val="00E25B7C"/>
    <w:rsid w:val="00E3076B"/>
    <w:rsid w:val="00E33224"/>
    <w:rsid w:val="00E3725B"/>
    <w:rsid w:val="00E434D1"/>
    <w:rsid w:val="00E47483"/>
    <w:rsid w:val="00E507C1"/>
    <w:rsid w:val="00E50ACA"/>
    <w:rsid w:val="00E56CBB"/>
    <w:rsid w:val="00E6096F"/>
    <w:rsid w:val="00E61950"/>
    <w:rsid w:val="00E61E51"/>
    <w:rsid w:val="00E64815"/>
    <w:rsid w:val="00E6552A"/>
    <w:rsid w:val="00E6707D"/>
    <w:rsid w:val="00E70337"/>
    <w:rsid w:val="00E70E7C"/>
    <w:rsid w:val="00E71313"/>
    <w:rsid w:val="00E72606"/>
    <w:rsid w:val="00E73C3E"/>
    <w:rsid w:val="00E74050"/>
    <w:rsid w:val="00E745AC"/>
    <w:rsid w:val="00E75BB6"/>
    <w:rsid w:val="00E76BE0"/>
    <w:rsid w:val="00E8200E"/>
    <w:rsid w:val="00E82496"/>
    <w:rsid w:val="00E834CD"/>
    <w:rsid w:val="00E846DC"/>
    <w:rsid w:val="00E84E9D"/>
    <w:rsid w:val="00E86CEE"/>
    <w:rsid w:val="00E9135A"/>
    <w:rsid w:val="00E935AF"/>
    <w:rsid w:val="00E94CB2"/>
    <w:rsid w:val="00E95993"/>
    <w:rsid w:val="00EA0055"/>
    <w:rsid w:val="00EA5C0D"/>
    <w:rsid w:val="00EB0E20"/>
    <w:rsid w:val="00EB1A80"/>
    <w:rsid w:val="00EB457B"/>
    <w:rsid w:val="00EC1AD8"/>
    <w:rsid w:val="00EC47C4"/>
    <w:rsid w:val="00EC4F3A"/>
    <w:rsid w:val="00EC517B"/>
    <w:rsid w:val="00EC5E74"/>
    <w:rsid w:val="00EC6643"/>
    <w:rsid w:val="00EC6EEA"/>
    <w:rsid w:val="00ED0A0D"/>
    <w:rsid w:val="00ED4B03"/>
    <w:rsid w:val="00ED5527"/>
    <w:rsid w:val="00ED594D"/>
    <w:rsid w:val="00ED72D4"/>
    <w:rsid w:val="00EE0426"/>
    <w:rsid w:val="00EE3479"/>
    <w:rsid w:val="00EE36E1"/>
    <w:rsid w:val="00EE6228"/>
    <w:rsid w:val="00EE7AC7"/>
    <w:rsid w:val="00EE7B3F"/>
    <w:rsid w:val="00EF16F5"/>
    <w:rsid w:val="00EF3A8A"/>
    <w:rsid w:val="00EF5A78"/>
    <w:rsid w:val="00F0054D"/>
    <w:rsid w:val="00F02467"/>
    <w:rsid w:val="00F04D0E"/>
    <w:rsid w:val="00F05E15"/>
    <w:rsid w:val="00F10372"/>
    <w:rsid w:val="00F12214"/>
    <w:rsid w:val="00F12565"/>
    <w:rsid w:val="00F1379F"/>
    <w:rsid w:val="00F144BE"/>
    <w:rsid w:val="00F14ACA"/>
    <w:rsid w:val="00F15F80"/>
    <w:rsid w:val="00F17A0C"/>
    <w:rsid w:val="00F23927"/>
    <w:rsid w:val="00F2396E"/>
    <w:rsid w:val="00F2666B"/>
    <w:rsid w:val="00F26A05"/>
    <w:rsid w:val="00F307CE"/>
    <w:rsid w:val="00F348CF"/>
    <w:rsid w:val="00F354C5"/>
    <w:rsid w:val="00F37108"/>
    <w:rsid w:val="00F40449"/>
    <w:rsid w:val="00F41C80"/>
    <w:rsid w:val="00F45B8E"/>
    <w:rsid w:val="00F47BAA"/>
    <w:rsid w:val="00F520FE"/>
    <w:rsid w:val="00F52EAB"/>
    <w:rsid w:val="00F5375B"/>
    <w:rsid w:val="00F54A53"/>
    <w:rsid w:val="00F55A04"/>
    <w:rsid w:val="00F61A31"/>
    <w:rsid w:val="00F61D82"/>
    <w:rsid w:val="00F66F00"/>
    <w:rsid w:val="00F67A2D"/>
    <w:rsid w:val="00F70A1B"/>
    <w:rsid w:val="00F72FDF"/>
    <w:rsid w:val="00F75960"/>
    <w:rsid w:val="00F765B9"/>
    <w:rsid w:val="00F8247C"/>
    <w:rsid w:val="00F82526"/>
    <w:rsid w:val="00F84672"/>
    <w:rsid w:val="00F84802"/>
    <w:rsid w:val="00F84A82"/>
    <w:rsid w:val="00F86280"/>
    <w:rsid w:val="00F90B01"/>
    <w:rsid w:val="00F92109"/>
    <w:rsid w:val="00F95A8C"/>
    <w:rsid w:val="00F95B8C"/>
    <w:rsid w:val="00F97CA8"/>
    <w:rsid w:val="00FA05DE"/>
    <w:rsid w:val="00FA06FD"/>
    <w:rsid w:val="00FA4EE2"/>
    <w:rsid w:val="00FA515B"/>
    <w:rsid w:val="00FA6B90"/>
    <w:rsid w:val="00FA70F9"/>
    <w:rsid w:val="00FA74CB"/>
    <w:rsid w:val="00FA7785"/>
    <w:rsid w:val="00FB207A"/>
    <w:rsid w:val="00FB2886"/>
    <w:rsid w:val="00FB466E"/>
    <w:rsid w:val="00FB5BDC"/>
    <w:rsid w:val="00FB75F0"/>
    <w:rsid w:val="00FC02F3"/>
    <w:rsid w:val="00FC06F1"/>
    <w:rsid w:val="00FC0941"/>
    <w:rsid w:val="00FC0ABF"/>
    <w:rsid w:val="00FC1E1F"/>
    <w:rsid w:val="00FC752C"/>
    <w:rsid w:val="00FD0492"/>
    <w:rsid w:val="00FD13EC"/>
    <w:rsid w:val="00FD1E45"/>
    <w:rsid w:val="00FD4DA8"/>
    <w:rsid w:val="00FD4EEF"/>
    <w:rsid w:val="00FD5461"/>
    <w:rsid w:val="00FD6BDB"/>
    <w:rsid w:val="00FD6F00"/>
    <w:rsid w:val="00FD7B98"/>
    <w:rsid w:val="00FE278B"/>
    <w:rsid w:val="00FE6325"/>
    <w:rsid w:val="00FF0F23"/>
    <w:rsid w:val="00FF18D2"/>
    <w:rsid w:val="00FF22F5"/>
    <w:rsid w:val="00FF351F"/>
    <w:rsid w:val="00FF4664"/>
    <w:rsid w:val="00FF7577"/>
    <w:rsid w:val="4F98C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8C011C"/>
  <w15:docId w15:val="{A357A052-21CD-4F75-A864-370063B3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A36196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18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12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/>
    <w:tblStylePr w:type="firstRow">
      <w:rPr>
        <w:rFonts w:ascii="Times New Roman" w:hAnsi="Times New Roman"/>
        <w:b/>
        <w:i w:val="0"/>
        <w:color w:val="auto"/>
        <w:sz w:val="18"/>
        <w:szCs w:val="18"/>
      </w:r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character" w:customStyle="1" w:styleId="UnresolvedMention1">
    <w:name w:val="Unresolved Mention1"/>
    <w:rsid w:val="00031A38"/>
    <w:rPr>
      <w:color w:val="605E5C"/>
      <w:shd w:val="clear" w:color="auto" w:fill="E1DFDD"/>
    </w:rPr>
  </w:style>
  <w:style w:type="character" w:customStyle="1" w:styleId="UnresolvedMention2">
    <w:name w:val="Unresolved Mention2"/>
    <w:rsid w:val="00E33224"/>
    <w:rPr>
      <w:color w:val="605E5C"/>
      <w:shd w:val="clear" w:color="auto" w:fill="E1DFDD"/>
    </w:rPr>
  </w:style>
  <w:style w:type="character" w:customStyle="1" w:styleId="ui-provider">
    <w:name w:val="ui-provider"/>
    <w:basedOn w:val="Standardnpsmoodstavce"/>
    <w:rsid w:val="00074480"/>
  </w:style>
  <w:style w:type="paragraph" w:customStyle="1" w:styleId="TableParagraph">
    <w:name w:val="Table Paragraph"/>
    <w:basedOn w:val="Normln"/>
    <w:uiPriority w:val="1"/>
    <w:qFormat/>
    <w:rsid w:val="00074480"/>
    <w:pPr>
      <w:widowControl w:val="0"/>
      <w:tabs>
        <w:tab w:val="clear" w:pos="567"/>
      </w:tabs>
      <w:autoSpaceDE w:val="0"/>
      <w:autoSpaceDN w:val="0"/>
      <w:spacing w:before="43" w:line="240" w:lineRule="auto"/>
      <w:ind w:left="103"/>
    </w:pPr>
    <w:rPr>
      <w:rFonts w:ascii="Arial" w:eastAsia="Arial" w:hAnsi="Arial" w:cs="Arial"/>
      <w:szCs w:val="22"/>
    </w:rPr>
  </w:style>
  <w:style w:type="paragraph" w:styleId="Odstavecseseznamem">
    <w:name w:val="List Paragraph"/>
    <w:basedOn w:val="Normln"/>
    <w:uiPriority w:val="34"/>
    <w:qFormat/>
    <w:rsid w:val="00F92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skvbl.cz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medicines.health.europa.eu/veterinary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ABE31286EA24A948CD1A03639BF08" ma:contentTypeVersion="14" ma:contentTypeDescription="Create a new document." ma:contentTypeScope="" ma:versionID="a7b48ee7dd296e8d20a123e12e4f37d9">
  <xsd:schema xmlns:xsd="http://www.w3.org/2001/XMLSchema" xmlns:xs="http://www.w3.org/2001/XMLSchema" xmlns:p="http://schemas.microsoft.com/office/2006/metadata/properties" xmlns:ns2="62469ed2-be51-435e-9ec8-932f2ef1532b" xmlns:ns3="42098356-5113-43b8-accb-c2bfe48bdc5b" targetNamespace="http://schemas.microsoft.com/office/2006/metadata/properties" ma:root="true" ma:fieldsID="747964eedc2a86d4d6984ad513225548" ns2:_="" ns3:_="">
    <xsd:import namespace="62469ed2-be51-435e-9ec8-932f2ef1532b"/>
    <xsd:import namespace="42098356-5113-43b8-accb-c2bfe48bd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69ed2-be51-435e-9ec8-932f2ef15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0c9ffa9-0e2a-4238-874a-bc48eedf5a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98356-5113-43b8-accb-c2bfe48bdc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210781-a6e1-4ff0-a1b8-9a3e59ed882b}" ma:internalName="TaxCatchAll" ma:showField="CatchAllData" ma:web="42098356-5113-43b8-accb-c2bfe48bd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469ed2-be51-435e-9ec8-932f2ef1532b">
      <Terms xmlns="http://schemas.microsoft.com/office/infopath/2007/PartnerControls"/>
    </lcf76f155ced4ddcb4097134ff3c332f>
    <TaxCatchAll xmlns="42098356-5113-43b8-accb-c2bfe48bdc5b" xsi:nil="true"/>
  </documentManagement>
</p:properties>
</file>

<file path=customXml/itemProps1.xml><?xml version="1.0" encoding="utf-8"?>
<ds:datastoreItem xmlns:ds="http://schemas.openxmlformats.org/officeDocument/2006/customXml" ds:itemID="{FC38F3D2-D735-46B5-A56B-5FBEC83ED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469ed2-be51-435e-9ec8-932f2ef1532b"/>
    <ds:schemaRef ds:uri="42098356-5113-43b8-accb-c2bfe48bd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47B8A1-D175-4979-AE70-2FA005A91B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D5820E-CB12-4904-B58A-D1593B2A30F6}">
  <ds:schemaRefs>
    <ds:schemaRef ds:uri="http://schemas.microsoft.com/office/2006/metadata/properties"/>
    <ds:schemaRef ds:uri="http://schemas.microsoft.com/office/infopath/2007/PartnerControls"/>
    <ds:schemaRef ds:uri="62469ed2-be51-435e-9ec8-932f2ef1532b"/>
    <ds:schemaRef ds:uri="42098356-5113-43b8-accb-c2bfe48bdc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2187</Words>
  <Characters>12910</Characters>
  <Application>Microsoft Office Word</Application>
  <DocSecurity>0</DocSecurity>
  <Lines>107</Lines>
  <Paragraphs>30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QRD veterinary product-information  (English) template version 9.1</vt:lpstr>
      <vt:lpstr>QRD veterinary product-information  (English) template version 9.1</vt:lpstr>
      <vt:lpstr>QRD veterinary product-information  (English) template version 9.1</vt:lpstr>
    </vt:vector>
  </TitlesOfParts>
  <Company>EMEA</Company>
  <LinksUpToDate>false</LinksUpToDate>
  <CharactersWithSpaces>15067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QRD veterinary product-information  (English) template version 9.1</dc:title>
  <dc:subject>General-EMA/201224/2010</dc:subject>
  <dc:creator>Prizzi Monica</dc:creator>
  <cp:keywords/>
  <cp:lastModifiedBy>Neugebauerová Kateřina</cp:lastModifiedBy>
  <cp:revision>18</cp:revision>
  <cp:lastPrinted>2026-09-16T10:28:00Z</cp:lastPrinted>
  <dcterms:created xsi:type="dcterms:W3CDTF">2026-07-20T07:34:00Z</dcterms:created>
  <dcterms:modified xsi:type="dcterms:W3CDTF">2026-09-16T10:28:00Z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18/11/2024 12:28:04</vt:lpwstr>
  </property>
  <property fmtid="{D5CDD505-2E9C-101B-9397-08002B2CF9AE}" pid="6" name="DM_Creator_Name">
    <vt:lpwstr>Prizzi Monica</vt:lpwstr>
  </property>
  <property fmtid="{D5CDD505-2E9C-101B-9397-08002B2CF9AE}" pid="7" name="DM_DocRefId">
    <vt:lpwstr>EMA/166009/2024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EMA/166009/2024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>en_GB</vt:lpwstr>
  </property>
  <property fmtid="{D5CDD505-2E9C-101B-9397-08002B2CF9AE}" pid="32" name="DM_Modifer_Name">
    <vt:lpwstr>Prizzi Monica</vt:lpwstr>
  </property>
  <property fmtid="{D5CDD505-2E9C-101B-9397-08002B2CF9AE}" pid="33" name="DM_Modified_Date">
    <vt:lpwstr>18/11/2024 12:28:04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18/11/2024 12:28:04</vt:lpwstr>
  </property>
  <property fmtid="{D5CDD505-2E9C-101B-9397-08002B2CF9AE}" pid="36" name="DM_Name">
    <vt:lpwstr>QRD veterinary product-information  (English) template version 9.1</vt:lpwstr>
  </property>
  <property fmtid="{D5CDD505-2E9C-101B-9397-08002B2CF9AE}" pid="37" name="DM_Owner">
    <vt:lpwstr>Prizzi Monica</vt:lpwstr>
  </property>
  <property fmtid="{D5CDD505-2E9C-101B-9397-08002B2CF9AE}" pid="38" name="DM_Path">
    <vt:lpwstr>/14. Working areas/14.06 V-Division/01. V-Division Administration/02. V - Staff matters/Presentations/Svetoslav Branchev/QRD v.9.1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1.13,CURRENT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MSIP_Label_0eea11ca-d417-4147-80ed-01a58412c458_ActionId">
    <vt:lpwstr>3e5f2a37-71ec-4b36-b1c9-74bef0f913c4</vt:lpwstr>
  </property>
  <property fmtid="{D5CDD505-2E9C-101B-9397-08002B2CF9AE}" pid="67" name="MSIP_Label_0eea11ca-d417-4147-80ed-01a58412c458_ContentBits">
    <vt:lpwstr>2</vt:lpwstr>
  </property>
  <property fmtid="{D5CDD505-2E9C-101B-9397-08002B2CF9AE}" pid="68" name="MSIP_Label_0eea11ca-d417-4147-80ed-01a58412c458_Enabled">
    <vt:lpwstr>true</vt:lpwstr>
  </property>
  <property fmtid="{D5CDD505-2E9C-101B-9397-08002B2CF9AE}" pid="69" name="MSIP_Label_0eea11ca-d417-4147-80ed-01a58412c458_Method">
    <vt:lpwstr>Standard</vt:lpwstr>
  </property>
  <property fmtid="{D5CDD505-2E9C-101B-9397-08002B2CF9AE}" pid="70" name="MSIP_Label_0eea11ca-d417-4147-80ed-01a58412c458_Name">
    <vt:lpwstr>0eea11ca-d417-4147-80ed-01a58412c458</vt:lpwstr>
  </property>
  <property fmtid="{D5CDD505-2E9C-101B-9397-08002B2CF9AE}" pid="71" name="MSIP_Label_0eea11ca-d417-4147-80ed-01a58412c458_SetDate">
    <vt:lpwstr>2024-05-11T12:05:17Z</vt:lpwstr>
  </property>
  <property fmtid="{D5CDD505-2E9C-101B-9397-08002B2CF9AE}" pid="72" name="MSIP_Label_0eea11ca-d417-4147-80ed-01a58412c458_SiteId">
    <vt:lpwstr>bc9dc15c-61bc-4f03-b60b-e5b6d8922839</vt:lpwstr>
  </property>
  <property fmtid="{D5CDD505-2E9C-101B-9397-08002B2CF9AE}" pid="73" name="ContentTypeId">
    <vt:lpwstr>0x010100F54ABE31286EA24A948CD1A03639BF08</vt:lpwstr>
  </property>
  <property fmtid="{D5CDD505-2E9C-101B-9397-08002B2CF9AE}" pid="74" name="MediaServiceImageTags">
    <vt:lpwstr/>
  </property>
</Properties>
</file>