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9510" w14:textId="77777777" w:rsidR="008C4643" w:rsidRPr="00F97D2B" w:rsidRDefault="008C4643" w:rsidP="008C4643">
      <w:pPr>
        <w:tabs>
          <w:tab w:val="clear" w:pos="567"/>
        </w:tabs>
        <w:spacing w:line="240" w:lineRule="auto"/>
        <w:rPr>
          <w:szCs w:val="22"/>
        </w:rPr>
      </w:pPr>
    </w:p>
    <w:p w14:paraId="755C4154" w14:textId="77777777" w:rsidR="008C4643" w:rsidRPr="00F97D2B" w:rsidRDefault="008C4643" w:rsidP="008C4643">
      <w:pPr>
        <w:tabs>
          <w:tab w:val="clear" w:pos="567"/>
        </w:tabs>
        <w:spacing w:line="240" w:lineRule="auto"/>
        <w:rPr>
          <w:szCs w:val="22"/>
        </w:rPr>
      </w:pPr>
    </w:p>
    <w:p w14:paraId="6F432E66" w14:textId="77777777" w:rsidR="008C4643" w:rsidRPr="00F97D2B" w:rsidRDefault="008C4643" w:rsidP="008C4643">
      <w:pPr>
        <w:tabs>
          <w:tab w:val="clear" w:pos="567"/>
        </w:tabs>
        <w:spacing w:line="240" w:lineRule="auto"/>
        <w:rPr>
          <w:szCs w:val="22"/>
        </w:rPr>
      </w:pPr>
    </w:p>
    <w:p w14:paraId="7F57EBC6" w14:textId="77777777" w:rsidR="008C4643" w:rsidRPr="00F97D2B" w:rsidRDefault="008C4643" w:rsidP="008C4643">
      <w:pPr>
        <w:tabs>
          <w:tab w:val="clear" w:pos="567"/>
        </w:tabs>
        <w:spacing w:line="240" w:lineRule="auto"/>
        <w:rPr>
          <w:szCs w:val="22"/>
        </w:rPr>
      </w:pPr>
    </w:p>
    <w:p w14:paraId="6AFCFA59" w14:textId="77777777" w:rsidR="008C4643" w:rsidRPr="00F97D2B" w:rsidRDefault="008C4643" w:rsidP="008C4643">
      <w:pPr>
        <w:tabs>
          <w:tab w:val="clear" w:pos="567"/>
        </w:tabs>
        <w:spacing w:line="240" w:lineRule="auto"/>
        <w:rPr>
          <w:szCs w:val="22"/>
        </w:rPr>
      </w:pPr>
    </w:p>
    <w:p w14:paraId="061D0612" w14:textId="77777777" w:rsidR="008C4643" w:rsidRPr="00F97D2B" w:rsidRDefault="008C4643" w:rsidP="008C4643">
      <w:pPr>
        <w:tabs>
          <w:tab w:val="clear" w:pos="567"/>
        </w:tabs>
        <w:spacing w:line="240" w:lineRule="auto"/>
        <w:rPr>
          <w:szCs w:val="22"/>
        </w:rPr>
      </w:pPr>
    </w:p>
    <w:p w14:paraId="227E9D02" w14:textId="77777777" w:rsidR="008C4643" w:rsidRPr="00F97D2B" w:rsidRDefault="008C4643" w:rsidP="008C4643">
      <w:pPr>
        <w:tabs>
          <w:tab w:val="clear" w:pos="567"/>
        </w:tabs>
        <w:spacing w:line="240" w:lineRule="auto"/>
        <w:rPr>
          <w:szCs w:val="22"/>
        </w:rPr>
      </w:pPr>
    </w:p>
    <w:p w14:paraId="6E5A1F9A" w14:textId="77777777" w:rsidR="008C4643" w:rsidRPr="00F97D2B" w:rsidRDefault="008C4643" w:rsidP="008C4643">
      <w:pPr>
        <w:tabs>
          <w:tab w:val="clear" w:pos="567"/>
        </w:tabs>
        <w:spacing w:line="240" w:lineRule="auto"/>
        <w:rPr>
          <w:szCs w:val="22"/>
        </w:rPr>
      </w:pPr>
    </w:p>
    <w:p w14:paraId="127B5AE6" w14:textId="77777777" w:rsidR="008C4643" w:rsidRPr="00F97D2B" w:rsidRDefault="008C4643" w:rsidP="008C4643">
      <w:pPr>
        <w:tabs>
          <w:tab w:val="clear" w:pos="567"/>
        </w:tabs>
        <w:spacing w:line="240" w:lineRule="auto"/>
        <w:rPr>
          <w:szCs w:val="22"/>
        </w:rPr>
      </w:pPr>
    </w:p>
    <w:p w14:paraId="215AD816" w14:textId="77777777" w:rsidR="008C4643" w:rsidRPr="00F97D2B" w:rsidRDefault="008C4643" w:rsidP="008C4643">
      <w:pPr>
        <w:tabs>
          <w:tab w:val="clear" w:pos="567"/>
        </w:tabs>
        <w:spacing w:line="240" w:lineRule="auto"/>
        <w:rPr>
          <w:szCs w:val="22"/>
        </w:rPr>
      </w:pPr>
    </w:p>
    <w:p w14:paraId="3520961D" w14:textId="77777777" w:rsidR="008C4643" w:rsidRPr="00F97D2B" w:rsidRDefault="008C4643" w:rsidP="008C4643">
      <w:pPr>
        <w:tabs>
          <w:tab w:val="clear" w:pos="567"/>
        </w:tabs>
        <w:spacing w:line="240" w:lineRule="auto"/>
        <w:rPr>
          <w:szCs w:val="22"/>
        </w:rPr>
      </w:pPr>
    </w:p>
    <w:p w14:paraId="3E2BB35F" w14:textId="77777777" w:rsidR="008C4643" w:rsidRPr="00F97D2B" w:rsidRDefault="008C4643" w:rsidP="008C4643">
      <w:pPr>
        <w:tabs>
          <w:tab w:val="clear" w:pos="567"/>
        </w:tabs>
        <w:spacing w:line="240" w:lineRule="auto"/>
        <w:rPr>
          <w:szCs w:val="22"/>
        </w:rPr>
      </w:pPr>
    </w:p>
    <w:p w14:paraId="2D8D1F60" w14:textId="77777777" w:rsidR="008C4643" w:rsidRPr="00F97D2B" w:rsidRDefault="008C4643" w:rsidP="008C4643">
      <w:pPr>
        <w:tabs>
          <w:tab w:val="clear" w:pos="567"/>
        </w:tabs>
        <w:spacing w:line="240" w:lineRule="auto"/>
        <w:rPr>
          <w:szCs w:val="22"/>
        </w:rPr>
      </w:pPr>
    </w:p>
    <w:p w14:paraId="19F973E1" w14:textId="77777777" w:rsidR="008C4643" w:rsidRPr="00F97D2B" w:rsidRDefault="008C4643" w:rsidP="008C4643">
      <w:pPr>
        <w:tabs>
          <w:tab w:val="clear" w:pos="567"/>
        </w:tabs>
        <w:spacing w:line="240" w:lineRule="auto"/>
        <w:rPr>
          <w:szCs w:val="22"/>
        </w:rPr>
      </w:pPr>
    </w:p>
    <w:p w14:paraId="11DF3597" w14:textId="77777777" w:rsidR="008C4643" w:rsidRPr="00F97D2B" w:rsidRDefault="008C4643" w:rsidP="008C4643">
      <w:pPr>
        <w:tabs>
          <w:tab w:val="clear" w:pos="567"/>
        </w:tabs>
        <w:spacing w:line="240" w:lineRule="auto"/>
        <w:rPr>
          <w:szCs w:val="22"/>
        </w:rPr>
      </w:pPr>
    </w:p>
    <w:p w14:paraId="3B1793D5" w14:textId="77777777" w:rsidR="008C4643" w:rsidRPr="00F97D2B" w:rsidRDefault="008C4643" w:rsidP="008C4643">
      <w:pPr>
        <w:tabs>
          <w:tab w:val="clear" w:pos="567"/>
        </w:tabs>
        <w:spacing w:line="240" w:lineRule="auto"/>
        <w:rPr>
          <w:szCs w:val="22"/>
        </w:rPr>
      </w:pPr>
    </w:p>
    <w:p w14:paraId="128F3224" w14:textId="77777777" w:rsidR="008C4643" w:rsidRPr="00F97D2B" w:rsidRDefault="008C4643" w:rsidP="008C4643">
      <w:pPr>
        <w:tabs>
          <w:tab w:val="clear" w:pos="567"/>
        </w:tabs>
        <w:spacing w:line="240" w:lineRule="auto"/>
        <w:rPr>
          <w:szCs w:val="22"/>
        </w:rPr>
      </w:pPr>
    </w:p>
    <w:p w14:paraId="1A8347CD" w14:textId="77777777" w:rsidR="008C4643" w:rsidRPr="00F97D2B" w:rsidRDefault="008C4643" w:rsidP="008C4643">
      <w:pPr>
        <w:tabs>
          <w:tab w:val="clear" w:pos="567"/>
        </w:tabs>
        <w:spacing w:line="240" w:lineRule="auto"/>
        <w:rPr>
          <w:szCs w:val="22"/>
        </w:rPr>
      </w:pPr>
    </w:p>
    <w:p w14:paraId="39664A35" w14:textId="77777777" w:rsidR="008C4643" w:rsidRPr="00F97D2B" w:rsidRDefault="008C4643" w:rsidP="008C4643">
      <w:pPr>
        <w:tabs>
          <w:tab w:val="clear" w:pos="567"/>
        </w:tabs>
        <w:spacing w:line="240" w:lineRule="auto"/>
        <w:rPr>
          <w:szCs w:val="22"/>
        </w:rPr>
      </w:pPr>
    </w:p>
    <w:p w14:paraId="243998B7" w14:textId="77777777" w:rsidR="008C4643" w:rsidRPr="00F97D2B" w:rsidRDefault="008C4643" w:rsidP="008C4643">
      <w:pPr>
        <w:tabs>
          <w:tab w:val="clear" w:pos="567"/>
        </w:tabs>
        <w:spacing w:line="240" w:lineRule="auto"/>
        <w:rPr>
          <w:szCs w:val="22"/>
        </w:rPr>
      </w:pPr>
    </w:p>
    <w:p w14:paraId="50A46691" w14:textId="77777777" w:rsidR="008C4643" w:rsidRPr="00F97D2B" w:rsidRDefault="008C4643" w:rsidP="008C4643">
      <w:pPr>
        <w:tabs>
          <w:tab w:val="clear" w:pos="567"/>
        </w:tabs>
        <w:spacing w:line="240" w:lineRule="auto"/>
        <w:rPr>
          <w:szCs w:val="22"/>
        </w:rPr>
      </w:pPr>
    </w:p>
    <w:p w14:paraId="4DFFAA75" w14:textId="77777777" w:rsidR="008C4643" w:rsidRPr="00F97D2B" w:rsidRDefault="008C4643" w:rsidP="008C4643">
      <w:pPr>
        <w:tabs>
          <w:tab w:val="clear" w:pos="567"/>
        </w:tabs>
        <w:spacing w:line="240" w:lineRule="auto"/>
        <w:rPr>
          <w:szCs w:val="22"/>
        </w:rPr>
      </w:pPr>
    </w:p>
    <w:p w14:paraId="3C560449" w14:textId="77777777" w:rsidR="00EA7031" w:rsidRPr="000135C1" w:rsidRDefault="00EA7031" w:rsidP="000135C1">
      <w:pPr>
        <w:tabs>
          <w:tab w:val="clear" w:pos="567"/>
        </w:tabs>
        <w:spacing w:line="240" w:lineRule="auto"/>
        <w:jc w:val="center"/>
        <w:rPr>
          <w:b/>
        </w:rPr>
      </w:pPr>
    </w:p>
    <w:p w14:paraId="643B25EA" w14:textId="10A245A2" w:rsidR="008C4643" w:rsidRPr="00F97D2B" w:rsidRDefault="008C4643" w:rsidP="008C4643">
      <w:pPr>
        <w:tabs>
          <w:tab w:val="clear" w:pos="567"/>
        </w:tabs>
        <w:spacing w:line="240" w:lineRule="auto"/>
        <w:jc w:val="center"/>
        <w:rPr>
          <w:szCs w:val="22"/>
        </w:rPr>
      </w:pPr>
      <w:r>
        <w:rPr>
          <w:b/>
          <w:szCs w:val="22"/>
        </w:rPr>
        <w:t>B. PŘÍBALOVÁ INFORMACE</w:t>
      </w:r>
    </w:p>
    <w:p w14:paraId="4C2A72ED" w14:textId="77777777" w:rsidR="008C4643" w:rsidRPr="00F97D2B" w:rsidRDefault="008C4643" w:rsidP="008C4643">
      <w:pPr>
        <w:tabs>
          <w:tab w:val="clear" w:pos="567"/>
        </w:tabs>
        <w:spacing w:line="240" w:lineRule="auto"/>
        <w:jc w:val="center"/>
        <w:rPr>
          <w:szCs w:val="22"/>
        </w:rPr>
      </w:pPr>
      <w:r>
        <w:br w:type="page"/>
      </w:r>
      <w:r>
        <w:rPr>
          <w:b/>
          <w:szCs w:val="22"/>
        </w:rPr>
        <w:lastRenderedPageBreak/>
        <w:t>PŘÍBALOVÁ INFORMACE</w:t>
      </w:r>
    </w:p>
    <w:p w14:paraId="1387BDAD" w14:textId="77777777" w:rsidR="008C4643" w:rsidRPr="00F97D2B" w:rsidRDefault="008C4643" w:rsidP="008C4643">
      <w:pPr>
        <w:tabs>
          <w:tab w:val="clear" w:pos="567"/>
        </w:tabs>
        <w:spacing w:line="240" w:lineRule="auto"/>
        <w:rPr>
          <w:szCs w:val="22"/>
        </w:rPr>
      </w:pPr>
    </w:p>
    <w:p w14:paraId="59844593" w14:textId="77777777" w:rsidR="008C4643" w:rsidRPr="00F97D2B" w:rsidRDefault="008C4643" w:rsidP="008C4643">
      <w:pPr>
        <w:tabs>
          <w:tab w:val="clear" w:pos="567"/>
        </w:tabs>
        <w:spacing w:line="240" w:lineRule="auto"/>
        <w:rPr>
          <w:szCs w:val="22"/>
        </w:rPr>
      </w:pPr>
    </w:p>
    <w:p w14:paraId="426E0D4A"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w:t>
      </w:r>
      <w:r>
        <w:rPr>
          <w:b/>
          <w:szCs w:val="22"/>
        </w:rPr>
        <w:tab/>
        <w:t>Název veterinárního léčivého přípravku</w:t>
      </w:r>
    </w:p>
    <w:p w14:paraId="1300B783" w14:textId="77777777" w:rsidR="008C4643" w:rsidRPr="00F97D2B" w:rsidRDefault="008C4643" w:rsidP="008C4643">
      <w:pPr>
        <w:tabs>
          <w:tab w:val="clear" w:pos="567"/>
        </w:tabs>
        <w:spacing w:line="240" w:lineRule="auto"/>
        <w:rPr>
          <w:szCs w:val="22"/>
        </w:rPr>
      </w:pPr>
    </w:p>
    <w:p w14:paraId="1D8CD816" w14:textId="5F66E2F4" w:rsidR="008C4643" w:rsidRPr="00F97D2B" w:rsidRDefault="00346039" w:rsidP="008C4643">
      <w:pPr>
        <w:tabs>
          <w:tab w:val="clear" w:pos="567"/>
        </w:tabs>
        <w:spacing w:line="240" w:lineRule="auto"/>
        <w:rPr>
          <w:szCs w:val="22"/>
        </w:rPr>
      </w:pPr>
      <w:r>
        <w:t>Buproxan Multidose 0,3 mg/ml injekční roztok pro psy, kočky a koně</w:t>
      </w:r>
    </w:p>
    <w:p w14:paraId="3F4A8003" w14:textId="77777777" w:rsidR="008C4643" w:rsidRPr="00F97D2B" w:rsidRDefault="008C4643" w:rsidP="008C4643">
      <w:pPr>
        <w:tabs>
          <w:tab w:val="clear" w:pos="567"/>
        </w:tabs>
        <w:spacing w:line="240" w:lineRule="auto"/>
        <w:rPr>
          <w:szCs w:val="22"/>
        </w:rPr>
      </w:pPr>
    </w:p>
    <w:p w14:paraId="176319A2" w14:textId="77777777" w:rsidR="008C4643" w:rsidRPr="00F97D2B" w:rsidRDefault="008C4643" w:rsidP="008C4643">
      <w:pPr>
        <w:tabs>
          <w:tab w:val="clear" w:pos="567"/>
          <w:tab w:val="left" w:pos="0"/>
        </w:tabs>
        <w:spacing w:line="240" w:lineRule="auto"/>
        <w:ind w:left="567" w:hanging="567"/>
        <w:rPr>
          <w:b/>
          <w:szCs w:val="22"/>
        </w:rPr>
      </w:pPr>
      <w:r>
        <w:rPr>
          <w:b/>
          <w:szCs w:val="22"/>
          <w:highlight w:val="lightGray"/>
        </w:rPr>
        <w:t>2.</w:t>
      </w:r>
      <w:r>
        <w:rPr>
          <w:b/>
          <w:szCs w:val="22"/>
        </w:rPr>
        <w:tab/>
        <w:t>Složení</w:t>
      </w:r>
    </w:p>
    <w:p w14:paraId="4FDB080F" w14:textId="77777777" w:rsidR="008C4643" w:rsidRPr="00F97D2B" w:rsidRDefault="008C4643" w:rsidP="008C4643">
      <w:pPr>
        <w:tabs>
          <w:tab w:val="clear" w:pos="567"/>
        </w:tabs>
        <w:spacing w:line="240" w:lineRule="auto"/>
        <w:rPr>
          <w:iCs/>
          <w:szCs w:val="22"/>
        </w:rPr>
      </w:pPr>
    </w:p>
    <w:p w14:paraId="20D107BC" w14:textId="77777777" w:rsidR="008C4643" w:rsidRPr="00F97D2B" w:rsidRDefault="008C4643" w:rsidP="008C4643">
      <w:pPr>
        <w:tabs>
          <w:tab w:val="clear" w:pos="567"/>
        </w:tabs>
        <w:spacing w:line="240" w:lineRule="auto"/>
        <w:rPr>
          <w:bCs/>
          <w:szCs w:val="22"/>
        </w:rPr>
      </w:pPr>
      <w:r>
        <w:t>Každý ml obsahuje:</w:t>
      </w:r>
    </w:p>
    <w:p w14:paraId="0E227A70" w14:textId="66640BC0" w:rsidR="008C4643" w:rsidRPr="00F97D2B" w:rsidRDefault="008C4643" w:rsidP="008C4643">
      <w:pPr>
        <w:tabs>
          <w:tab w:val="clear" w:pos="567"/>
        </w:tabs>
        <w:spacing w:line="240" w:lineRule="auto"/>
        <w:rPr>
          <w:b/>
          <w:szCs w:val="22"/>
        </w:rPr>
      </w:pPr>
      <w:r>
        <w:rPr>
          <w:b/>
          <w:szCs w:val="22"/>
        </w:rPr>
        <w:t>Léčivé látky:</w:t>
      </w:r>
    </w:p>
    <w:p w14:paraId="5BBFC492" w14:textId="77777777" w:rsidR="008C4643" w:rsidRPr="00F97D2B" w:rsidRDefault="008C4643" w:rsidP="008C4643">
      <w:pPr>
        <w:tabs>
          <w:tab w:val="clear" w:pos="567"/>
        </w:tabs>
        <w:spacing w:line="240" w:lineRule="auto"/>
        <w:rPr>
          <w:b/>
          <w:szCs w:val="22"/>
        </w:rPr>
      </w:pPr>
    </w:p>
    <w:p w14:paraId="0CAD67EC" w14:textId="7EBEF5F0" w:rsidR="00A719C5" w:rsidRPr="00F97D2B" w:rsidRDefault="00A719C5" w:rsidP="00A719C5">
      <w:pPr>
        <w:tabs>
          <w:tab w:val="clear" w:pos="567"/>
        </w:tabs>
        <w:spacing w:line="240" w:lineRule="auto"/>
        <w:rPr>
          <w:bCs/>
          <w:szCs w:val="22"/>
        </w:rPr>
      </w:pPr>
      <w:proofErr w:type="spellStart"/>
      <w:r>
        <w:t>Buprenor</w:t>
      </w:r>
      <w:r w:rsidR="0008733E">
        <w:t>ph</w:t>
      </w:r>
      <w:r>
        <w:t>in</w:t>
      </w:r>
      <w:r w:rsidR="0008733E">
        <w:t>um</w:t>
      </w:r>
      <w:proofErr w:type="spellEnd"/>
      <w:r>
        <w:t xml:space="preserve"> </w:t>
      </w:r>
      <w:r>
        <w:tab/>
      </w:r>
      <w:r>
        <w:tab/>
      </w:r>
      <w:r>
        <w:tab/>
      </w:r>
      <w:r>
        <w:tab/>
      </w:r>
      <w:r>
        <w:tab/>
      </w:r>
      <w:r>
        <w:tab/>
      </w:r>
      <w:r>
        <w:tab/>
        <w:t>0,3 mg</w:t>
      </w:r>
    </w:p>
    <w:p w14:paraId="73788C3E" w14:textId="0BC0763F" w:rsidR="00A719C5" w:rsidRPr="00F97D2B" w:rsidRDefault="0008733E" w:rsidP="00A719C5">
      <w:pPr>
        <w:tabs>
          <w:tab w:val="clear" w:pos="567"/>
        </w:tabs>
        <w:spacing w:line="240" w:lineRule="auto"/>
        <w:rPr>
          <w:bCs/>
          <w:szCs w:val="22"/>
        </w:rPr>
      </w:pPr>
      <w:r>
        <w:t xml:space="preserve">odpovídá </w:t>
      </w:r>
      <w:proofErr w:type="spellStart"/>
      <w:r w:rsidR="00A719C5">
        <w:t>buprenor</w:t>
      </w:r>
      <w:r>
        <w:t>ph</w:t>
      </w:r>
      <w:r w:rsidR="00A719C5">
        <w:t>in</w:t>
      </w:r>
      <w:r>
        <w:t>i</w:t>
      </w:r>
      <w:proofErr w:type="spellEnd"/>
      <w:r w:rsidR="00A719C5">
        <w:t xml:space="preserve"> </w:t>
      </w:r>
      <w:proofErr w:type="spellStart"/>
      <w:r w:rsidR="00A719C5">
        <w:t>hydrochloridu</w:t>
      </w:r>
      <w:r>
        <w:t>m</w:t>
      </w:r>
      <w:proofErr w:type="spellEnd"/>
      <w:r w:rsidR="00A719C5">
        <w:t xml:space="preserve"> </w:t>
      </w:r>
      <w:r w:rsidR="00A719C5">
        <w:tab/>
      </w:r>
      <w:r w:rsidR="00A719C5">
        <w:tab/>
      </w:r>
      <w:r w:rsidR="00A719C5">
        <w:tab/>
        <w:t>0,323 mg</w:t>
      </w:r>
      <w:r w:rsidR="00A719C5">
        <w:tab/>
      </w:r>
    </w:p>
    <w:p w14:paraId="3872F878" w14:textId="77777777" w:rsidR="008C4643" w:rsidRPr="00F97D2B" w:rsidRDefault="008C4643" w:rsidP="008C4643">
      <w:pPr>
        <w:tabs>
          <w:tab w:val="clear" w:pos="567"/>
        </w:tabs>
        <w:spacing w:line="240" w:lineRule="auto"/>
        <w:rPr>
          <w:iCs/>
          <w:szCs w:val="22"/>
        </w:rPr>
      </w:pPr>
    </w:p>
    <w:p w14:paraId="2E7D1E10" w14:textId="0C71C45F" w:rsidR="00A719C5" w:rsidRPr="000135C1" w:rsidRDefault="008C4643" w:rsidP="008C4643">
      <w:pPr>
        <w:tabs>
          <w:tab w:val="clear" w:pos="567"/>
        </w:tabs>
        <w:spacing w:line="240" w:lineRule="auto"/>
        <w:rPr>
          <w:b/>
        </w:rPr>
      </w:pPr>
      <w:r>
        <w:rPr>
          <w:b/>
          <w:szCs w:val="22"/>
        </w:rPr>
        <w:t>Pomocné látky:</w:t>
      </w:r>
    </w:p>
    <w:p w14:paraId="23CA7F11" w14:textId="718507C1" w:rsidR="00A719C5" w:rsidRPr="00F97D2B" w:rsidRDefault="00A719C5" w:rsidP="008C4643">
      <w:pPr>
        <w:tabs>
          <w:tab w:val="clear" w:pos="567"/>
        </w:tabs>
        <w:spacing w:line="240" w:lineRule="auto"/>
        <w:rPr>
          <w:szCs w:val="22"/>
        </w:rPr>
      </w:pPr>
      <w:proofErr w:type="spellStart"/>
      <w:r>
        <w:t>Chlorkresol</w:t>
      </w:r>
      <w:proofErr w:type="spellEnd"/>
      <w:r>
        <w:tab/>
      </w:r>
      <w:r w:rsidR="00527914">
        <w:tab/>
      </w:r>
      <w:r w:rsidR="00527914">
        <w:tab/>
      </w:r>
      <w:r w:rsidR="00527914">
        <w:tab/>
      </w:r>
      <w:r w:rsidR="00527914">
        <w:tab/>
      </w:r>
      <w:r w:rsidR="0008733E">
        <w:tab/>
      </w:r>
      <w:r w:rsidR="0008733E">
        <w:tab/>
      </w:r>
      <w:r w:rsidR="00527914">
        <w:tab/>
      </w:r>
      <w:r>
        <w:t>1,35 mg</w:t>
      </w:r>
    </w:p>
    <w:p w14:paraId="654BEFCE" w14:textId="496E2975" w:rsidR="008C4643" w:rsidRDefault="00102E4E" w:rsidP="008C4643">
      <w:pPr>
        <w:tabs>
          <w:tab w:val="clear" w:pos="567"/>
        </w:tabs>
        <w:spacing w:line="240" w:lineRule="auto"/>
        <w:rPr>
          <w:szCs w:val="22"/>
        </w:rPr>
      </w:pPr>
      <w:r>
        <w:t>Čirý, bezbarvý až slabě nažloutlý roztok.</w:t>
      </w:r>
    </w:p>
    <w:p w14:paraId="3DE67C29" w14:textId="77777777" w:rsidR="002F6032" w:rsidRPr="00F97D2B" w:rsidRDefault="002F6032" w:rsidP="008C4643">
      <w:pPr>
        <w:tabs>
          <w:tab w:val="clear" w:pos="567"/>
        </w:tabs>
        <w:spacing w:line="240" w:lineRule="auto"/>
        <w:rPr>
          <w:szCs w:val="22"/>
        </w:rPr>
      </w:pPr>
    </w:p>
    <w:p w14:paraId="2D3BA527" w14:textId="77777777" w:rsidR="008C4643" w:rsidRPr="00F97D2B" w:rsidRDefault="008C4643" w:rsidP="008C4643">
      <w:pPr>
        <w:tabs>
          <w:tab w:val="clear" w:pos="567"/>
          <w:tab w:val="left" w:pos="0"/>
        </w:tabs>
        <w:spacing w:line="240" w:lineRule="auto"/>
        <w:ind w:left="567" w:hanging="567"/>
        <w:rPr>
          <w:b/>
          <w:szCs w:val="22"/>
        </w:rPr>
      </w:pPr>
      <w:r>
        <w:rPr>
          <w:b/>
          <w:szCs w:val="22"/>
          <w:highlight w:val="lightGray"/>
        </w:rPr>
        <w:t>3.</w:t>
      </w:r>
      <w:r>
        <w:rPr>
          <w:b/>
          <w:szCs w:val="22"/>
        </w:rPr>
        <w:tab/>
        <w:t>Cílové druhy zvířat</w:t>
      </w:r>
    </w:p>
    <w:p w14:paraId="643B918C" w14:textId="77777777" w:rsidR="008C4643" w:rsidRPr="00F97D2B" w:rsidRDefault="008C4643" w:rsidP="008C4643">
      <w:pPr>
        <w:tabs>
          <w:tab w:val="clear" w:pos="567"/>
        </w:tabs>
        <w:spacing w:line="240" w:lineRule="auto"/>
        <w:rPr>
          <w:szCs w:val="22"/>
        </w:rPr>
      </w:pPr>
    </w:p>
    <w:p w14:paraId="5C4B9388" w14:textId="33C23DC2" w:rsidR="008C4643" w:rsidRPr="00F97D2B" w:rsidRDefault="00306833" w:rsidP="008C4643">
      <w:pPr>
        <w:tabs>
          <w:tab w:val="clear" w:pos="567"/>
          <w:tab w:val="left" w:pos="0"/>
        </w:tabs>
        <w:spacing w:line="240" w:lineRule="auto"/>
        <w:ind w:left="567" w:hanging="567"/>
        <w:rPr>
          <w:bCs/>
          <w:szCs w:val="22"/>
        </w:rPr>
      </w:pPr>
      <w:r>
        <w:t>Psi, kočky, koně (</w:t>
      </w:r>
      <w:r w:rsidR="003C741A">
        <w:t xml:space="preserve">kteří nejsou </w:t>
      </w:r>
      <w:r>
        <w:t>určen</w:t>
      </w:r>
      <w:r w:rsidR="003C741A">
        <w:t>i</w:t>
      </w:r>
      <w:r>
        <w:t xml:space="preserve"> </w:t>
      </w:r>
      <w:r w:rsidR="003C741A">
        <w:t>pro lidskou spotřebu</w:t>
      </w:r>
      <w:r>
        <w:t xml:space="preserve">). </w:t>
      </w:r>
    </w:p>
    <w:p w14:paraId="75C7B840" w14:textId="5D531AFB" w:rsidR="00085D77" w:rsidRPr="00F97D2B" w:rsidRDefault="00085D77" w:rsidP="008C4643">
      <w:pPr>
        <w:tabs>
          <w:tab w:val="clear" w:pos="567"/>
          <w:tab w:val="left" w:pos="0"/>
        </w:tabs>
        <w:spacing w:line="240" w:lineRule="auto"/>
        <w:ind w:left="567" w:hanging="567"/>
        <w:rPr>
          <w:bCs/>
          <w:szCs w:val="22"/>
        </w:rPr>
      </w:pPr>
      <w:r>
        <w:rPr>
          <w:noProof/>
        </w:rPr>
        <w:drawing>
          <wp:inline distT="0" distB="0" distL="0" distR="0" wp14:anchorId="0CF5A8F1" wp14:editId="475EE7A3">
            <wp:extent cx="741678" cy="534667"/>
            <wp:effectExtent l="0" t="0" r="1272" b="0"/>
            <wp:docPr id="355800539" name="Afbeelding 355800539" descr="Afbeelding met hond, silhouet, zoogdier&#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741678" cy="534667"/>
                    </a:xfrm>
                    <a:prstGeom prst="rect">
                      <a:avLst/>
                    </a:prstGeom>
                    <a:noFill/>
                    <a:ln>
                      <a:noFill/>
                      <a:prstDash/>
                    </a:ln>
                  </pic:spPr>
                </pic:pic>
              </a:graphicData>
            </a:graphic>
          </wp:inline>
        </w:drawing>
      </w:r>
      <w:r>
        <w:rPr>
          <w:noProof/>
        </w:rPr>
        <w:drawing>
          <wp:inline distT="0" distB="0" distL="0" distR="0" wp14:anchorId="1EE93A00" wp14:editId="7462C70C">
            <wp:extent cx="448312" cy="543555"/>
            <wp:effectExtent l="0" t="0" r="8888" b="8895"/>
            <wp:docPr id="175766495" name="Afbeelding 175766495" descr="Afbeelding met silhouet, clipart, zoogdier, creativiteit&#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448312" cy="543555"/>
                    </a:xfrm>
                    <a:prstGeom prst="rect">
                      <a:avLst/>
                    </a:prstGeom>
                    <a:noFill/>
                    <a:ln>
                      <a:noFill/>
                      <a:prstDash/>
                    </a:ln>
                  </pic:spPr>
                </pic:pic>
              </a:graphicData>
            </a:graphic>
          </wp:inline>
        </w:drawing>
      </w:r>
      <w:r>
        <w:rPr>
          <w:noProof/>
        </w:rPr>
        <w:drawing>
          <wp:inline distT="0" distB="0" distL="0" distR="0" wp14:anchorId="03C76E4D" wp14:editId="14DF28A9">
            <wp:extent cx="800100" cy="617737"/>
            <wp:effectExtent l="0" t="0" r="0" b="0"/>
            <wp:docPr id="380005911" name="Afbeelding 380005911" descr="Afbeelding met paard, schets,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aard, schets, silhouet&#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417" cy="638056"/>
                    </a:xfrm>
                    <a:prstGeom prst="rect">
                      <a:avLst/>
                    </a:prstGeom>
                    <a:noFill/>
                    <a:ln>
                      <a:noFill/>
                    </a:ln>
                  </pic:spPr>
                </pic:pic>
              </a:graphicData>
            </a:graphic>
          </wp:inline>
        </w:drawing>
      </w:r>
    </w:p>
    <w:p w14:paraId="5A67A2EB" w14:textId="77777777" w:rsidR="008C4643" w:rsidRPr="00F97D2B" w:rsidRDefault="008C4643" w:rsidP="008C4643">
      <w:pPr>
        <w:tabs>
          <w:tab w:val="clear" w:pos="567"/>
        </w:tabs>
        <w:spacing w:line="240" w:lineRule="auto"/>
        <w:rPr>
          <w:szCs w:val="22"/>
        </w:rPr>
      </w:pPr>
    </w:p>
    <w:p w14:paraId="54E1FB65" w14:textId="77777777" w:rsidR="008C4643" w:rsidRPr="00F97D2B" w:rsidRDefault="008C4643" w:rsidP="008C4643">
      <w:pPr>
        <w:tabs>
          <w:tab w:val="clear" w:pos="567"/>
          <w:tab w:val="left" w:pos="0"/>
        </w:tabs>
        <w:spacing w:line="240" w:lineRule="auto"/>
        <w:ind w:left="567" w:hanging="567"/>
        <w:rPr>
          <w:b/>
          <w:szCs w:val="22"/>
        </w:rPr>
      </w:pPr>
      <w:r>
        <w:rPr>
          <w:b/>
          <w:szCs w:val="22"/>
          <w:highlight w:val="lightGray"/>
        </w:rPr>
        <w:t>4.</w:t>
      </w:r>
      <w:r>
        <w:rPr>
          <w:b/>
          <w:szCs w:val="22"/>
        </w:rPr>
        <w:tab/>
        <w:t>Indikace pro použití</w:t>
      </w:r>
    </w:p>
    <w:p w14:paraId="7C762C5A" w14:textId="77777777" w:rsidR="008C4643" w:rsidRPr="00F97D2B" w:rsidRDefault="008C4643" w:rsidP="008C4643">
      <w:pPr>
        <w:tabs>
          <w:tab w:val="clear" w:pos="567"/>
        </w:tabs>
        <w:spacing w:line="240" w:lineRule="auto"/>
        <w:rPr>
          <w:szCs w:val="22"/>
        </w:rPr>
      </w:pPr>
    </w:p>
    <w:p w14:paraId="5C9070A7" w14:textId="5F396BB9" w:rsidR="008C4643" w:rsidRPr="00F97D2B" w:rsidRDefault="008C4643" w:rsidP="008C4643">
      <w:pPr>
        <w:tabs>
          <w:tab w:val="clear" w:pos="567"/>
        </w:tabs>
        <w:spacing w:line="240" w:lineRule="auto"/>
        <w:rPr>
          <w:szCs w:val="22"/>
        </w:rPr>
      </w:pPr>
      <w:r>
        <w:t>Psi:</w:t>
      </w:r>
    </w:p>
    <w:p w14:paraId="2C3EAF87" w14:textId="77777777" w:rsidR="008C4643" w:rsidRPr="00F97D2B" w:rsidRDefault="008C4643" w:rsidP="008C4643">
      <w:pPr>
        <w:tabs>
          <w:tab w:val="clear" w:pos="567"/>
        </w:tabs>
        <w:spacing w:line="240" w:lineRule="auto"/>
        <w:rPr>
          <w:szCs w:val="22"/>
        </w:rPr>
      </w:pPr>
      <w:r>
        <w:t>Pooperační analgezie.</w:t>
      </w:r>
    </w:p>
    <w:p w14:paraId="7BE0A75B" w14:textId="77777777" w:rsidR="008C4643" w:rsidRPr="00F97D2B" w:rsidRDefault="008C4643" w:rsidP="008C4643">
      <w:pPr>
        <w:tabs>
          <w:tab w:val="clear" w:pos="567"/>
        </w:tabs>
        <w:spacing w:line="240" w:lineRule="auto"/>
        <w:rPr>
          <w:szCs w:val="22"/>
        </w:rPr>
      </w:pPr>
      <w:r>
        <w:t>Zesílení sedativních účinků centrálně působících látek.</w:t>
      </w:r>
    </w:p>
    <w:p w14:paraId="74813BAD" w14:textId="77777777" w:rsidR="008C4643" w:rsidRPr="00F97D2B" w:rsidRDefault="008C4643" w:rsidP="008C4643">
      <w:pPr>
        <w:tabs>
          <w:tab w:val="clear" w:pos="567"/>
        </w:tabs>
        <w:spacing w:line="240" w:lineRule="auto"/>
        <w:rPr>
          <w:szCs w:val="22"/>
        </w:rPr>
      </w:pPr>
    </w:p>
    <w:p w14:paraId="1CDB5229" w14:textId="77777777" w:rsidR="008C4643" w:rsidRPr="00F97D2B" w:rsidRDefault="008C4643" w:rsidP="008C4643">
      <w:pPr>
        <w:tabs>
          <w:tab w:val="clear" w:pos="567"/>
        </w:tabs>
        <w:spacing w:line="240" w:lineRule="auto"/>
        <w:rPr>
          <w:szCs w:val="22"/>
        </w:rPr>
      </w:pPr>
      <w:r>
        <w:t>Kočky:</w:t>
      </w:r>
    </w:p>
    <w:p w14:paraId="24EBC18B" w14:textId="77777777" w:rsidR="008C4643" w:rsidRPr="00F97D2B" w:rsidRDefault="008C4643" w:rsidP="008C4643">
      <w:pPr>
        <w:tabs>
          <w:tab w:val="clear" w:pos="567"/>
        </w:tabs>
        <w:spacing w:line="240" w:lineRule="auto"/>
        <w:rPr>
          <w:szCs w:val="22"/>
        </w:rPr>
      </w:pPr>
      <w:r>
        <w:t>Pooperační analgezie.</w:t>
      </w:r>
    </w:p>
    <w:p w14:paraId="604804CA" w14:textId="77777777" w:rsidR="00306833" w:rsidRPr="00F97D2B" w:rsidRDefault="00306833" w:rsidP="00306833">
      <w:pPr>
        <w:tabs>
          <w:tab w:val="clear" w:pos="567"/>
        </w:tabs>
        <w:spacing w:line="240" w:lineRule="auto"/>
        <w:rPr>
          <w:szCs w:val="22"/>
        </w:rPr>
      </w:pPr>
    </w:p>
    <w:p w14:paraId="3CB9796B" w14:textId="30CDBFE8" w:rsidR="00306833" w:rsidRPr="00F97D2B" w:rsidRDefault="00306833" w:rsidP="00306833">
      <w:pPr>
        <w:tabs>
          <w:tab w:val="clear" w:pos="567"/>
        </w:tabs>
        <w:spacing w:line="240" w:lineRule="auto"/>
        <w:rPr>
          <w:szCs w:val="22"/>
        </w:rPr>
      </w:pPr>
      <w:r>
        <w:t>Koně:</w:t>
      </w:r>
    </w:p>
    <w:p w14:paraId="3273C701" w14:textId="77777777" w:rsidR="00306833" w:rsidRPr="00F97D2B" w:rsidRDefault="00306833" w:rsidP="00306833">
      <w:pPr>
        <w:tabs>
          <w:tab w:val="clear" w:pos="567"/>
        </w:tabs>
        <w:spacing w:line="240" w:lineRule="auto"/>
        <w:rPr>
          <w:szCs w:val="22"/>
        </w:rPr>
      </w:pPr>
      <w:r>
        <w:t xml:space="preserve">Pooperační analgezie v kombinaci se sedativem. </w:t>
      </w:r>
    </w:p>
    <w:p w14:paraId="1EA62FA2" w14:textId="77777777" w:rsidR="00306833" w:rsidRPr="00F97D2B" w:rsidRDefault="00306833" w:rsidP="00306833">
      <w:pPr>
        <w:tabs>
          <w:tab w:val="clear" w:pos="567"/>
        </w:tabs>
        <w:spacing w:line="240" w:lineRule="auto"/>
        <w:rPr>
          <w:szCs w:val="22"/>
        </w:rPr>
      </w:pPr>
      <w:r>
        <w:t>Zesílení sedativních účinků centrálně působících látek.</w:t>
      </w:r>
    </w:p>
    <w:p w14:paraId="036CB263" w14:textId="77777777" w:rsidR="008C4643" w:rsidRPr="00F97D2B" w:rsidRDefault="008C4643" w:rsidP="008C4643">
      <w:pPr>
        <w:tabs>
          <w:tab w:val="clear" w:pos="567"/>
        </w:tabs>
        <w:spacing w:line="240" w:lineRule="auto"/>
        <w:rPr>
          <w:szCs w:val="22"/>
        </w:rPr>
      </w:pPr>
    </w:p>
    <w:p w14:paraId="4BD653C7"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5.</w:t>
      </w:r>
      <w:r>
        <w:rPr>
          <w:b/>
          <w:szCs w:val="22"/>
        </w:rPr>
        <w:tab/>
        <w:t>Kontraindikace</w:t>
      </w:r>
    </w:p>
    <w:p w14:paraId="7858D035" w14:textId="77777777" w:rsidR="008C4643" w:rsidRPr="00F97D2B" w:rsidRDefault="008C4643" w:rsidP="008C4643">
      <w:pPr>
        <w:tabs>
          <w:tab w:val="clear" w:pos="567"/>
        </w:tabs>
        <w:spacing w:line="240" w:lineRule="auto"/>
        <w:rPr>
          <w:szCs w:val="22"/>
        </w:rPr>
      </w:pPr>
    </w:p>
    <w:p w14:paraId="02387612" w14:textId="77777777" w:rsidR="008C4643" w:rsidRPr="00F97D2B" w:rsidRDefault="008C4643" w:rsidP="008C4643">
      <w:pPr>
        <w:tabs>
          <w:tab w:val="clear" w:pos="567"/>
        </w:tabs>
        <w:spacing w:line="240" w:lineRule="auto"/>
        <w:rPr>
          <w:szCs w:val="22"/>
        </w:rPr>
      </w:pPr>
      <w:r>
        <w:t>Nepoužívat intratekálně nebo peridurálně.</w:t>
      </w:r>
    </w:p>
    <w:p w14:paraId="4B164AE8" w14:textId="3DC80DF9" w:rsidR="008C4643" w:rsidRPr="00F97D2B" w:rsidRDefault="008C4643" w:rsidP="008C4643">
      <w:pPr>
        <w:tabs>
          <w:tab w:val="clear" w:pos="567"/>
        </w:tabs>
        <w:spacing w:line="240" w:lineRule="auto"/>
        <w:rPr>
          <w:szCs w:val="22"/>
        </w:rPr>
      </w:pPr>
      <w:r>
        <w:t xml:space="preserve">Nepoužívat </w:t>
      </w:r>
      <w:r w:rsidR="003C741A">
        <w:t xml:space="preserve">preoperačně </w:t>
      </w:r>
      <w:r>
        <w:t xml:space="preserve">před provedením císařského řezu (viz </w:t>
      </w:r>
      <w:r w:rsidR="003C741A">
        <w:t>bod</w:t>
      </w:r>
      <w:r>
        <w:t xml:space="preserve"> Zvláštní upozornění).</w:t>
      </w:r>
    </w:p>
    <w:p w14:paraId="3144933B" w14:textId="77777777" w:rsidR="008C4643" w:rsidRPr="00F97D2B" w:rsidRDefault="008C4643" w:rsidP="008C4643">
      <w:pPr>
        <w:tabs>
          <w:tab w:val="clear" w:pos="567"/>
        </w:tabs>
        <w:spacing w:line="240" w:lineRule="auto"/>
        <w:rPr>
          <w:szCs w:val="22"/>
        </w:rPr>
      </w:pPr>
      <w:r>
        <w:t>Nepoužívat v případech přecitlivělosti na léčivou látku nebo na některou z pomocných látek.</w:t>
      </w:r>
    </w:p>
    <w:p w14:paraId="2ED10CF6" w14:textId="77777777" w:rsidR="008C4643" w:rsidRPr="00F97D2B" w:rsidRDefault="008C4643" w:rsidP="008C4643">
      <w:pPr>
        <w:tabs>
          <w:tab w:val="clear" w:pos="567"/>
        </w:tabs>
        <w:spacing w:line="240" w:lineRule="auto"/>
        <w:rPr>
          <w:szCs w:val="22"/>
        </w:rPr>
      </w:pPr>
    </w:p>
    <w:p w14:paraId="24EAFAA2"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6.</w:t>
      </w:r>
      <w:r>
        <w:rPr>
          <w:b/>
          <w:szCs w:val="22"/>
        </w:rPr>
        <w:tab/>
        <w:t>Zvláštní upozornění</w:t>
      </w:r>
    </w:p>
    <w:p w14:paraId="54055EF0" w14:textId="77777777" w:rsidR="008C4643" w:rsidRPr="00F97D2B" w:rsidRDefault="008C4643" w:rsidP="008C4643">
      <w:pPr>
        <w:tabs>
          <w:tab w:val="clear" w:pos="567"/>
        </w:tabs>
        <w:spacing w:line="240" w:lineRule="auto"/>
        <w:rPr>
          <w:szCs w:val="22"/>
        </w:rPr>
      </w:pPr>
    </w:p>
    <w:p w14:paraId="6D17EFC2" w14:textId="77777777" w:rsidR="008C4643" w:rsidRPr="00F97D2B" w:rsidRDefault="008C4643" w:rsidP="008C4643">
      <w:pPr>
        <w:tabs>
          <w:tab w:val="clear" w:pos="567"/>
        </w:tabs>
        <w:spacing w:line="240" w:lineRule="auto"/>
        <w:rPr>
          <w:szCs w:val="22"/>
        </w:rPr>
      </w:pPr>
      <w:r>
        <w:rPr>
          <w:szCs w:val="22"/>
          <w:u w:val="single"/>
        </w:rPr>
        <w:t>Zvláštní opatření pro bezpečné použití u cílových druhů zvířat</w:t>
      </w:r>
      <w:r>
        <w:t>:</w:t>
      </w:r>
    </w:p>
    <w:p w14:paraId="08EB5BD0" w14:textId="58D69D05" w:rsidR="002D2DA2" w:rsidRPr="00F97D2B" w:rsidRDefault="002D2DA2" w:rsidP="002D2DA2">
      <w:pPr>
        <w:tabs>
          <w:tab w:val="clear" w:pos="567"/>
        </w:tabs>
        <w:spacing w:line="240" w:lineRule="auto"/>
        <w:rPr>
          <w:szCs w:val="22"/>
        </w:rPr>
      </w:pPr>
      <w:r>
        <w:t xml:space="preserve">Buprenorfin by měl být používán s opatrností u zvířat s poruchou funkce jater, zejména s onemocněním žlučových cest, protože </w:t>
      </w:r>
      <w:r w:rsidR="003C741A">
        <w:t xml:space="preserve">tato </w:t>
      </w:r>
      <w:r>
        <w:t>látka je metabolizována játry a její intenzita a trvání účinku tím může být u těchto zvířat ovlivněna.</w:t>
      </w:r>
    </w:p>
    <w:p w14:paraId="4A55C5C2" w14:textId="65E27AEC" w:rsidR="008C4643" w:rsidRPr="00F97D2B" w:rsidRDefault="008C4643" w:rsidP="008C4643">
      <w:pPr>
        <w:tabs>
          <w:tab w:val="clear" w:pos="567"/>
        </w:tabs>
        <w:spacing w:line="240" w:lineRule="auto"/>
        <w:rPr>
          <w:szCs w:val="22"/>
        </w:rPr>
      </w:pPr>
      <w:r>
        <w:t>Buprenorfin může způsobit respirační depresi a stejně jako u jiných opioidních léčivých přípravků je třeba dbát opatrnosti při léčbě zvířat s poruchou respirační funkce nebo zvířat, kterým jsou podávány léčivé přípravky, které mohou způsobit respirační depresi.</w:t>
      </w:r>
    </w:p>
    <w:p w14:paraId="57908D0D" w14:textId="724EDAAA" w:rsidR="008C4643" w:rsidRPr="00F97D2B" w:rsidRDefault="008C4643" w:rsidP="008C4643">
      <w:pPr>
        <w:tabs>
          <w:tab w:val="clear" w:pos="567"/>
        </w:tabs>
        <w:spacing w:line="240" w:lineRule="auto"/>
        <w:rPr>
          <w:szCs w:val="22"/>
        </w:rPr>
      </w:pPr>
      <w:r>
        <w:lastRenderedPageBreak/>
        <w:t xml:space="preserve">V případě renální, srdeční nebo jaterní dysfunkce či šoku může být s použitím veterinárního léčivého přípravku spojeno zvýšené riziko. </w:t>
      </w:r>
      <w:r w:rsidR="003C741A">
        <w:t>Použít pouze po zvážení terapeutického prospěchu a rizika příslušným veterinárním lékařem</w:t>
      </w:r>
      <w:r>
        <w:t xml:space="preserve">. Bezpečnost u klinicky </w:t>
      </w:r>
      <w:r w:rsidR="003C741A">
        <w:t>oslab</w:t>
      </w:r>
      <w:r>
        <w:t>ených koček nebyla plně hodnocena.</w:t>
      </w:r>
    </w:p>
    <w:p w14:paraId="5F8002F0" w14:textId="1CFE9A0A" w:rsidR="008C4643" w:rsidRPr="00F97D2B" w:rsidRDefault="008C4643" w:rsidP="008C4643">
      <w:pPr>
        <w:tabs>
          <w:tab w:val="clear" w:pos="567"/>
        </w:tabs>
        <w:spacing w:line="240" w:lineRule="auto"/>
        <w:rPr>
          <w:szCs w:val="22"/>
        </w:rPr>
      </w:pPr>
      <w:r>
        <w:t xml:space="preserve">Bezpečnost buprenorfinu nebyla prokázána u psů a koček mladších 7 týdnů a u koní mladších 10 měsíců a s hmotností nižší než 150 kg; proto by použití u těchto zvířat mělo vycházet ze zvážení terapeutického prospěchu a rizika </w:t>
      </w:r>
      <w:r w:rsidR="003C741A">
        <w:t xml:space="preserve">příslušným </w:t>
      </w:r>
      <w:r>
        <w:t>veterinárním lékařem.</w:t>
      </w:r>
    </w:p>
    <w:p w14:paraId="4CFD9B83" w14:textId="5627903C" w:rsidR="008C4643" w:rsidRPr="00F97D2B" w:rsidRDefault="008C4643" w:rsidP="008C4643">
      <w:pPr>
        <w:tabs>
          <w:tab w:val="clear" w:pos="567"/>
        </w:tabs>
        <w:spacing w:line="240" w:lineRule="auto"/>
        <w:rPr>
          <w:szCs w:val="22"/>
        </w:rPr>
      </w:pPr>
      <w:r>
        <w:t xml:space="preserve">Opakované podání dříve, než je doporučený interval opakování uvedený v </w:t>
      </w:r>
      <w:r w:rsidR="003C741A">
        <w:t>bodě</w:t>
      </w:r>
      <w:r>
        <w:t xml:space="preserve"> Dávkování pro každý druh, cesty a způsob podání, se nedoporučuje.</w:t>
      </w:r>
    </w:p>
    <w:p w14:paraId="3843C0C4" w14:textId="77777777" w:rsidR="008C4643" w:rsidRPr="00F97D2B" w:rsidRDefault="008C4643" w:rsidP="008C4643">
      <w:pPr>
        <w:tabs>
          <w:tab w:val="clear" w:pos="567"/>
        </w:tabs>
        <w:spacing w:line="240" w:lineRule="auto"/>
        <w:rPr>
          <w:szCs w:val="22"/>
        </w:rPr>
      </w:pPr>
      <w:r>
        <w:t xml:space="preserve">Dlouhodobá bezpečnost buprenorfinu nebyla zkoumána po dobu delší než 5 po sobě jdoucích dnů podávání u koček nebo po dobu 4 samostatných podání během 3 po sobě jdoucích dnů u koní. </w:t>
      </w:r>
    </w:p>
    <w:p w14:paraId="1A46E052" w14:textId="46D53DF7" w:rsidR="008C4643" w:rsidRPr="00F97D2B" w:rsidRDefault="008C4643" w:rsidP="008C4643">
      <w:pPr>
        <w:tabs>
          <w:tab w:val="clear" w:pos="567"/>
        </w:tabs>
        <w:spacing w:line="240" w:lineRule="auto"/>
        <w:rPr>
          <w:szCs w:val="22"/>
        </w:rPr>
      </w:pPr>
      <w:r>
        <w:t xml:space="preserve">Účinek opioidu na poranění hlavy závisí na typu a závažnosti poranění a poskytnuté respirační podpoře. Veterinární léčivý přípravek by měl být používán </w:t>
      </w:r>
      <w:r w:rsidR="003C741A">
        <w:t>pouze po</w:t>
      </w:r>
      <w:r>
        <w:t xml:space="preserve"> zvážení terapeutického prospěchu a rizika</w:t>
      </w:r>
      <w:r w:rsidR="003C741A">
        <w:t xml:space="preserve"> příslušným</w:t>
      </w:r>
      <w:r>
        <w:t xml:space="preserve"> veterinárním lékařem.</w:t>
      </w:r>
    </w:p>
    <w:p w14:paraId="2C185759" w14:textId="7DB70358" w:rsidR="008C4643" w:rsidRPr="00F97D2B" w:rsidRDefault="008C4643" w:rsidP="008C4643">
      <w:pPr>
        <w:tabs>
          <w:tab w:val="clear" w:pos="567"/>
        </w:tabs>
        <w:spacing w:line="240" w:lineRule="auto"/>
        <w:rPr>
          <w:szCs w:val="22"/>
        </w:rPr>
      </w:pPr>
      <w:r>
        <w:t xml:space="preserve">Bezpečnost u klinicky </w:t>
      </w:r>
      <w:r w:rsidR="003C741A">
        <w:t>oslab</w:t>
      </w:r>
      <w:r>
        <w:t xml:space="preserve">ených koní nebyla hodnocena. U koní bylo užívání opioidů spojováno s excitací; účinky buprenorfinu jsou však minimální, pokud je podáván společně se sedativy a trankvilizéry, jako je detomidin, romifidin, xylazin a acepromazin. </w:t>
      </w:r>
    </w:p>
    <w:p w14:paraId="3CDBB598" w14:textId="77777777" w:rsidR="008C4643" w:rsidRPr="00F97D2B" w:rsidRDefault="008C4643" w:rsidP="008C4643">
      <w:pPr>
        <w:tabs>
          <w:tab w:val="clear" w:pos="567"/>
        </w:tabs>
        <w:spacing w:line="240" w:lineRule="auto"/>
        <w:rPr>
          <w:szCs w:val="22"/>
        </w:rPr>
      </w:pPr>
      <w:r>
        <w:t>Ataxie je známým účinkem detomidinu a podobných látek; proto se může objevit po podání buprenorfinu s těmito látkami.</w:t>
      </w:r>
    </w:p>
    <w:p w14:paraId="53D24DE7" w14:textId="77777777" w:rsidR="008C4643" w:rsidRPr="00F97D2B" w:rsidRDefault="008C4643" w:rsidP="008C4643">
      <w:pPr>
        <w:tabs>
          <w:tab w:val="clear" w:pos="567"/>
        </w:tabs>
        <w:spacing w:line="240" w:lineRule="auto"/>
        <w:rPr>
          <w:szCs w:val="22"/>
        </w:rPr>
      </w:pPr>
      <w:r>
        <w:t>Ojediněle může být ataxie výrazná. Aby se zabránilo ztrátě rovnováhy u koní s ataxií sedovaných kombinací detomidin/buprenorfin, neměli by být přemisťováni ani s nimi být jinak manipulováno způsobem, který by mohl narušit jejich stabilitu.</w:t>
      </w:r>
    </w:p>
    <w:p w14:paraId="46036DE9" w14:textId="77777777" w:rsidR="008C4643" w:rsidRPr="00F97D2B" w:rsidRDefault="008C4643" w:rsidP="008C4643">
      <w:pPr>
        <w:tabs>
          <w:tab w:val="clear" w:pos="567"/>
        </w:tabs>
        <w:spacing w:line="240" w:lineRule="auto"/>
        <w:rPr>
          <w:szCs w:val="22"/>
        </w:rPr>
      </w:pPr>
    </w:p>
    <w:p w14:paraId="0C9C5911" w14:textId="77777777" w:rsidR="008C4643" w:rsidRPr="00F97D2B" w:rsidRDefault="008C4643" w:rsidP="008C4643">
      <w:pPr>
        <w:tabs>
          <w:tab w:val="clear" w:pos="567"/>
        </w:tabs>
        <w:spacing w:line="240" w:lineRule="auto"/>
        <w:rPr>
          <w:szCs w:val="22"/>
        </w:rPr>
      </w:pPr>
      <w:r>
        <w:rPr>
          <w:szCs w:val="22"/>
          <w:u w:val="single"/>
        </w:rPr>
        <w:t>Zvláštní opatření pro osobu, která podává veterinární léčivý přípravek zvířatům</w:t>
      </w:r>
      <w:r>
        <w:t>:</w:t>
      </w:r>
    </w:p>
    <w:p w14:paraId="0886A54F" w14:textId="3B86C96A" w:rsidR="002D2DA2" w:rsidRPr="00F97D2B" w:rsidRDefault="002D2DA2" w:rsidP="002D2DA2">
      <w:pPr>
        <w:tabs>
          <w:tab w:val="clear" w:pos="567"/>
        </w:tabs>
        <w:spacing w:line="240" w:lineRule="auto"/>
        <w:rPr>
          <w:szCs w:val="22"/>
        </w:rPr>
      </w:pPr>
      <w:r>
        <w:t>Vzhledem k tomu, že buprenorfin má opioidní účinky, je třeba dbát opatrnosti, aby se zabránilo sebepoškození injekčně podaným přípravkem. Buprenorfin se může systémově vstřebávat při náhodném kontaktu se sliznicemi. Veterinární léčivý přípravek je mírně kyselý, a může proto při zasažení kůže nebo očí způsobit podráždění. Při zasažení očí, kůže nebo úst důkladně vymyjte postižené místo vodou. Pokud podráždění přetrvává, vyhledejte lékařskou pomoc. V případě náhodného sebepoškození injekčně podaným přípravkem, vyhledejte ihned lékařskou pomoc a ukažte příbalovou informaci nebo etiketu praktickému lékaři. Po použití si umyjte ruce.</w:t>
      </w:r>
    </w:p>
    <w:p w14:paraId="77B87E7E" w14:textId="45BDABCC" w:rsidR="00D70ADF" w:rsidRPr="00F97D2B" w:rsidRDefault="00E07FA1" w:rsidP="002D2DA2">
      <w:pPr>
        <w:tabs>
          <w:tab w:val="clear" w:pos="567"/>
        </w:tabs>
        <w:spacing w:line="240" w:lineRule="auto"/>
        <w:rPr>
          <w:szCs w:val="22"/>
        </w:rPr>
      </w:pPr>
      <w:r>
        <w:t>Buprenorfin a pomocná látka chlorokresol mohou po kontaktu s kůží způsobit přecitlivělost (alergické reakce). Lidé se známou přecitlivělostí na buprenorfin nebo chlorokresol by se měli vyhnout kontaktu s veterinárním léčivým přípravkem. V případě náhodného kontaktu s kůží okamžitě omyjte vodou.</w:t>
      </w:r>
    </w:p>
    <w:p w14:paraId="37B5D9E9" w14:textId="6E83C436" w:rsidR="00EA7031" w:rsidRPr="00362640" w:rsidRDefault="00D2365A" w:rsidP="008C4643">
      <w:pPr>
        <w:rPr>
          <w:szCs w:val="22"/>
        </w:rPr>
      </w:pPr>
      <w:r>
        <w:t>Pro lékaře: V případě náhodného sebepoškození injekčně podaným přípravkem lze jako antidotum použít opioidní antagonista naloxon.</w:t>
      </w:r>
    </w:p>
    <w:p w14:paraId="64F70A21" w14:textId="77777777" w:rsidR="008C4643" w:rsidRPr="00F97D2B" w:rsidRDefault="008C4643" w:rsidP="008C4643">
      <w:pPr>
        <w:tabs>
          <w:tab w:val="clear" w:pos="567"/>
        </w:tabs>
        <w:spacing w:line="240" w:lineRule="auto"/>
        <w:rPr>
          <w:szCs w:val="22"/>
        </w:rPr>
      </w:pPr>
    </w:p>
    <w:p w14:paraId="744C9251" w14:textId="77777777" w:rsidR="008C4643" w:rsidRPr="00F97D2B" w:rsidRDefault="008C4643" w:rsidP="008C4643">
      <w:pPr>
        <w:tabs>
          <w:tab w:val="clear" w:pos="567"/>
        </w:tabs>
        <w:spacing w:line="240" w:lineRule="auto"/>
        <w:rPr>
          <w:szCs w:val="22"/>
        </w:rPr>
      </w:pPr>
      <w:r>
        <w:rPr>
          <w:szCs w:val="22"/>
          <w:u w:val="single"/>
        </w:rPr>
        <w:t>Březost a laktace</w:t>
      </w:r>
      <w:r>
        <w:t>:</w:t>
      </w:r>
    </w:p>
    <w:p w14:paraId="389610B5" w14:textId="77777777" w:rsidR="008C4643" w:rsidRPr="00F97D2B" w:rsidRDefault="008C4643" w:rsidP="008C4643">
      <w:pPr>
        <w:tabs>
          <w:tab w:val="clear" w:pos="567"/>
        </w:tabs>
        <w:spacing w:line="240" w:lineRule="auto"/>
        <w:rPr>
          <w:szCs w:val="22"/>
        </w:rPr>
      </w:pPr>
      <w:r>
        <w:t>Nebyla stanovena bezpečnost veterinárního léčivého přípravku pro použití během březosti a laktace.</w:t>
      </w:r>
    </w:p>
    <w:p w14:paraId="700BBD27" w14:textId="77777777" w:rsidR="008C4643" w:rsidRPr="00F97D2B" w:rsidRDefault="008C4643" w:rsidP="008C4643">
      <w:pPr>
        <w:tabs>
          <w:tab w:val="clear" w:pos="567"/>
        </w:tabs>
        <w:spacing w:line="240" w:lineRule="auto"/>
        <w:rPr>
          <w:szCs w:val="22"/>
        </w:rPr>
      </w:pPr>
    </w:p>
    <w:p w14:paraId="0D64735D" w14:textId="77777777" w:rsidR="008C4643" w:rsidRPr="00F97D2B" w:rsidRDefault="008C4643" w:rsidP="008C4643">
      <w:pPr>
        <w:tabs>
          <w:tab w:val="clear" w:pos="567"/>
        </w:tabs>
        <w:spacing w:line="240" w:lineRule="auto"/>
        <w:rPr>
          <w:szCs w:val="22"/>
          <w:u w:val="single"/>
        </w:rPr>
      </w:pPr>
      <w:r>
        <w:rPr>
          <w:szCs w:val="22"/>
          <w:u w:val="single"/>
        </w:rPr>
        <w:t>Březost:</w:t>
      </w:r>
    </w:p>
    <w:p w14:paraId="61AA635E" w14:textId="77777777" w:rsidR="008C4643" w:rsidRPr="00F97D2B" w:rsidRDefault="008C4643" w:rsidP="008C4643">
      <w:pPr>
        <w:tabs>
          <w:tab w:val="clear" w:pos="567"/>
        </w:tabs>
        <w:spacing w:line="240" w:lineRule="auto"/>
        <w:rPr>
          <w:szCs w:val="22"/>
        </w:rPr>
      </w:pPr>
      <w:r>
        <w:t>Laboratorní studie u potkanů neprokázaly žádný teratogenní účinek. Tyto studie však prokázaly poimplantační ztráty a časné fetální úhyny. Toto může být způsobeno snížením kondice rodičů během gestace a následkem sedace matek v době postnatální péče. Vzhledem k tomu, že nebyly provedeny studie reprodukční toxicity u cílových druhů zvířat, použijte pouze po zvážení terapeutického prospěchu a rizika příslušným veterinárním lékařem.</w:t>
      </w:r>
    </w:p>
    <w:p w14:paraId="60B2E9E8" w14:textId="26E7E66E" w:rsidR="008C4643" w:rsidRPr="00F97D2B" w:rsidRDefault="008C4643" w:rsidP="008C4643">
      <w:pPr>
        <w:tabs>
          <w:tab w:val="clear" w:pos="567"/>
        </w:tabs>
        <w:spacing w:line="240" w:lineRule="auto"/>
        <w:rPr>
          <w:szCs w:val="22"/>
        </w:rPr>
      </w:pPr>
      <w:r>
        <w:t xml:space="preserve">Veterinární léčivý přípravek by neměl být použit </w:t>
      </w:r>
      <w:r w:rsidR="00204AA6">
        <w:t xml:space="preserve">preoperačně </w:t>
      </w:r>
      <w:r>
        <w:t>před provedením císařského řezu z důvodu rizika respirační deprese u mláďat během porodu. Měl by být se zvláštní opatrností použit pouze po zákroku (viz níže).</w:t>
      </w:r>
    </w:p>
    <w:p w14:paraId="4AC4648A" w14:textId="77777777" w:rsidR="008C4643" w:rsidRPr="00F97D2B" w:rsidRDefault="008C4643" w:rsidP="008C4643">
      <w:pPr>
        <w:tabs>
          <w:tab w:val="clear" w:pos="567"/>
        </w:tabs>
        <w:spacing w:line="240" w:lineRule="auto"/>
        <w:rPr>
          <w:szCs w:val="22"/>
        </w:rPr>
      </w:pPr>
    </w:p>
    <w:p w14:paraId="6B51D440" w14:textId="77777777" w:rsidR="008C4643" w:rsidRPr="00F97D2B" w:rsidRDefault="008C4643" w:rsidP="008C4643">
      <w:pPr>
        <w:tabs>
          <w:tab w:val="clear" w:pos="567"/>
        </w:tabs>
        <w:spacing w:line="240" w:lineRule="auto"/>
        <w:rPr>
          <w:szCs w:val="22"/>
          <w:u w:val="single"/>
        </w:rPr>
      </w:pPr>
      <w:r>
        <w:rPr>
          <w:szCs w:val="22"/>
          <w:u w:val="single"/>
        </w:rPr>
        <w:t>Laktace:</w:t>
      </w:r>
    </w:p>
    <w:p w14:paraId="3D489E73" w14:textId="7A41BF6F" w:rsidR="008C4643" w:rsidRPr="00F97D2B" w:rsidRDefault="008C4643" w:rsidP="008C4643">
      <w:pPr>
        <w:tabs>
          <w:tab w:val="clear" w:pos="567"/>
        </w:tabs>
        <w:spacing w:line="240" w:lineRule="auto"/>
        <w:rPr>
          <w:szCs w:val="22"/>
        </w:rPr>
      </w:pPr>
      <w:r>
        <w:t xml:space="preserve">Studie </w:t>
      </w:r>
      <w:r w:rsidR="00204AA6">
        <w:t>u</w:t>
      </w:r>
      <w:r>
        <w:t xml:space="preserve"> </w:t>
      </w:r>
      <w:proofErr w:type="spellStart"/>
      <w:r>
        <w:t>laktujících</w:t>
      </w:r>
      <w:proofErr w:type="spellEnd"/>
      <w:r>
        <w:t xml:space="preserve"> potkan</w:t>
      </w:r>
      <w:r w:rsidR="00204AA6">
        <w:t>ů</w:t>
      </w:r>
      <w:r>
        <w:t xml:space="preserve"> prokázaly, že po intramuskulárním podání buprenorfinu byly koncentrace nezměněného buprenorfinu v mléce stejné nebo vyšší než v plazmě. Vzhledem k tomu, že je pravděpodobné, že buprenorfin bude vylučován do mléka i u jiných druhů, </w:t>
      </w:r>
      <w:r w:rsidR="00204AA6">
        <w:t xml:space="preserve">se </w:t>
      </w:r>
      <w:r>
        <w:t>použití během laktace nedoporučuje. Použ</w:t>
      </w:r>
      <w:r w:rsidR="00204AA6">
        <w:t>í</w:t>
      </w:r>
      <w:r>
        <w:t>t pouze po zvážení terapeutického prospěchu a rizika příslušným veterinárním lékařem.</w:t>
      </w:r>
    </w:p>
    <w:p w14:paraId="25F37DB7" w14:textId="77777777" w:rsidR="008C4643" w:rsidRPr="00F97D2B" w:rsidRDefault="008C4643" w:rsidP="008C4643">
      <w:pPr>
        <w:tabs>
          <w:tab w:val="clear" w:pos="567"/>
        </w:tabs>
        <w:spacing w:line="240" w:lineRule="auto"/>
        <w:rPr>
          <w:szCs w:val="22"/>
        </w:rPr>
      </w:pPr>
    </w:p>
    <w:p w14:paraId="092AAA74" w14:textId="77777777" w:rsidR="008C4643" w:rsidRPr="00F97D2B" w:rsidRDefault="008C4643" w:rsidP="008C4643">
      <w:pPr>
        <w:tabs>
          <w:tab w:val="clear" w:pos="567"/>
        </w:tabs>
        <w:spacing w:line="240" w:lineRule="auto"/>
        <w:rPr>
          <w:szCs w:val="22"/>
        </w:rPr>
      </w:pPr>
      <w:r>
        <w:rPr>
          <w:szCs w:val="22"/>
          <w:u w:val="single"/>
        </w:rPr>
        <w:t>Interakce s jinými léčivými přípravky a další formy interakce</w:t>
      </w:r>
    </w:p>
    <w:p w14:paraId="44D9D6DE" w14:textId="77777777" w:rsidR="008C4643" w:rsidRPr="00F97D2B" w:rsidRDefault="008C4643" w:rsidP="008C4643">
      <w:pPr>
        <w:tabs>
          <w:tab w:val="clear" w:pos="567"/>
        </w:tabs>
        <w:spacing w:line="240" w:lineRule="auto"/>
        <w:rPr>
          <w:szCs w:val="22"/>
        </w:rPr>
      </w:pPr>
      <w:r>
        <w:lastRenderedPageBreak/>
        <w:t>Buprenorfin může způsobit ospalost, která může být zesílena jinými centrálně působícími látkami, včetně trankvilizérů, sedativ a hypnotik.</w:t>
      </w:r>
    </w:p>
    <w:p w14:paraId="7414DB5C" w14:textId="77777777" w:rsidR="008C4643" w:rsidRPr="00F97D2B" w:rsidRDefault="008C4643" w:rsidP="008C4643">
      <w:pPr>
        <w:tabs>
          <w:tab w:val="clear" w:pos="567"/>
        </w:tabs>
        <w:spacing w:line="240" w:lineRule="auto"/>
        <w:rPr>
          <w:szCs w:val="22"/>
        </w:rPr>
      </w:pPr>
      <w:r>
        <w:t>Dostupné údaje u lidí naznačují, že terapeutické dávky buprenorfinu nesnižují analgetickou účinnost standardních dávek opioidního agonisty a že při použití buprenorfinu v běžném terapeutickém rozmezí lze standardní dávky opioidního agonisty podat ještě před odezněním účinku buprenorfinu, aniž by došlo ke snížení analgetického účinku. Doporučuje se však, aby buprenorfin nebyl používán současně s morfinem nebo jinými opioidními analgetiky, např. etorfinem, fentanylem, pethidinem, methadonem, papaveretem nebo butorfanolem.</w:t>
      </w:r>
    </w:p>
    <w:p w14:paraId="5F305B05" w14:textId="18617893" w:rsidR="008C4643" w:rsidRPr="00F97D2B" w:rsidRDefault="008C4643" w:rsidP="008C4643">
      <w:pPr>
        <w:tabs>
          <w:tab w:val="clear" w:pos="567"/>
        </w:tabs>
        <w:spacing w:line="240" w:lineRule="auto"/>
        <w:rPr>
          <w:szCs w:val="22"/>
        </w:rPr>
      </w:pPr>
      <w:r>
        <w:t xml:space="preserve">Buprenorfin je používán s </w:t>
      </w:r>
      <w:proofErr w:type="spellStart"/>
      <w:r>
        <w:t>acepromazinem</w:t>
      </w:r>
      <w:proofErr w:type="spellEnd"/>
      <w:r>
        <w:t xml:space="preserve">, </w:t>
      </w:r>
      <w:proofErr w:type="spellStart"/>
      <w:r>
        <w:t>alfaxalonem</w:t>
      </w:r>
      <w:proofErr w:type="spellEnd"/>
      <w:r>
        <w:t>/</w:t>
      </w:r>
      <w:proofErr w:type="spellStart"/>
      <w:r>
        <w:t>alfadalonem</w:t>
      </w:r>
      <w:proofErr w:type="spellEnd"/>
      <w:r>
        <w:t xml:space="preserve">, atropinem, </w:t>
      </w:r>
      <w:proofErr w:type="spellStart"/>
      <w:r>
        <w:t>detomidinem</w:t>
      </w:r>
      <w:proofErr w:type="spellEnd"/>
      <w:r>
        <w:t xml:space="preserve">, </w:t>
      </w:r>
      <w:proofErr w:type="spellStart"/>
      <w:r>
        <w:t>dexmedetomidinem</w:t>
      </w:r>
      <w:proofErr w:type="spellEnd"/>
      <w:r>
        <w:t xml:space="preserve">, </w:t>
      </w:r>
      <w:proofErr w:type="spellStart"/>
      <w:r>
        <w:t>halothanem</w:t>
      </w:r>
      <w:proofErr w:type="spellEnd"/>
      <w:r>
        <w:t xml:space="preserve">, </w:t>
      </w:r>
      <w:proofErr w:type="spellStart"/>
      <w:r>
        <w:t>isofluranem</w:t>
      </w:r>
      <w:proofErr w:type="spellEnd"/>
      <w:r>
        <w:t xml:space="preserve">, </w:t>
      </w:r>
      <w:proofErr w:type="spellStart"/>
      <w:r>
        <w:t>ketaminem</w:t>
      </w:r>
      <w:proofErr w:type="spellEnd"/>
      <w:r>
        <w:t xml:space="preserve">, </w:t>
      </w:r>
      <w:proofErr w:type="spellStart"/>
      <w:r>
        <w:t>medetomidinem</w:t>
      </w:r>
      <w:proofErr w:type="spellEnd"/>
      <w:r>
        <w:t xml:space="preserve">, </w:t>
      </w:r>
      <w:proofErr w:type="spellStart"/>
      <w:r>
        <w:t>propofolem</w:t>
      </w:r>
      <w:proofErr w:type="spellEnd"/>
      <w:r>
        <w:t xml:space="preserve">, </w:t>
      </w:r>
      <w:proofErr w:type="spellStart"/>
      <w:r>
        <w:t>romifidinem</w:t>
      </w:r>
      <w:proofErr w:type="spellEnd"/>
      <w:r>
        <w:t xml:space="preserve">, </w:t>
      </w:r>
      <w:proofErr w:type="spellStart"/>
      <w:r>
        <w:t>sevofluranem</w:t>
      </w:r>
      <w:proofErr w:type="spellEnd"/>
      <w:r>
        <w:t xml:space="preserve">, </w:t>
      </w:r>
      <w:proofErr w:type="spellStart"/>
      <w:r>
        <w:t>thiopentonem</w:t>
      </w:r>
      <w:proofErr w:type="spellEnd"/>
      <w:r>
        <w:t xml:space="preserve"> a </w:t>
      </w:r>
      <w:proofErr w:type="spellStart"/>
      <w:r>
        <w:t>xylazinem</w:t>
      </w:r>
      <w:proofErr w:type="spellEnd"/>
      <w:r>
        <w:t xml:space="preserve">. Pokud je použit v kombinaci se sedativy, může být zesílen jejich tlumivý </w:t>
      </w:r>
      <w:r w:rsidR="00204AA6">
        <w:t>účinek</w:t>
      </w:r>
      <w:r>
        <w:t xml:space="preserve"> na srdeční frekvenci a dýchací funkce.</w:t>
      </w:r>
    </w:p>
    <w:p w14:paraId="5D20BFBB" w14:textId="77777777" w:rsidR="008C4643" w:rsidRPr="00F97D2B" w:rsidRDefault="008C4643" w:rsidP="008C4643">
      <w:pPr>
        <w:tabs>
          <w:tab w:val="clear" w:pos="567"/>
        </w:tabs>
        <w:spacing w:line="240" w:lineRule="auto"/>
        <w:rPr>
          <w:szCs w:val="22"/>
        </w:rPr>
      </w:pPr>
    </w:p>
    <w:p w14:paraId="4C685EDF" w14:textId="77777777" w:rsidR="008C4643" w:rsidRPr="00F97D2B" w:rsidRDefault="008C4643" w:rsidP="008C4643">
      <w:pPr>
        <w:tabs>
          <w:tab w:val="clear" w:pos="567"/>
        </w:tabs>
        <w:spacing w:line="240" w:lineRule="auto"/>
        <w:rPr>
          <w:szCs w:val="22"/>
        </w:rPr>
      </w:pPr>
      <w:r>
        <w:rPr>
          <w:szCs w:val="22"/>
          <w:u w:val="single"/>
        </w:rPr>
        <w:t>Předávkování</w:t>
      </w:r>
      <w:r>
        <w:t>:</w:t>
      </w:r>
    </w:p>
    <w:p w14:paraId="05E0525E" w14:textId="77777777" w:rsidR="002D2DA2" w:rsidRPr="00F97D2B" w:rsidRDefault="002D2DA2" w:rsidP="002D2DA2">
      <w:pPr>
        <w:tabs>
          <w:tab w:val="clear" w:pos="567"/>
          <w:tab w:val="left" w:pos="0"/>
        </w:tabs>
        <w:spacing w:line="240" w:lineRule="auto"/>
        <w:rPr>
          <w:szCs w:val="22"/>
        </w:rPr>
      </w:pPr>
      <w:r>
        <w:t>V případě předávkování by měla být přijata podpůrná opatření a pokud je to vhodné, lze použít naloxon nebo stimulanty dýchacích funkcí.</w:t>
      </w:r>
    </w:p>
    <w:p w14:paraId="5B0C671A" w14:textId="77777777" w:rsidR="008C4643" w:rsidRPr="00F97D2B" w:rsidRDefault="008C4643" w:rsidP="008C4643">
      <w:pPr>
        <w:tabs>
          <w:tab w:val="clear" w:pos="567"/>
          <w:tab w:val="left" w:pos="0"/>
        </w:tabs>
        <w:spacing w:line="240" w:lineRule="auto"/>
        <w:rPr>
          <w:szCs w:val="22"/>
        </w:rPr>
      </w:pPr>
      <w:r>
        <w:t xml:space="preserve">Při předávkování u psů může buprenorfin způsobit letargii. Při velmi vysokých dávkách se může dostavit bradykardie a mióza. </w:t>
      </w:r>
    </w:p>
    <w:p w14:paraId="2C0276B2" w14:textId="6E5B63A9" w:rsidR="002D2DA2" w:rsidRPr="00F97D2B" w:rsidRDefault="002D2DA2" w:rsidP="002D2DA2">
      <w:pPr>
        <w:tabs>
          <w:tab w:val="clear" w:pos="567"/>
          <w:tab w:val="left" w:pos="0"/>
        </w:tabs>
        <w:spacing w:line="240" w:lineRule="auto"/>
        <w:rPr>
          <w:szCs w:val="22"/>
        </w:rPr>
      </w:pPr>
      <w:r>
        <w:t xml:space="preserve">Použití naloxonu je vhodné pro </w:t>
      </w:r>
      <w:r w:rsidR="00011CA4">
        <w:t>zvrácení</w:t>
      </w:r>
      <w:r>
        <w:t xml:space="preserve"> snížené dýchací aktivity. Stimulanty dýchacích funkcí, např. doxapram, jsou účinné i u člověka. Vzhledem k delšímu účinku buprenorfinu ve srovnání s těmito léčivými přípravky může být nutné je podávat opakovaně nebo kontinuální infuzí. Studie na dobrovolnících u lidí prokázaly, že antagonisté opiátů nemusí plně zvrátit účinek buprenorfinu.</w:t>
      </w:r>
    </w:p>
    <w:p w14:paraId="05DC4556" w14:textId="20346432" w:rsidR="008C4643" w:rsidRPr="00F97D2B" w:rsidRDefault="008C4643" w:rsidP="008C4643">
      <w:pPr>
        <w:tabs>
          <w:tab w:val="clear" w:pos="567"/>
          <w:tab w:val="left" w:pos="0"/>
        </w:tabs>
        <w:spacing w:line="240" w:lineRule="auto"/>
        <w:rPr>
          <w:szCs w:val="22"/>
        </w:rPr>
      </w:pPr>
      <w:r>
        <w:t xml:space="preserve">Studie </w:t>
      </w:r>
      <w:r w:rsidR="00204AA6">
        <w:t>u</w:t>
      </w:r>
      <w:r>
        <w:t xml:space="preserve"> koní, kde byl buprenorfin podáván se sedativy, prokázaly při až pětinásobku doporučené dávky jen velmi málo účinků; při samostatném podání </w:t>
      </w:r>
      <w:r w:rsidR="00204AA6">
        <w:t xml:space="preserve">ale </w:t>
      </w:r>
      <w:r>
        <w:t>může u zvířat bez bolesti způsobit excitaci.</w:t>
      </w:r>
    </w:p>
    <w:p w14:paraId="614B305F" w14:textId="14F48F29" w:rsidR="008C4643" w:rsidRPr="00F97D2B" w:rsidRDefault="008C4643" w:rsidP="008C4643">
      <w:pPr>
        <w:tabs>
          <w:tab w:val="clear" w:pos="567"/>
          <w:tab w:val="left" w:pos="0"/>
        </w:tabs>
        <w:spacing w:line="240" w:lineRule="auto"/>
        <w:rPr>
          <w:szCs w:val="22"/>
        </w:rPr>
      </w:pPr>
      <w:r>
        <w:t>V toxikologických studiích buprenorfin</w:t>
      </w:r>
      <w:r w:rsidR="00204AA6">
        <w:t>-</w:t>
      </w:r>
      <w:proofErr w:type="spellStart"/>
      <w:r>
        <w:t>hydrochloridu</w:t>
      </w:r>
      <w:proofErr w:type="spellEnd"/>
      <w:r>
        <w:t xml:space="preserve"> u psů byla po perorálním podávání po dobu jednoho roku v dávkách 3,5 mg/kg/den a vyšších pozorována biliární hyperplazie. Biliární hyperplazie nebyla pozorována po každodenní intramuskulární aplikaci v dávce do 2,5 mg/kg/den po dobu 3 měsíců. Tato dávka značně přesahuje jakékoli klinické dávkovací schéma u psů.</w:t>
      </w:r>
    </w:p>
    <w:p w14:paraId="1C8BA752" w14:textId="77777777" w:rsidR="008C4643" w:rsidRPr="00F97D2B" w:rsidRDefault="008C4643" w:rsidP="008C4643">
      <w:pPr>
        <w:tabs>
          <w:tab w:val="clear" w:pos="567"/>
        </w:tabs>
        <w:spacing w:line="240" w:lineRule="auto"/>
        <w:rPr>
          <w:szCs w:val="22"/>
        </w:rPr>
      </w:pPr>
    </w:p>
    <w:p w14:paraId="349EC377" w14:textId="77777777" w:rsidR="008C4643" w:rsidRPr="00F97D2B" w:rsidRDefault="008C4643" w:rsidP="008C4643">
      <w:pPr>
        <w:tabs>
          <w:tab w:val="clear" w:pos="567"/>
        </w:tabs>
        <w:spacing w:line="240" w:lineRule="auto"/>
        <w:rPr>
          <w:szCs w:val="22"/>
        </w:rPr>
      </w:pPr>
      <w:r>
        <w:rPr>
          <w:szCs w:val="22"/>
          <w:u w:val="single"/>
        </w:rPr>
        <w:t>Hlavní inkompatibility</w:t>
      </w:r>
      <w:r>
        <w:t>:</w:t>
      </w:r>
    </w:p>
    <w:p w14:paraId="49BD7B6E" w14:textId="77777777" w:rsidR="008C4643" w:rsidRPr="00F97D2B" w:rsidRDefault="008C4643" w:rsidP="008C4643">
      <w:pPr>
        <w:tabs>
          <w:tab w:val="clear" w:pos="567"/>
        </w:tabs>
        <w:spacing w:line="240" w:lineRule="auto"/>
        <w:rPr>
          <w:szCs w:val="22"/>
        </w:rPr>
      </w:pPr>
      <w:r>
        <w:t>Studie kompatibility nejsou k dispozici, a proto tento veterinární léčivý přípravek nesmí být mísen s žádnými dalšími veterinárními léčivými přípravky.</w:t>
      </w:r>
    </w:p>
    <w:p w14:paraId="5DFD5E88" w14:textId="77777777" w:rsidR="008C4643" w:rsidRPr="00F97D2B" w:rsidRDefault="008C4643" w:rsidP="008C4643">
      <w:pPr>
        <w:tabs>
          <w:tab w:val="clear" w:pos="567"/>
        </w:tabs>
        <w:spacing w:line="240" w:lineRule="auto"/>
        <w:rPr>
          <w:szCs w:val="22"/>
        </w:rPr>
      </w:pPr>
    </w:p>
    <w:p w14:paraId="5C206D28"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7.</w:t>
      </w:r>
      <w:r>
        <w:rPr>
          <w:b/>
          <w:szCs w:val="22"/>
        </w:rPr>
        <w:tab/>
        <w:t>Nežádoucí účinky</w:t>
      </w:r>
    </w:p>
    <w:p w14:paraId="63088AFE" w14:textId="77777777" w:rsidR="008C4643" w:rsidRPr="00F97D2B" w:rsidRDefault="008C4643" w:rsidP="008C4643">
      <w:pPr>
        <w:tabs>
          <w:tab w:val="clear" w:pos="567"/>
        </w:tabs>
        <w:spacing w:line="240" w:lineRule="auto"/>
        <w:rPr>
          <w:iCs/>
          <w:szCs w:val="22"/>
        </w:rPr>
      </w:pPr>
    </w:p>
    <w:p w14:paraId="45DD879C" w14:textId="77777777" w:rsidR="002D2DA2" w:rsidRPr="00F97D2B" w:rsidRDefault="002D2DA2" w:rsidP="002D2DA2">
      <w:pPr>
        <w:tabs>
          <w:tab w:val="clear" w:pos="567"/>
        </w:tabs>
        <w:spacing w:line="240" w:lineRule="auto"/>
        <w:rPr>
          <w:szCs w:val="22"/>
        </w:rPr>
      </w:pPr>
      <w:r>
        <w:t>Psi:</w:t>
      </w:r>
    </w:p>
    <w:p w14:paraId="5EA83DA4" w14:textId="77777777" w:rsidR="002D2DA2" w:rsidRPr="00F97D2B" w:rsidRDefault="002D2DA2" w:rsidP="002D2DA2">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2D2DA2" w:rsidRPr="00F97D2B" w14:paraId="6249121B" w14:textId="77777777" w:rsidTr="00365679">
        <w:tc>
          <w:tcPr>
            <w:tcW w:w="2091" w:type="pct"/>
          </w:tcPr>
          <w:p w14:paraId="7751B1D6" w14:textId="77777777" w:rsidR="002D2DA2" w:rsidRPr="00F97D2B" w:rsidRDefault="002D2DA2" w:rsidP="00365679">
            <w:pPr>
              <w:spacing w:before="60" w:after="60"/>
              <w:rPr>
                <w:szCs w:val="22"/>
              </w:rPr>
            </w:pPr>
            <w:r>
              <w:t>Vzácné</w:t>
            </w:r>
          </w:p>
          <w:p w14:paraId="14206936" w14:textId="23D0572A" w:rsidR="002D2DA2" w:rsidRPr="00F97D2B" w:rsidRDefault="002D2DA2" w:rsidP="00365679">
            <w:pPr>
              <w:spacing w:before="60" w:after="60"/>
              <w:rPr>
                <w:szCs w:val="22"/>
              </w:rPr>
            </w:pPr>
            <w:r>
              <w:t>(1 až 10 zvířat / 10 000 ošetřených zvířat):</w:t>
            </w:r>
          </w:p>
        </w:tc>
        <w:tc>
          <w:tcPr>
            <w:tcW w:w="2909" w:type="pct"/>
          </w:tcPr>
          <w:p w14:paraId="3A7109DE" w14:textId="28CAC7B1" w:rsidR="002D2DA2" w:rsidRPr="00F97D2B" w:rsidRDefault="002D2DA2" w:rsidP="00365679">
            <w:pPr>
              <w:spacing w:before="60" w:after="60"/>
              <w:rPr>
                <w:iCs/>
                <w:szCs w:val="22"/>
              </w:rPr>
            </w:pPr>
            <w:r>
              <w:t xml:space="preserve">Hypertenze, tachykardie, </w:t>
            </w:r>
          </w:p>
          <w:p w14:paraId="1D946DE8" w14:textId="77777777" w:rsidR="002D2DA2" w:rsidRPr="00F97D2B" w:rsidRDefault="002D2DA2" w:rsidP="00365679">
            <w:pPr>
              <w:spacing w:before="60" w:after="60"/>
              <w:rPr>
                <w:iCs/>
                <w:szCs w:val="22"/>
              </w:rPr>
            </w:pPr>
            <w:r>
              <w:t>sedace</w:t>
            </w:r>
            <w:r>
              <w:rPr>
                <w:szCs w:val="22"/>
                <w:vertAlign w:val="superscript"/>
              </w:rPr>
              <w:t>1</w:t>
            </w:r>
            <w:r>
              <w:t>.</w:t>
            </w:r>
          </w:p>
        </w:tc>
      </w:tr>
      <w:tr w:rsidR="002D2DA2" w:rsidRPr="00F97D2B" w14:paraId="406164BD" w14:textId="77777777" w:rsidTr="00365679">
        <w:tc>
          <w:tcPr>
            <w:tcW w:w="2091" w:type="pct"/>
          </w:tcPr>
          <w:p w14:paraId="284871D3" w14:textId="77777777" w:rsidR="002D2DA2" w:rsidRPr="00F97D2B" w:rsidRDefault="002D2DA2" w:rsidP="00365679">
            <w:pPr>
              <w:spacing w:before="60" w:after="60"/>
              <w:rPr>
                <w:szCs w:val="22"/>
              </w:rPr>
            </w:pPr>
            <w:r>
              <w:t>Velmi vzácné</w:t>
            </w:r>
          </w:p>
          <w:p w14:paraId="7E436139" w14:textId="065B90EB" w:rsidR="002D2DA2" w:rsidRPr="00F97D2B" w:rsidRDefault="002D2DA2" w:rsidP="00365679">
            <w:pPr>
              <w:spacing w:before="60" w:after="60"/>
              <w:rPr>
                <w:szCs w:val="22"/>
              </w:rPr>
            </w:pPr>
            <w:proofErr w:type="gramStart"/>
            <w:r>
              <w:t>(&lt; 1</w:t>
            </w:r>
            <w:proofErr w:type="gramEnd"/>
            <w:r>
              <w:t xml:space="preserve"> zvíře / 10 000 ošetřených zvířat, včetně ojedinělých hlášení):</w:t>
            </w:r>
          </w:p>
        </w:tc>
        <w:tc>
          <w:tcPr>
            <w:tcW w:w="2909" w:type="pct"/>
          </w:tcPr>
          <w:p w14:paraId="79F5C309" w14:textId="0524C5D4" w:rsidR="002D2DA2" w:rsidRPr="00F97D2B" w:rsidRDefault="002D2DA2" w:rsidP="00365679">
            <w:pPr>
              <w:spacing w:before="60" w:after="60"/>
              <w:rPr>
                <w:szCs w:val="22"/>
                <w:vertAlign w:val="superscript"/>
              </w:rPr>
            </w:pPr>
            <w:r>
              <w:t xml:space="preserve">Bolest v místě </w:t>
            </w:r>
            <w:r w:rsidR="008C2C87">
              <w:t>injekčního podání</w:t>
            </w:r>
            <w:r>
              <w:t>, nepohodlí</w:t>
            </w:r>
            <w:r>
              <w:rPr>
                <w:szCs w:val="22"/>
                <w:vertAlign w:val="superscript"/>
              </w:rPr>
              <w:t>2</w:t>
            </w:r>
            <w:r>
              <w:t>,</w:t>
            </w:r>
          </w:p>
          <w:p w14:paraId="64482FDF" w14:textId="79A026F1" w:rsidR="002D2DA2" w:rsidRPr="00F97D2B" w:rsidRDefault="002D2DA2" w:rsidP="00365679">
            <w:pPr>
              <w:spacing w:before="60" w:after="60"/>
              <w:rPr>
                <w:iCs/>
                <w:szCs w:val="22"/>
              </w:rPr>
            </w:pPr>
            <w:r>
              <w:t>vokalizace</w:t>
            </w:r>
            <w:r>
              <w:rPr>
                <w:iCs/>
                <w:szCs w:val="22"/>
                <w:vertAlign w:val="superscript"/>
              </w:rPr>
              <w:t>3</w:t>
            </w:r>
            <w:r>
              <w:t xml:space="preserve">. </w:t>
            </w:r>
          </w:p>
        </w:tc>
      </w:tr>
      <w:tr w:rsidR="002D2DA2" w:rsidRPr="00F97D2B" w14:paraId="4BF3BB3B" w14:textId="77777777" w:rsidTr="00365679">
        <w:tc>
          <w:tcPr>
            <w:tcW w:w="2091" w:type="pct"/>
          </w:tcPr>
          <w:p w14:paraId="7362819F" w14:textId="77777777" w:rsidR="002D2DA2" w:rsidRPr="00F97D2B" w:rsidRDefault="002D2DA2" w:rsidP="00365679">
            <w:pPr>
              <w:spacing w:before="60" w:after="60"/>
              <w:rPr>
                <w:szCs w:val="22"/>
              </w:rPr>
            </w:pPr>
            <w:r>
              <w:t>Neurčená četnost</w:t>
            </w:r>
          </w:p>
          <w:p w14:paraId="25139E3C" w14:textId="6EC616C0" w:rsidR="002D2DA2" w:rsidRPr="00F97D2B" w:rsidRDefault="002D2DA2" w:rsidP="00365679">
            <w:pPr>
              <w:spacing w:before="60" w:after="60"/>
              <w:rPr>
                <w:szCs w:val="22"/>
              </w:rPr>
            </w:pPr>
            <w:r>
              <w:t>(na základě dostupných údajů</w:t>
            </w:r>
            <w:r w:rsidR="008C2C87">
              <w:t xml:space="preserve"> nelze určit</w:t>
            </w:r>
            <w:r>
              <w:t>)</w:t>
            </w:r>
          </w:p>
        </w:tc>
        <w:tc>
          <w:tcPr>
            <w:tcW w:w="2909" w:type="pct"/>
          </w:tcPr>
          <w:p w14:paraId="7CAA25CE" w14:textId="2A09F0D0" w:rsidR="002D2DA2" w:rsidRPr="00F97D2B" w:rsidRDefault="002D2DA2" w:rsidP="00365679">
            <w:pPr>
              <w:spacing w:before="60" w:after="60"/>
              <w:rPr>
                <w:szCs w:val="22"/>
              </w:rPr>
            </w:pPr>
            <w:r>
              <w:t xml:space="preserve">Zvýšené slinění, </w:t>
            </w:r>
          </w:p>
          <w:p w14:paraId="26795104" w14:textId="4063C18E" w:rsidR="002D2DA2" w:rsidRPr="00F97D2B" w:rsidRDefault="008C2C87" w:rsidP="00365679">
            <w:pPr>
              <w:spacing w:before="60" w:after="60"/>
              <w:rPr>
                <w:szCs w:val="22"/>
              </w:rPr>
            </w:pPr>
            <w:r>
              <w:t>B</w:t>
            </w:r>
            <w:r w:rsidR="002D2DA2">
              <w:t>radykardie,</w:t>
            </w:r>
          </w:p>
          <w:p w14:paraId="1725BFA0" w14:textId="4E053D86" w:rsidR="002D2DA2" w:rsidRPr="00F97D2B" w:rsidRDefault="008C2C87" w:rsidP="00365679">
            <w:pPr>
              <w:spacing w:before="60" w:after="60"/>
              <w:rPr>
                <w:szCs w:val="22"/>
              </w:rPr>
            </w:pPr>
            <w:r>
              <w:t>H</w:t>
            </w:r>
            <w:r w:rsidR="002D2DA2">
              <w:t>ypotermie, dehydratace,</w:t>
            </w:r>
          </w:p>
          <w:p w14:paraId="1E35274E" w14:textId="3A162ED2" w:rsidR="002D2DA2" w:rsidRPr="00F97D2B" w:rsidRDefault="008C2C87" w:rsidP="00365679">
            <w:pPr>
              <w:spacing w:before="60" w:after="60"/>
              <w:rPr>
                <w:szCs w:val="22"/>
              </w:rPr>
            </w:pPr>
            <w:r>
              <w:t>A</w:t>
            </w:r>
            <w:r w:rsidR="002D2DA2">
              <w:t>gitace,</w:t>
            </w:r>
          </w:p>
          <w:p w14:paraId="7831AE6E" w14:textId="000F12C6" w:rsidR="002D2DA2" w:rsidRPr="00F97D2B" w:rsidRDefault="002D2DA2" w:rsidP="00365679">
            <w:pPr>
              <w:spacing w:before="60" w:after="60"/>
              <w:rPr>
                <w:szCs w:val="22"/>
              </w:rPr>
            </w:pPr>
            <w:r>
              <w:t xml:space="preserve"> </w:t>
            </w:r>
            <w:r w:rsidR="008C2C87">
              <w:t>M</w:t>
            </w:r>
            <w:r>
              <w:t xml:space="preserve">ióza, </w:t>
            </w:r>
          </w:p>
          <w:p w14:paraId="24FD9CA9" w14:textId="5D4FD94B" w:rsidR="002D2DA2" w:rsidRPr="00F97D2B" w:rsidRDefault="008C2C87" w:rsidP="00365679">
            <w:pPr>
              <w:spacing w:before="60" w:after="60"/>
              <w:rPr>
                <w:szCs w:val="22"/>
              </w:rPr>
            </w:pPr>
            <w:r>
              <w:t>R</w:t>
            </w:r>
            <w:r w:rsidR="002D2DA2">
              <w:t>espirační deprese.</w:t>
            </w:r>
          </w:p>
          <w:p w14:paraId="306FCC0C" w14:textId="77777777" w:rsidR="002D2DA2" w:rsidRPr="00F97D2B" w:rsidRDefault="002D2DA2" w:rsidP="00365679">
            <w:pPr>
              <w:spacing w:before="60" w:after="60"/>
              <w:rPr>
                <w:iCs/>
                <w:szCs w:val="22"/>
              </w:rPr>
            </w:pPr>
          </w:p>
        </w:tc>
      </w:tr>
    </w:tbl>
    <w:p w14:paraId="60629C3A" w14:textId="77777777" w:rsidR="002D2DA2" w:rsidRPr="00F97D2B" w:rsidRDefault="002D2DA2" w:rsidP="002D2DA2">
      <w:pPr>
        <w:tabs>
          <w:tab w:val="clear" w:pos="567"/>
        </w:tabs>
        <w:spacing w:line="240" w:lineRule="auto"/>
      </w:pPr>
      <w:r>
        <w:rPr>
          <w:szCs w:val="22"/>
          <w:vertAlign w:val="superscript"/>
        </w:rPr>
        <w:t>1</w:t>
      </w:r>
      <w:r>
        <w:t xml:space="preserve"> při použití k zajištění analgezie.</w:t>
      </w:r>
    </w:p>
    <w:p w14:paraId="42103616" w14:textId="77777777" w:rsidR="002D2DA2" w:rsidRPr="00F97D2B" w:rsidRDefault="002D2DA2" w:rsidP="002D2DA2">
      <w:pPr>
        <w:tabs>
          <w:tab w:val="clear" w:pos="567"/>
        </w:tabs>
        <w:spacing w:line="240" w:lineRule="auto"/>
        <w:rPr>
          <w:szCs w:val="22"/>
        </w:rPr>
      </w:pPr>
      <w:r>
        <w:rPr>
          <w:szCs w:val="22"/>
          <w:vertAlign w:val="superscript"/>
        </w:rPr>
        <w:t xml:space="preserve">2 </w:t>
      </w:r>
      <w:r>
        <w:t>lokální.</w:t>
      </w:r>
    </w:p>
    <w:p w14:paraId="02F7BBBE" w14:textId="5B500842" w:rsidR="002D2DA2" w:rsidRPr="00F97D2B" w:rsidRDefault="002D2DA2" w:rsidP="002D2DA2">
      <w:pPr>
        <w:tabs>
          <w:tab w:val="clear" w:pos="567"/>
        </w:tabs>
        <w:spacing w:line="240" w:lineRule="auto"/>
        <w:rPr>
          <w:szCs w:val="22"/>
        </w:rPr>
      </w:pPr>
      <w:r>
        <w:rPr>
          <w:szCs w:val="22"/>
          <w:vertAlign w:val="superscript"/>
        </w:rPr>
        <w:lastRenderedPageBreak/>
        <w:t xml:space="preserve">3 </w:t>
      </w:r>
      <w:r>
        <w:t>v důsledku bolesti v místě i</w:t>
      </w:r>
      <w:r w:rsidR="008C2C87">
        <w:t>njekčního podání</w:t>
      </w:r>
      <w:r>
        <w:t xml:space="preserve"> nebo lokálního nepohodlí.</w:t>
      </w:r>
    </w:p>
    <w:p w14:paraId="74EA2204" w14:textId="77777777" w:rsidR="002D2DA2" w:rsidRPr="00F97D2B" w:rsidRDefault="002D2DA2" w:rsidP="002D2DA2">
      <w:pPr>
        <w:tabs>
          <w:tab w:val="clear" w:pos="567"/>
        </w:tabs>
        <w:spacing w:line="240" w:lineRule="auto"/>
        <w:rPr>
          <w:szCs w:val="22"/>
        </w:rPr>
      </w:pPr>
    </w:p>
    <w:p w14:paraId="5527E3EC" w14:textId="77777777" w:rsidR="002D2DA2" w:rsidRPr="00F97D2B" w:rsidRDefault="002D2DA2" w:rsidP="002D2DA2">
      <w:pPr>
        <w:tabs>
          <w:tab w:val="clear" w:pos="567"/>
        </w:tabs>
        <w:spacing w:line="240" w:lineRule="auto"/>
        <w:rPr>
          <w:szCs w:val="22"/>
        </w:rPr>
      </w:pPr>
      <w:r>
        <w:t>Kočky:</w:t>
      </w:r>
    </w:p>
    <w:p w14:paraId="765FB7DD" w14:textId="77777777" w:rsidR="002D2DA2" w:rsidRPr="00F97D2B" w:rsidRDefault="002D2DA2" w:rsidP="002D2DA2">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2D2DA2" w:rsidRPr="00F97D2B" w14:paraId="573D1A46" w14:textId="77777777" w:rsidTr="00365679">
        <w:tc>
          <w:tcPr>
            <w:tcW w:w="2091" w:type="pct"/>
          </w:tcPr>
          <w:p w14:paraId="511D7F09" w14:textId="77777777" w:rsidR="002D2DA2" w:rsidRPr="00F97D2B" w:rsidRDefault="002D2DA2" w:rsidP="00365679">
            <w:pPr>
              <w:spacing w:before="60" w:after="60"/>
              <w:rPr>
                <w:szCs w:val="22"/>
              </w:rPr>
            </w:pPr>
            <w:r>
              <w:t>Časté</w:t>
            </w:r>
          </w:p>
          <w:p w14:paraId="739F6FE2" w14:textId="77777777" w:rsidR="002D2DA2" w:rsidRPr="00F97D2B" w:rsidRDefault="002D2DA2" w:rsidP="00365679">
            <w:pPr>
              <w:spacing w:before="60" w:after="60"/>
              <w:rPr>
                <w:szCs w:val="22"/>
              </w:rPr>
            </w:pPr>
            <w:r>
              <w:t>(1 až 10 zvířat / 100 ošetřených zvířat):</w:t>
            </w:r>
          </w:p>
        </w:tc>
        <w:tc>
          <w:tcPr>
            <w:tcW w:w="2909" w:type="pct"/>
          </w:tcPr>
          <w:p w14:paraId="4694155B" w14:textId="4A23B66C" w:rsidR="002D2DA2" w:rsidRPr="00F97D2B" w:rsidRDefault="002D2DA2" w:rsidP="00365679">
            <w:pPr>
              <w:tabs>
                <w:tab w:val="clear" w:pos="567"/>
              </w:tabs>
              <w:spacing w:line="240" w:lineRule="auto"/>
              <w:rPr>
                <w:szCs w:val="22"/>
              </w:rPr>
            </w:pPr>
            <w:r>
              <w:t>Mydriáza</w:t>
            </w:r>
            <w:r>
              <w:rPr>
                <w:szCs w:val="22"/>
                <w:vertAlign w:val="superscript"/>
              </w:rPr>
              <w:t>1</w:t>
            </w:r>
            <w:r>
              <w:t>,</w:t>
            </w:r>
          </w:p>
          <w:p w14:paraId="3A041F66" w14:textId="77777777" w:rsidR="002D2DA2" w:rsidRPr="00F97D2B" w:rsidRDefault="002D2DA2" w:rsidP="00365679">
            <w:pPr>
              <w:tabs>
                <w:tab w:val="clear" w:pos="567"/>
              </w:tabs>
              <w:spacing w:line="240" w:lineRule="auto"/>
              <w:rPr>
                <w:szCs w:val="22"/>
              </w:rPr>
            </w:pPr>
            <w:r>
              <w:t>euforie (nepřiměřené vrnění, přecházení, tření)</w:t>
            </w:r>
            <w:r>
              <w:rPr>
                <w:szCs w:val="22"/>
                <w:vertAlign w:val="superscript"/>
              </w:rPr>
              <w:t>1</w:t>
            </w:r>
            <w:r>
              <w:t>.</w:t>
            </w:r>
          </w:p>
          <w:p w14:paraId="4B354FA4" w14:textId="77777777" w:rsidR="002D2DA2" w:rsidRPr="00F97D2B" w:rsidRDefault="002D2DA2" w:rsidP="00365679">
            <w:pPr>
              <w:spacing w:before="60" w:after="60"/>
              <w:rPr>
                <w:iCs/>
                <w:szCs w:val="22"/>
              </w:rPr>
            </w:pPr>
          </w:p>
        </w:tc>
      </w:tr>
      <w:tr w:rsidR="002D2DA2" w:rsidRPr="00F97D2B" w14:paraId="1CA1D6CC" w14:textId="77777777" w:rsidTr="00365679">
        <w:tc>
          <w:tcPr>
            <w:tcW w:w="2091" w:type="pct"/>
          </w:tcPr>
          <w:p w14:paraId="5E25C525" w14:textId="77777777" w:rsidR="002D2DA2" w:rsidRPr="00F97D2B" w:rsidRDefault="002D2DA2" w:rsidP="00365679">
            <w:pPr>
              <w:spacing w:before="60" w:after="60"/>
              <w:rPr>
                <w:szCs w:val="22"/>
              </w:rPr>
            </w:pPr>
            <w:r>
              <w:t>Vzácné</w:t>
            </w:r>
          </w:p>
          <w:p w14:paraId="6A0914D9" w14:textId="571A1E61" w:rsidR="002D2DA2" w:rsidRPr="00F97D2B" w:rsidRDefault="002D2DA2" w:rsidP="00365679">
            <w:pPr>
              <w:spacing w:before="60" w:after="60"/>
              <w:rPr>
                <w:szCs w:val="22"/>
              </w:rPr>
            </w:pPr>
            <w:r>
              <w:t>(1 až 10 zvířat / 10 000 ošetřených zvířat):</w:t>
            </w:r>
          </w:p>
        </w:tc>
        <w:tc>
          <w:tcPr>
            <w:tcW w:w="2909" w:type="pct"/>
          </w:tcPr>
          <w:p w14:paraId="7971C50F" w14:textId="167B467A" w:rsidR="002D2DA2" w:rsidRPr="00F97D2B" w:rsidRDefault="002D2DA2" w:rsidP="00365679">
            <w:pPr>
              <w:tabs>
                <w:tab w:val="clear" w:pos="567"/>
              </w:tabs>
              <w:spacing w:line="240" w:lineRule="auto"/>
              <w:rPr>
                <w:szCs w:val="22"/>
              </w:rPr>
            </w:pPr>
            <w:r>
              <w:t>Sedace</w:t>
            </w:r>
            <w:r>
              <w:rPr>
                <w:szCs w:val="22"/>
                <w:vertAlign w:val="superscript"/>
              </w:rPr>
              <w:t>2</w:t>
            </w:r>
            <w:r>
              <w:t>.</w:t>
            </w:r>
          </w:p>
        </w:tc>
      </w:tr>
      <w:tr w:rsidR="002D2DA2" w:rsidRPr="00F97D2B" w14:paraId="2449094F" w14:textId="77777777" w:rsidTr="00365679">
        <w:tc>
          <w:tcPr>
            <w:tcW w:w="2091" w:type="pct"/>
          </w:tcPr>
          <w:p w14:paraId="07BA1DD0" w14:textId="77777777" w:rsidR="002D2DA2" w:rsidRPr="00F97D2B" w:rsidRDefault="002D2DA2" w:rsidP="00365679">
            <w:pPr>
              <w:spacing w:before="60" w:after="60"/>
              <w:rPr>
                <w:szCs w:val="22"/>
              </w:rPr>
            </w:pPr>
            <w:r>
              <w:t>Velmi vzácné</w:t>
            </w:r>
          </w:p>
          <w:p w14:paraId="0A1675E7" w14:textId="124B7F74" w:rsidR="002D2DA2" w:rsidRPr="00F97D2B" w:rsidRDefault="002D2DA2" w:rsidP="00365679">
            <w:pPr>
              <w:spacing w:before="60" w:after="60"/>
              <w:rPr>
                <w:szCs w:val="22"/>
              </w:rPr>
            </w:pPr>
            <w:proofErr w:type="gramStart"/>
            <w:r>
              <w:t>(&lt; 1</w:t>
            </w:r>
            <w:proofErr w:type="gramEnd"/>
            <w:r>
              <w:t xml:space="preserve"> zvíře / 10 000 ošetřených zvířat, včetně ojedinělých hlášení):</w:t>
            </w:r>
          </w:p>
        </w:tc>
        <w:tc>
          <w:tcPr>
            <w:tcW w:w="2909" w:type="pct"/>
          </w:tcPr>
          <w:p w14:paraId="1AB5E162" w14:textId="2859B6AD" w:rsidR="002D2DA2" w:rsidRPr="00F97D2B" w:rsidRDefault="002D2DA2" w:rsidP="00365679">
            <w:pPr>
              <w:spacing w:before="60" w:after="60"/>
              <w:rPr>
                <w:szCs w:val="22"/>
                <w:vertAlign w:val="superscript"/>
              </w:rPr>
            </w:pPr>
            <w:r>
              <w:t xml:space="preserve">Bolest v místě </w:t>
            </w:r>
            <w:r w:rsidR="008C2C87">
              <w:t>injekčního podání</w:t>
            </w:r>
            <w:r>
              <w:t>, nepohodlí</w:t>
            </w:r>
            <w:r>
              <w:rPr>
                <w:szCs w:val="22"/>
                <w:vertAlign w:val="superscript"/>
              </w:rPr>
              <w:t>3</w:t>
            </w:r>
            <w:r>
              <w:t>,</w:t>
            </w:r>
          </w:p>
          <w:p w14:paraId="4E94247F" w14:textId="7B85129A" w:rsidR="002D2DA2" w:rsidRPr="00F97D2B" w:rsidRDefault="002D2DA2" w:rsidP="00365679">
            <w:pPr>
              <w:spacing w:before="60" w:after="60"/>
              <w:rPr>
                <w:iCs/>
                <w:szCs w:val="22"/>
              </w:rPr>
            </w:pPr>
            <w:r>
              <w:t>vokalizace</w:t>
            </w:r>
            <w:r>
              <w:rPr>
                <w:iCs/>
                <w:szCs w:val="22"/>
                <w:vertAlign w:val="superscript"/>
              </w:rPr>
              <w:t>4</w:t>
            </w:r>
            <w:r>
              <w:t>.</w:t>
            </w:r>
          </w:p>
        </w:tc>
      </w:tr>
      <w:tr w:rsidR="002D2DA2" w:rsidRPr="00F97D2B" w14:paraId="2A86B350" w14:textId="77777777" w:rsidTr="00365679">
        <w:tc>
          <w:tcPr>
            <w:tcW w:w="2091" w:type="pct"/>
          </w:tcPr>
          <w:p w14:paraId="20F6E821" w14:textId="77777777" w:rsidR="002D2DA2" w:rsidRPr="00F97D2B" w:rsidRDefault="002D2DA2" w:rsidP="00365679">
            <w:pPr>
              <w:spacing w:before="60" w:after="60"/>
              <w:rPr>
                <w:szCs w:val="22"/>
              </w:rPr>
            </w:pPr>
            <w:r>
              <w:t>Neurčená četnost</w:t>
            </w:r>
          </w:p>
          <w:p w14:paraId="3B33F7F4" w14:textId="14C1D781" w:rsidR="002D2DA2" w:rsidRPr="00F97D2B" w:rsidRDefault="002D2DA2" w:rsidP="00365679">
            <w:pPr>
              <w:spacing w:before="60" w:after="60"/>
              <w:rPr>
                <w:szCs w:val="22"/>
              </w:rPr>
            </w:pPr>
            <w:r>
              <w:t>(na základě dostupných údajů</w:t>
            </w:r>
            <w:r w:rsidR="008C2C87">
              <w:t xml:space="preserve"> nelze určit</w:t>
            </w:r>
            <w:r>
              <w:t>)</w:t>
            </w:r>
          </w:p>
        </w:tc>
        <w:tc>
          <w:tcPr>
            <w:tcW w:w="2909" w:type="pct"/>
          </w:tcPr>
          <w:p w14:paraId="53BC2DCC" w14:textId="3B27AA36" w:rsidR="002D2DA2" w:rsidRPr="00F97D2B" w:rsidRDefault="002D2DA2" w:rsidP="00365679">
            <w:pPr>
              <w:spacing w:before="60" w:after="60"/>
              <w:rPr>
                <w:szCs w:val="22"/>
              </w:rPr>
            </w:pPr>
            <w:r>
              <w:t>Respirační deprese.</w:t>
            </w:r>
          </w:p>
          <w:p w14:paraId="7535C2FF" w14:textId="77777777" w:rsidR="002D2DA2" w:rsidRPr="00F97D2B" w:rsidRDefault="002D2DA2" w:rsidP="00365679">
            <w:pPr>
              <w:spacing w:before="60" w:after="60"/>
              <w:rPr>
                <w:iCs/>
                <w:szCs w:val="22"/>
              </w:rPr>
            </w:pPr>
          </w:p>
        </w:tc>
      </w:tr>
    </w:tbl>
    <w:p w14:paraId="0C99D583" w14:textId="77777777" w:rsidR="002D2DA2" w:rsidRPr="00F97D2B" w:rsidRDefault="002D2DA2" w:rsidP="002D2DA2">
      <w:pPr>
        <w:rPr>
          <w:szCs w:val="22"/>
        </w:rPr>
      </w:pPr>
      <w:r>
        <w:rPr>
          <w:szCs w:val="22"/>
          <w:vertAlign w:val="superscript"/>
        </w:rPr>
        <w:t>1</w:t>
      </w:r>
      <w:r>
        <w:t xml:space="preserve"> zpravidla odezní do 24 hodin.</w:t>
      </w:r>
    </w:p>
    <w:p w14:paraId="04A0C714" w14:textId="77777777" w:rsidR="002D2DA2" w:rsidRPr="00F97D2B" w:rsidRDefault="002D2DA2" w:rsidP="002D2DA2">
      <w:pPr>
        <w:tabs>
          <w:tab w:val="clear" w:pos="567"/>
        </w:tabs>
        <w:spacing w:line="240" w:lineRule="auto"/>
        <w:rPr>
          <w:szCs w:val="22"/>
        </w:rPr>
      </w:pPr>
      <w:r>
        <w:rPr>
          <w:szCs w:val="22"/>
          <w:vertAlign w:val="superscript"/>
        </w:rPr>
        <w:t>2</w:t>
      </w:r>
      <w:r>
        <w:t xml:space="preserve"> při použití k zajištění analgezie.</w:t>
      </w:r>
    </w:p>
    <w:p w14:paraId="2701FE7E" w14:textId="77777777" w:rsidR="002D2DA2" w:rsidRPr="00F97D2B" w:rsidRDefault="002D2DA2" w:rsidP="002D2DA2">
      <w:pPr>
        <w:tabs>
          <w:tab w:val="clear" w:pos="567"/>
        </w:tabs>
        <w:spacing w:line="240" w:lineRule="auto"/>
      </w:pPr>
      <w:r>
        <w:rPr>
          <w:vertAlign w:val="superscript"/>
        </w:rPr>
        <w:t>3</w:t>
      </w:r>
      <w:r>
        <w:t xml:space="preserve"> lokální.</w:t>
      </w:r>
    </w:p>
    <w:p w14:paraId="128CF268" w14:textId="6B751C5E" w:rsidR="002D2DA2" w:rsidRPr="00F97D2B" w:rsidRDefault="002D2DA2" w:rsidP="002D2DA2">
      <w:pPr>
        <w:tabs>
          <w:tab w:val="clear" w:pos="567"/>
        </w:tabs>
        <w:spacing w:line="240" w:lineRule="auto"/>
        <w:rPr>
          <w:szCs w:val="22"/>
        </w:rPr>
      </w:pPr>
      <w:r>
        <w:rPr>
          <w:vertAlign w:val="superscript"/>
        </w:rPr>
        <w:t>4</w:t>
      </w:r>
      <w:r>
        <w:t xml:space="preserve"> v důsledku bolesti v místě </w:t>
      </w:r>
      <w:r w:rsidR="00400473">
        <w:t>injekčního podání</w:t>
      </w:r>
      <w:r>
        <w:t xml:space="preserve"> nebo lokálního nepohodlí.</w:t>
      </w:r>
    </w:p>
    <w:p w14:paraId="019190E5" w14:textId="77777777" w:rsidR="008C4643" w:rsidRPr="00F97D2B" w:rsidRDefault="008C4643" w:rsidP="008C4643">
      <w:pPr>
        <w:rPr>
          <w:szCs w:val="22"/>
        </w:rPr>
      </w:pPr>
    </w:p>
    <w:p w14:paraId="23E8AC5A" w14:textId="77777777" w:rsidR="00306833" w:rsidRPr="00F97D2B" w:rsidRDefault="00306833" w:rsidP="00306833">
      <w:pPr>
        <w:tabs>
          <w:tab w:val="clear" w:pos="567"/>
        </w:tabs>
        <w:spacing w:line="240" w:lineRule="auto"/>
        <w:rPr>
          <w:szCs w:val="22"/>
        </w:rPr>
      </w:pPr>
      <w:r>
        <w:t>Koně:</w:t>
      </w:r>
    </w:p>
    <w:p w14:paraId="3028AF65" w14:textId="77777777" w:rsidR="00306833" w:rsidRPr="00F97D2B" w:rsidRDefault="00306833" w:rsidP="00306833">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306833" w:rsidRPr="00F97D2B" w14:paraId="2C88E6B8" w14:textId="77777777" w:rsidTr="00A737F0">
        <w:tc>
          <w:tcPr>
            <w:tcW w:w="2091" w:type="pct"/>
          </w:tcPr>
          <w:p w14:paraId="23DD8019" w14:textId="77777777" w:rsidR="00306833" w:rsidRPr="00F97D2B" w:rsidRDefault="00306833" w:rsidP="00A737F0">
            <w:pPr>
              <w:spacing w:before="60" w:after="60"/>
              <w:rPr>
                <w:szCs w:val="22"/>
              </w:rPr>
            </w:pPr>
            <w:r>
              <w:t>Vzácné</w:t>
            </w:r>
          </w:p>
          <w:p w14:paraId="038800B9" w14:textId="7BB9B4A7" w:rsidR="00306833" w:rsidRPr="00F97D2B" w:rsidRDefault="00306833" w:rsidP="00A737F0">
            <w:pPr>
              <w:spacing w:before="60" w:after="60"/>
              <w:rPr>
                <w:szCs w:val="22"/>
              </w:rPr>
            </w:pPr>
            <w:r>
              <w:t>(1 až 10 zvířat / 10 000 ošetřených zvířat):</w:t>
            </w:r>
          </w:p>
        </w:tc>
        <w:tc>
          <w:tcPr>
            <w:tcW w:w="2909" w:type="pct"/>
          </w:tcPr>
          <w:p w14:paraId="1390712E" w14:textId="0393D34F" w:rsidR="00306833" w:rsidRPr="00F97D2B" w:rsidRDefault="00306833" w:rsidP="00A737F0">
            <w:pPr>
              <w:spacing w:before="60" w:after="60"/>
              <w:rPr>
                <w:iCs/>
                <w:szCs w:val="22"/>
              </w:rPr>
            </w:pPr>
            <w:r>
              <w:t>Sedace</w:t>
            </w:r>
            <w:r>
              <w:rPr>
                <w:iCs/>
                <w:szCs w:val="22"/>
                <w:vertAlign w:val="superscript"/>
              </w:rPr>
              <w:t>1</w:t>
            </w:r>
            <w:r>
              <w:t>,</w:t>
            </w:r>
          </w:p>
          <w:p w14:paraId="2752BF7D" w14:textId="77777777" w:rsidR="00306833" w:rsidRPr="00F97D2B" w:rsidRDefault="00306833" w:rsidP="00A737F0">
            <w:pPr>
              <w:spacing w:before="60" w:after="60"/>
              <w:rPr>
                <w:iCs/>
                <w:szCs w:val="22"/>
              </w:rPr>
            </w:pPr>
            <w:r>
              <w:t>kolika.</w:t>
            </w:r>
          </w:p>
        </w:tc>
      </w:tr>
      <w:tr w:rsidR="00306833" w:rsidRPr="00F97D2B" w14:paraId="472FA25A" w14:textId="77777777" w:rsidTr="00A737F0">
        <w:tc>
          <w:tcPr>
            <w:tcW w:w="2091" w:type="pct"/>
          </w:tcPr>
          <w:p w14:paraId="1B07DF30" w14:textId="77777777" w:rsidR="00306833" w:rsidRPr="00F97D2B" w:rsidRDefault="00306833" w:rsidP="00A737F0">
            <w:pPr>
              <w:spacing w:before="60" w:after="60"/>
              <w:rPr>
                <w:szCs w:val="22"/>
              </w:rPr>
            </w:pPr>
            <w:r>
              <w:t>Neurčená četnost</w:t>
            </w:r>
          </w:p>
          <w:p w14:paraId="1809ECB6" w14:textId="31390F6D" w:rsidR="00306833" w:rsidRPr="00F97D2B" w:rsidRDefault="00306833" w:rsidP="00A737F0">
            <w:pPr>
              <w:spacing w:before="60" w:after="60"/>
              <w:rPr>
                <w:szCs w:val="22"/>
              </w:rPr>
            </w:pPr>
            <w:r>
              <w:t>(na základě dostupných údajů</w:t>
            </w:r>
            <w:r w:rsidR="008C2C87">
              <w:t xml:space="preserve"> nelze určit)</w:t>
            </w:r>
          </w:p>
        </w:tc>
        <w:tc>
          <w:tcPr>
            <w:tcW w:w="2909" w:type="pct"/>
          </w:tcPr>
          <w:p w14:paraId="4FCAC567" w14:textId="22702D27" w:rsidR="00306833" w:rsidRPr="00F97D2B" w:rsidRDefault="00306833" w:rsidP="00A737F0">
            <w:pPr>
              <w:spacing w:before="60" w:after="60"/>
              <w:rPr>
                <w:szCs w:val="22"/>
              </w:rPr>
            </w:pPr>
            <w:r>
              <w:t>Respirační deprese,</w:t>
            </w:r>
          </w:p>
          <w:p w14:paraId="3103DE9B" w14:textId="7511A14F" w:rsidR="00306833" w:rsidRPr="00F97D2B" w:rsidRDefault="008C2C87" w:rsidP="00A737F0">
            <w:pPr>
              <w:spacing w:before="60" w:after="60"/>
              <w:rPr>
                <w:szCs w:val="22"/>
              </w:rPr>
            </w:pPr>
            <w:r>
              <w:t>E</w:t>
            </w:r>
            <w:r w:rsidR="00306833">
              <w:t>xcitace</w:t>
            </w:r>
            <w:r w:rsidR="00306833">
              <w:rPr>
                <w:szCs w:val="22"/>
                <w:vertAlign w:val="superscript"/>
              </w:rPr>
              <w:t>2</w:t>
            </w:r>
            <w:r w:rsidR="00306833">
              <w:t xml:space="preserve">, </w:t>
            </w:r>
          </w:p>
          <w:p w14:paraId="7C7FA025" w14:textId="4066564D" w:rsidR="00306833" w:rsidRPr="00F97D2B" w:rsidRDefault="008C2C87" w:rsidP="00A737F0">
            <w:pPr>
              <w:spacing w:before="60" w:after="60"/>
              <w:rPr>
                <w:iCs/>
                <w:szCs w:val="22"/>
              </w:rPr>
            </w:pPr>
            <w:r>
              <w:t>A</w:t>
            </w:r>
            <w:r w:rsidR="00306833">
              <w:t>taxie</w:t>
            </w:r>
            <w:r w:rsidR="00306833">
              <w:rPr>
                <w:szCs w:val="22"/>
                <w:vertAlign w:val="superscript"/>
              </w:rPr>
              <w:t>2</w:t>
            </w:r>
            <w:r w:rsidR="00306833">
              <w:t>.</w:t>
            </w:r>
          </w:p>
        </w:tc>
      </w:tr>
    </w:tbl>
    <w:p w14:paraId="09743ABA" w14:textId="77777777" w:rsidR="00306833" w:rsidRPr="00F97D2B" w:rsidRDefault="00306833" w:rsidP="00306833">
      <w:pPr>
        <w:tabs>
          <w:tab w:val="clear" w:pos="567"/>
        </w:tabs>
        <w:spacing w:line="240" w:lineRule="auto"/>
        <w:rPr>
          <w:szCs w:val="22"/>
        </w:rPr>
      </w:pPr>
      <w:r>
        <w:rPr>
          <w:szCs w:val="22"/>
          <w:vertAlign w:val="superscript"/>
        </w:rPr>
        <w:t>1</w:t>
      </w:r>
      <w:r>
        <w:t xml:space="preserve"> při použití k zajištění analgezie.</w:t>
      </w:r>
    </w:p>
    <w:p w14:paraId="4AFDB7DA" w14:textId="77777777" w:rsidR="00306833" w:rsidRPr="00F97D2B" w:rsidRDefault="00306833" w:rsidP="00306833">
      <w:pPr>
        <w:rPr>
          <w:szCs w:val="22"/>
        </w:rPr>
      </w:pPr>
      <w:r>
        <w:rPr>
          <w:szCs w:val="22"/>
          <w:vertAlign w:val="superscript"/>
        </w:rPr>
        <w:t>2</w:t>
      </w:r>
      <w:r>
        <w:t xml:space="preserve"> při použití v kombinaci se sedativy nebo trankvilizéry je excitace obvykle minimální, občas se může projevit výrazná ataxie.</w:t>
      </w:r>
    </w:p>
    <w:p w14:paraId="592E0D04" w14:textId="77777777" w:rsidR="008C4643" w:rsidRPr="00F97D2B" w:rsidRDefault="008C4643" w:rsidP="008C4643">
      <w:pPr>
        <w:tabs>
          <w:tab w:val="clear" w:pos="567"/>
        </w:tabs>
        <w:spacing w:line="240" w:lineRule="auto"/>
        <w:rPr>
          <w:iCs/>
          <w:szCs w:val="22"/>
        </w:rPr>
      </w:pPr>
    </w:p>
    <w:p w14:paraId="56B62FAA" w14:textId="243FCC88" w:rsidR="008C4643" w:rsidRDefault="008C4643" w:rsidP="008C4643">
      <w: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6C12F45A" w14:textId="77777777" w:rsidR="00B52781" w:rsidRDefault="00B52781" w:rsidP="008C4643"/>
    <w:p w14:paraId="38D623BD" w14:textId="77777777" w:rsidR="00B52781" w:rsidRPr="00B52781" w:rsidRDefault="00B52781" w:rsidP="00B52781">
      <w:pPr>
        <w:rPr>
          <w:szCs w:val="22"/>
        </w:rPr>
      </w:pPr>
      <w:r w:rsidRPr="00B52781">
        <w:rPr>
          <w:szCs w:val="22"/>
        </w:rPr>
        <w:t>Ústav pro státní kontrolu veterinárních</w:t>
      </w:r>
    </w:p>
    <w:p w14:paraId="0A25E4ED" w14:textId="77777777" w:rsidR="00B52781" w:rsidRPr="00B52781" w:rsidRDefault="00B52781" w:rsidP="00B52781">
      <w:pPr>
        <w:rPr>
          <w:szCs w:val="22"/>
        </w:rPr>
      </w:pPr>
      <w:r w:rsidRPr="00B52781">
        <w:rPr>
          <w:szCs w:val="22"/>
        </w:rPr>
        <w:t>biopreparátů a léčiv</w:t>
      </w:r>
    </w:p>
    <w:p w14:paraId="6ACC14B6" w14:textId="571ADDA2" w:rsidR="00B52781" w:rsidRPr="00B52781" w:rsidRDefault="00B52781" w:rsidP="00B52781">
      <w:pPr>
        <w:rPr>
          <w:szCs w:val="22"/>
        </w:rPr>
      </w:pPr>
      <w:r w:rsidRPr="00B52781">
        <w:rPr>
          <w:szCs w:val="22"/>
        </w:rPr>
        <w:t>Hudcova 56</w:t>
      </w:r>
      <w:r w:rsidR="008C2C87">
        <w:rPr>
          <w:szCs w:val="22"/>
        </w:rPr>
        <w:t xml:space="preserve"> </w:t>
      </w:r>
      <w:r w:rsidRPr="00B52781">
        <w:rPr>
          <w:szCs w:val="22"/>
        </w:rPr>
        <w:t>a</w:t>
      </w:r>
    </w:p>
    <w:p w14:paraId="3243884C" w14:textId="77777777" w:rsidR="00B52781" w:rsidRPr="00B52781" w:rsidRDefault="00B52781" w:rsidP="00B52781">
      <w:pPr>
        <w:rPr>
          <w:szCs w:val="22"/>
        </w:rPr>
      </w:pPr>
      <w:r w:rsidRPr="00B52781">
        <w:rPr>
          <w:szCs w:val="22"/>
        </w:rPr>
        <w:t>621 00 Brno</w:t>
      </w:r>
    </w:p>
    <w:p w14:paraId="63D0A0F3" w14:textId="7269CF80" w:rsidR="00B52781" w:rsidRDefault="003B43BB" w:rsidP="00B52781">
      <w:pPr>
        <w:rPr>
          <w:szCs w:val="22"/>
        </w:rPr>
      </w:pPr>
      <w:r>
        <w:rPr>
          <w:szCs w:val="22"/>
        </w:rPr>
        <w:t>E-m</w:t>
      </w:r>
      <w:r w:rsidR="00B52781" w:rsidRPr="00B52781">
        <w:rPr>
          <w:szCs w:val="22"/>
        </w:rPr>
        <w:t xml:space="preserve">ail: </w:t>
      </w:r>
      <w:hyperlink r:id="rId14" w:history="1">
        <w:r w:rsidR="00527914" w:rsidRPr="0013100F">
          <w:rPr>
            <w:rStyle w:val="Hypertextovodkaz"/>
            <w:szCs w:val="22"/>
          </w:rPr>
          <w:t>adr@uskvbl.cz</w:t>
        </w:r>
      </w:hyperlink>
      <w:r w:rsidR="00527914">
        <w:rPr>
          <w:szCs w:val="22"/>
        </w:rPr>
        <w:t xml:space="preserve"> </w:t>
      </w:r>
    </w:p>
    <w:p w14:paraId="604A6140" w14:textId="45AB48F6" w:rsidR="008C2C87" w:rsidRPr="008C2C87" w:rsidRDefault="008C2C87" w:rsidP="00B52781">
      <w:r>
        <w:t>Tel.: +420 720 940 693</w:t>
      </w:r>
    </w:p>
    <w:p w14:paraId="55BB8635" w14:textId="77777777" w:rsidR="00B52781" w:rsidRPr="00B52781" w:rsidRDefault="00B52781" w:rsidP="00B52781">
      <w:pPr>
        <w:rPr>
          <w:szCs w:val="22"/>
        </w:rPr>
      </w:pPr>
      <w:r w:rsidRPr="00B52781">
        <w:rPr>
          <w:szCs w:val="22"/>
        </w:rPr>
        <w:t>Webové stránky:</w:t>
      </w:r>
    </w:p>
    <w:p w14:paraId="456D1E33" w14:textId="3E50B193" w:rsidR="00B52781" w:rsidRPr="00B52781" w:rsidRDefault="00C06D89" w:rsidP="00B52781">
      <w:pPr>
        <w:rPr>
          <w:szCs w:val="22"/>
        </w:rPr>
      </w:pPr>
      <w:hyperlink r:id="rId15" w:history="1">
        <w:r w:rsidR="00527914" w:rsidRPr="0013100F">
          <w:rPr>
            <w:rStyle w:val="Hypertextovodkaz"/>
            <w:szCs w:val="22"/>
          </w:rPr>
          <w:t>http://www.uskvbl.cz/cs/farmakovigilance</w:t>
        </w:r>
      </w:hyperlink>
      <w:r w:rsidR="00527914">
        <w:rPr>
          <w:szCs w:val="22"/>
        </w:rPr>
        <w:t xml:space="preserve"> </w:t>
      </w:r>
    </w:p>
    <w:p w14:paraId="264F651A" w14:textId="77777777" w:rsidR="008C4643" w:rsidRPr="00F97D2B" w:rsidRDefault="008C4643" w:rsidP="008C4643">
      <w:pPr>
        <w:tabs>
          <w:tab w:val="clear" w:pos="567"/>
        </w:tabs>
        <w:spacing w:line="240" w:lineRule="auto"/>
        <w:rPr>
          <w:iCs/>
          <w:szCs w:val="22"/>
        </w:rPr>
      </w:pPr>
    </w:p>
    <w:p w14:paraId="7491CA30"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8.</w:t>
      </w:r>
      <w:r>
        <w:rPr>
          <w:b/>
          <w:szCs w:val="22"/>
        </w:rPr>
        <w:tab/>
        <w:t>Dávkování pro každý druh, cesty a způsob podání</w:t>
      </w:r>
    </w:p>
    <w:p w14:paraId="18068089" w14:textId="77777777" w:rsidR="008C4643" w:rsidRPr="00F97D2B" w:rsidRDefault="008C4643" w:rsidP="008C4643">
      <w:pPr>
        <w:tabs>
          <w:tab w:val="clear" w:pos="567"/>
        </w:tabs>
        <w:spacing w:line="240" w:lineRule="auto"/>
        <w:rPr>
          <w:szCs w:val="22"/>
        </w:rPr>
      </w:pPr>
    </w:p>
    <w:p w14:paraId="1CD0FABF" w14:textId="48031900" w:rsidR="004B0F6E" w:rsidRPr="00F97D2B" w:rsidRDefault="004B0F6E" w:rsidP="004B0F6E">
      <w:pPr>
        <w:tabs>
          <w:tab w:val="clear" w:pos="567"/>
        </w:tabs>
        <w:spacing w:line="240" w:lineRule="auto"/>
        <w:rPr>
          <w:szCs w:val="22"/>
        </w:rPr>
      </w:pPr>
      <w:r>
        <w:t>Psi a kočky: Intramuskulární (i</w:t>
      </w:r>
      <w:r w:rsidR="00204AA6">
        <w:t>.</w:t>
      </w:r>
      <w:r>
        <w:t>m</w:t>
      </w:r>
      <w:r w:rsidR="00204AA6">
        <w:t>.</w:t>
      </w:r>
      <w:r>
        <w:t>) nebo intravenózní (i</w:t>
      </w:r>
      <w:r w:rsidR="00204AA6">
        <w:t>.</w:t>
      </w:r>
      <w:r>
        <w:t>v</w:t>
      </w:r>
      <w:r w:rsidR="00204AA6">
        <w:t>.</w:t>
      </w:r>
      <w:r>
        <w:t>) podání.</w:t>
      </w:r>
    </w:p>
    <w:p w14:paraId="52894F68" w14:textId="72CB6202" w:rsidR="00306833" w:rsidRPr="00F97D2B" w:rsidRDefault="00306833" w:rsidP="00306833">
      <w:pPr>
        <w:tabs>
          <w:tab w:val="clear" w:pos="567"/>
        </w:tabs>
        <w:spacing w:line="240" w:lineRule="auto"/>
        <w:rPr>
          <w:szCs w:val="22"/>
        </w:rPr>
      </w:pPr>
      <w:r>
        <w:t>Koně: Intravenózní (i</w:t>
      </w:r>
      <w:r w:rsidR="00204AA6">
        <w:t>.</w:t>
      </w:r>
      <w:r>
        <w:t>v</w:t>
      </w:r>
      <w:r w:rsidR="00204AA6">
        <w:t>.</w:t>
      </w:r>
      <w:r>
        <w:t>) podání</w:t>
      </w:r>
      <w:r w:rsidR="00204AA6">
        <w:t>.</w:t>
      </w:r>
    </w:p>
    <w:p w14:paraId="1830205F" w14:textId="77777777" w:rsidR="004B0F6E" w:rsidRPr="00F97D2B" w:rsidRDefault="004B0F6E" w:rsidP="004B0F6E">
      <w:pPr>
        <w:tabs>
          <w:tab w:val="clear" w:pos="567"/>
        </w:tabs>
        <w:spacing w:line="240" w:lineRule="auto"/>
        <w:rPr>
          <w:szCs w:val="22"/>
        </w:rPr>
      </w:pPr>
    </w:p>
    <w:tbl>
      <w:tblPr>
        <w:tblStyle w:val="Mkatabulky"/>
        <w:tblW w:w="0" w:type="auto"/>
        <w:tblLook w:val="04A0" w:firstRow="1" w:lastRow="0" w:firstColumn="1" w:lastColumn="0" w:noHBand="0" w:noVBand="1"/>
      </w:tblPr>
      <w:tblGrid>
        <w:gridCol w:w="1253"/>
        <w:gridCol w:w="2183"/>
        <w:gridCol w:w="2960"/>
        <w:gridCol w:w="2665"/>
      </w:tblGrid>
      <w:tr w:rsidR="004B0F6E" w:rsidRPr="00F97D2B" w14:paraId="503EB337" w14:textId="77777777" w:rsidTr="00365679">
        <w:tc>
          <w:tcPr>
            <w:tcW w:w="1253" w:type="dxa"/>
          </w:tcPr>
          <w:p w14:paraId="09568BB8" w14:textId="77777777" w:rsidR="004B0F6E" w:rsidRPr="00F97D2B" w:rsidRDefault="004B0F6E" w:rsidP="00365679">
            <w:pPr>
              <w:tabs>
                <w:tab w:val="clear" w:pos="567"/>
              </w:tabs>
              <w:spacing w:line="240" w:lineRule="auto"/>
              <w:rPr>
                <w:szCs w:val="22"/>
              </w:rPr>
            </w:pPr>
            <w:r>
              <w:t>Cílový druh zvířat</w:t>
            </w:r>
          </w:p>
        </w:tc>
        <w:tc>
          <w:tcPr>
            <w:tcW w:w="2183" w:type="dxa"/>
          </w:tcPr>
          <w:p w14:paraId="583AD5F4" w14:textId="77777777" w:rsidR="004B0F6E" w:rsidRPr="00F97D2B" w:rsidRDefault="004B0F6E" w:rsidP="00365679">
            <w:pPr>
              <w:tabs>
                <w:tab w:val="clear" w:pos="567"/>
              </w:tabs>
              <w:spacing w:line="240" w:lineRule="auto"/>
              <w:rPr>
                <w:szCs w:val="22"/>
              </w:rPr>
            </w:pPr>
            <w:r>
              <w:t>Cesta podání</w:t>
            </w:r>
          </w:p>
        </w:tc>
        <w:tc>
          <w:tcPr>
            <w:tcW w:w="2960" w:type="dxa"/>
          </w:tcPr>
          <w:p w14:paraId="642ECFC0" w14:textId="77777777" w:rsidR="004B0F6E" w:rsidRPr="00F97D2B" w:rsidRDefault="004B0F6E" w:rsidP="00365679">
            <w:pPr>
              <w:tabs>
                <w:tab w:val="clear" w:pos="567"/>
              </w:tabs>
              <w:spacing w:line="240" w:lineRule="auto"/>
              <w:rPr>
                <w:szCs w:val="22"/>
              </w:rPr>
            </w:pPr>
            <w:r>
              <w:t>Pooperační analgezie</w:t>
            </w:r>
          </w:p>
        </w:tc>
        <w:tc>
          <w:tcPr>
            <w:tcW w:w="2665" w:type="dxa"/>
          </w:tcPr>
          <w:p w14:paraId="72E4D7FB" w14:textId="77777777" w:rsidR="004B0F6E" w:rsidRPr="00F97D2B" w:rsidRDefault="004B0F6E" w:rsidP="00365679">
            <w:pPr>
              <w:tabs>
                <w:tab w:val="clear" w:pos="567"/>
              </w:tabs>
              <w:spacing w:line="240" w:lineRule="auto"/>
              <w:rPr>
                <w:szCs w:val="22"/>
              </w:rPr>
            </w:pPr>
            <w:r>
              <w:t>Zesílení sedace</w:t>
            </w:r>
          </w:p>
        </w:tc>
      </w:tr>
      <w:tr w:rsidR="004B0F6E" w:rsidRPr="00F97D2B" w14:paraId="6E163109" w14:textId="77777777" w:rsidTr="00365679">
        <w:tc>
          <w:tcPr>
            <w:tcW w:w="1253" w:type="dxa"/>
          </w:tcPr>
          <w:p w14:paraId="77CD03FF" w14:textId="77777777" w:rsidR="004B0F6E" w:rsidRPr="00F97D2B" w:rsidRDefault="004B0F6E" w:rsidP="00365679">
            <w:pPr>
              <w:tabs>
                <w:tab w:val="clear" w:pos="567"/>
              </w:tabs>
              <w:spacing w:line="240" w:lineRule="auto"/>
              <w:rPr>
                <w:szCs w:val="22"/>
              </w:rPr>
            </w:pPr>
            <w:r>
              <w:t>Psi</w:t>
            </w:r>
          </w:p>
        </w:tc>
        <w:tc>
          <w:tcPr>
            <w:tcW w:w="2183" w:type="dxa"/>
          </w:tcPr>
          <w:p w14:paraId="0F1F3F3B" w14:textId="77777777" w:rsidR="004B0F6E" w:rsidRPr="00F97D2B" w:rsidRDefault="004B0F6E" w:rsidP="00365679">
            <w:pPr>
              <w:tabs>
                <w:tab w:val="clear" w:pos="567"/>
              </w:tabs>
              <w:spacing w:line="240" w:lineRule="auto"/>
              <w:rPr>
                <w:szCs w:val="22"/>
              </w:rPr>
            </w:pPr>
            <w:r>
              <w:t xml:space="preserve">Intramuskulární nebo intravenózní podání </w:t>
            </w:r>
          </w:p>
        </w:tc>
        <w:tc>
          <w:tcPr>
            <w:tcW w:w="2960" w:type="dxa"/>
          </w:tcPr>
          <w:p w14:paraId="3CC97BFF" w14:textId="31099287" w:rsidR="004B0F6E" w:rsidRPr="00F97D2B" w:rsidRDefault="004B0F6E" w:rsidP="00365679">
            <w:pPr>
              <w:tabs>
                <w:tab w:val="clear" w:pos="567"/>
              </w:tabs>
              <w:spacing w:line="240" w:lineRule="auto"/>
              <w:rPr>
                <w:szCs w:val="22"/>
              </w:rPr>
            </w:pPr>
            <w:r>
              <w:t xml:space="preserve">10–20 μg/kg*; odpovídá 0,3 až 0,6 ml </w:t>
            </w:r>
            <w:r w:rsidR="00204AA6">
              <w:t>veterinárního léčivého přípravku/</w:t>
            </w:r>
            <w:r>
              <w:t xml:space="preserve">10 kg. </w:t>
            </w:r>
          </w:p>
          <w:p w14:paraId="18A6BD01" w14:textId="77777777" w:rsidR="004B0F6E" w:rsidRPr="00F97D2B" w:rsidRDefault="004B0F6E" w:rsidP="00365679">
            <w:pPr>
              <w:tabs>
                <w:tab w:val="clear" w:pos="567"/>
              </w:tabs>
              <w:spacing w:line="240" w:lineRule="auto"/>
              <w:rPr>
                <w:szCs w:val="22"/>
              </w:rPr>
            </w:pPr>
          </w:p>
          <w:p w14:paraId="4FADA142" w14:textId="77777777" w:rsidR="004B0F6E" w:rsidRPr="00F97D2B" w:rsidRDefault="004B0F6E" w:rsidP="00365679">
            <w:pPr>
              <w:tabs>
                <w:tab w:val="clear" w:pos="567"/>
              </w:tabs>
              <w:spacing w:line="240" w:lineRule="auto"/>
              <w:rPr>
                <w:szCs w:val="22"/>
              </w:rPr>
            </w:pPr>
            <w:r>
              <w:t>Pro další úlevu od bolesti opakujte v případě potřeby po:</w:t>
            </w:r>
          </w:p>
          <w:p w14:paraId="53104F45" w14:textId="44ECE95F" w:rsidR="004B0F6E" w:rsidRPr="00F97D2B" w:rsidRDefault="004B0F6E" w:rsidP="00365679">
            <w:pPr>
              <w:pStyle w:val="Odstavecseseznamem"/>
              <w:numPr>
                <w:ilvl w:val="0"/>
                <w:numId w:val="39"/>
              </w:numPr>
              <w:tabs>
                <w:tab w:val="clear" w:pos="567"/>
              </w:tabs>
              <w:spacing w:line="240" w:lineRule="auto"/>
              <w:rPr>
                <w:szCs w:val="22"/>
              </w:rPr>
            </w:pPr>
            <w:r>
              <w:t>3–4 hodinách s dávkou 10 μg/kg; nebo</w:t>
            </w:r>
          </w:p>
          <w:p w14:paraId="33BDF24B" w14:textId="572EB281" w:rsidR="004B0F6E" w:rsidRPr="00F97D2B" w:rsidRDefault="004B0F6E" w:rsidP="00365679">
            <w:pPr>
              <w:pStyle w:val="Odstavecseseznamem"/>
              <w:numPr>
                <w:ilvl w:val="0"/>
                <w:numId w:val="39"/>
              </w:numPr>
              <w:tabs>
                <w:tab w:val="clear" w:pos="567"/>
              </w:tabs>
              <w:spacing w:line="240" w:lineRule="auto"/>
              <w:rPr>
                <w:szCs w:val="22"/>
              </w:rPr>
            </w:pPr>
            <w:r>
              <w:t>5–6 hodinách s dávkou 20 μg/kg.</w:t>
            </w:r>
          </w:p>
        </w:tc>
        <w:tc>
          <w:tcPr>
            <w:tcW w:w="2665" w:type="dxa"/>
          </w:tcPr>
          <w:p w14:paraId="1904F420" w14:textId="5747149E" w:rsidR="004B0F6E" w:rsidRPr="00F97D2B" w:rsidRDefault="004B0F6E" w:rsidP="00365679">
            <w:pPr>
              <w:tabs>
                <w:tab w:val="clear" w:pos="567"/>
              </w:tabs>
              <w:spacing w:line="240" w:lineRule="auto"/>
              <w:rPr>
                <w:szCs w:val="22"/>
              </w:rPr>
            </w:pPr>
            <w:r>
              <w:t>10–20 μg/kg*; odpovídá 0,3 až 0,6 ml</w:t>
            </w:r>
            <w:r w:rsidR="00204AA6">
              <w:t xml:space="preserve"> veterinárního léčivého přípravku/</w:t>
            </w:r>
            <w:r>
              <w:t xml:space="preserve">10 kg. </w:t>
            </w:r>
          </w:p>
        </w:tc>
      </w:tr>
      <w:tr w:rsidR="004B0F6E" w:rsidRPr="00F97D2B" w14:paraId="725F6CE8" w14:textId="77777777" w:rsidTr="00365679">
        <w:tc>
          <w:tcPr>
            <w:tcW w:w="1253" w:type="dxa"/>
          </w:tcPr>
          <w:p w14:paraId="64641610" w14:textId="77777777" w:rsidR="004B0F6E" w:rsidRPr="00F97D2B" w:rsidRDefault="004B0F6E" w:rsidP="00365679">
            <w:pPr>
              <w:tabs>
                <w:tab w:val="clear" w:pos="567"/>
              </w:tabs>
              <w:spacing w:line="240" w:lineRule="auto"/>
              <w:rPr>
                <w:szCs w:val="22"/>
              </w:rPr>
            </w:pPr>
            <w:r>
              <w:t>Kočky</w:t>
            </w:r>
          </w:p>
        </w:tc>
        <w:tc>
          <w:tcPr>
            <w:tcW w:w="2183" w:type="dxa"/>
          </w:tcPr>
          <w:p w14:paraId="6EAF3DF3" w14:textId="77777777" w:rsidR="004B0F6E" w:rsidRPr="00F97D2B" w:rsidRDefault="004B0F6E" w:rsidP="00365679">
            <w:pPr>
              <w:tabs>
                <w:tab w:val="clear" w:pos="567"/>
              </w:tabs>
              <w:spacing w:line="240" w:lineRule="auto"/>
              <w:rPr>
                <w:szCs w:val="22"/>
              </w:rPr>
            </w:pPr>
            <w:r>
              <w:t xml:space="preserve">Intramuskulární nebo intravenózní podání </w:t>
            </w:r>
          </w:p>
        </w:tc>
        <w:tc>
          <w:tcPr>
            <w:tcW w:w="2960" w:type="dxa"/>
          </w:tcPr>
          <w:p w14:paraId="242A0D58" w14:textId="5CEEC77D" w:rsidR="002F7113" w:rsidRPr="00F97D2B" w:rsidRDefault="002F7113" w:rsidP="002F7113">
            <w:pPr>
              <w:tabs>
                <w:tab w:val="clear" w:pos="567"/>
              </w:tabs>
              <w:spacing w:line="240" w:lineRule="auto"/>
              <w:rPr>
                <w:szCs w:val="22"/>
              </w:rPr>
            </w:pPr>
            <w:r>
              <w:t>10–20 μg/kg*; odpovídá 0,03 až 0,06 ml</w:t>
            </w:r>
            <w:r w:rsidR="00204AA6">
              <w:t xml:space="preserve"> veterinárního léčivého přípravku/</w:t>
            </w:r>
            <w:r>
              <w:t xml:space="preserve">1 kg. </w:t>
            </w:r>
          </w:p>
          <w:p w14:paraId="19A2E7B6" w14:textId="77777777" w:rsidR="004B0F6E" w:rsidRPr="00F97D2B" w:rsidRDefault="004B0F6E" w:rsidP="00365679">
            <w:pPr>
              <w:tabs>
                <w:tab w:val="clear" w:pos="567"/>
              </w:tabs>
              <w:spacing w:line="240" w:lineRule="auto"/>
              <w:rPr>
                <w:szCs w:val="22"/>
              </w:rPr>
            </w:pPr>
          </w:p>
          <w:p w14:paraId="199FE86B" w14:textId="77777777" w:rsidR="004B0F6E" w:rsidRPr="00F97D2B" w:rsidRDefault="004B0F6E" w:rsidP="00365679">
            <w:pPr>
              <w:tabs>
                <w:tab w:val="clear" w:pos="567"/>
              </w:tabs>
              <w:spacing w:line="240" w:lineRule="auto"/>
              <w:rPr>
                <w:szCs w:val="22"/>
              </w:rPr>
            </w:pPr>
            <w:r>
              <w:t>Pro další úlevu od bolesti opakujte v případě potřeby:</w:t>
            </w:r>
          </w:p>
          <w:p w14:paraId="26A4064C" w14:textId="77777777" w:rsidR="004B0F6E" w:rsidRPr="00F97D2B" w:rsidRDefault="004B0F6E" w:rsidP="00365679">
            <w:pPr>
              <w:pStyle w:val="Odstavecseseznamem"/>
              <w:numPr>
                <w:ilvl w:val="0"/>
                <w:numId w:val="39"/>
              </w:numPr>
              <w:tabs>
                <w:tab w:val="clear" w:pos="567"/>
              </w:tabs>
              <w:spacing w:line="240" w:lineRule="auto"/>
              <w:rPr>
                <w:szCs w:val="22"/>
              </w:rPr>
            </w:pPr>
            <w:r>
              <w:t>Jednou po 1–2 hodinách</w:t>
            </w:r>
          </w:p>
        </w:tc>
        <w:tc>
          <w:tcPr>
            <w:tcW w:w="2665" w:type="dxa"/>
          </w:tcPr>
          <w:p w14:paraId="7D9258A3" w14:textId="77777777" w:rsidR="004B0F6E" w:rsidRPr="00F97D2B" w:rsidRDefault="004B0F6E" w:rsidP="00365679">
            <w:pPr>
              <w:tabs>
                <w:tab w:val="clear" w:pos="567"/>
              </w:tabs>
              <w:spacing w:line="240" w:lineRule="auto"/>
              <w:rPr>
                <w:szCs w:val="22"/>
              </w:rPr>
            </w:pPr>
            <w:r>
              <w:t>–</w:t>
            </w:r>
          </w:p>
        </w:tc>
      </w:tr>
      <w:tr w:rsidR="00306833" w:rsidRPr="00F97D2B" w14:paraId="30E9593C" w14:textId="77777777" w:rsidTr="00365679">
        <w:tc>
          <w:tcPr>
            <w:tcW w:w="1253" w:type="dxa"/>
          </w:tcPr>
          <w:p w14:paraId="7E9194AA" w14:textId="10FB33B4" w:rsidR="00306833" w:rsidRPr="00F97D2B" w:rsidRDefault="00306833" w:rsidP="00306833">
            <w:pPr>
              <w:tabs>
                <w:tab w:val="clear" w:pos="567"/>
              </w:tabs>
              <w:spacing w:line="240" w:lineRule="auto"/>
              <w:rPr>
                <w:szCs w:val="22"/>
              </w:rPr>
            </w:pPr>
            <w:r>
              <w:t>Koně</w:t>
            </w:r>
          </w:p>
        </w:tc>
        <w:tc>
          <w:tcPr>
            <w:tcW w:w="2183" w:type="dxa"/>
          </w:tcPr>
          <w:p w14:paraId="3201430E" w14:textId="4F67FB4C" w:rsidR="00306833" w:rsidRPr="00F97D2B" w:rsidRDefault="00306833" w:rsidP="00306833">
            <w:pPr>
              <w:tabs>
                <w:tab w:val="clear" w:pos="567"/>
              </w:tabs>
              <w:spacing w:line="240" w:lineRule="auto"/>
              <w:rPr>
                <w:szCs w:val="22"/>
              </w:rPr>
            </w:pPr>
            <w:r>
              <w:t xml:space="preserve">Intravenózní </w:t>
            </w:r>
            <w:r w:rsidR="00204AA6">
              <w:t>podání</w:t>
            </w:r>
          </w:p>
        </w:tc>
        <w:tc>
          <w:tcPr>
            <w:tcW w:w="2960" w:type="dxa"/>
          </w:tcPr>
          <w:p w14:paraId="3312DC8C" w14:textId="63207A3C" w:rsidR="00306833" w:rsidRPr="00F97D2B" w:rsidRDefault="00306833" w:rsidP="00306833">
            <w:pPr>
              <w:tabs>
                <w:tab w:val="clear" w:pos="567"/>
              </w:tabs>
              <w:spacing w:line="240" w:lineRule="auto"/>
              <w:rPr>
                <w:szCs w:val="22"/>
              </w:rPr>
            </w:pPr>
            <w:r>
              <w:t xml:space="preserve">10 </w:t>
            </w:r>
            <w:proofErr w:type="spellStart"/>
            <w:r>
              <w:t>μg</w:t>
            </w:r>
            <w:proofErr w:type="spellEnd"/>
            <w:r>
              <w:t>/kg*; odpovídá 3,3 ml</w:t>
            </w:r>
            <w:r w:rsidR="00204AA6">
              <w:t xml:space="preserve"> veterinárního léčivého přípravku/</w:t>
            </w:r>
            <w:r>
              <w:t>100 kg, 5 minut po</w:t>
            </w:r>
          </w:p>
          <w:p w14:paraId="75A3A785" w14:textId="77777777" w:rsidR="00306833" w:rsidRPr="00F97D2B" w:rsidRDefault="00306833" w:rsidP="00306833">
            <w:pPr>
              <w:tabs>
                <w:tab w:val="clear" w:pos="567"/>
              </w:tabs>
              <w:spacing w:line="240" w:lineRule="auto"/>
              <w:rPr>
                <w:szCs w:val="22"/>
              </w:rPr>
            </w:pPr>
            <w:r>
              <w:t>podání intravenózního sedativa.</w:t>
            </w:r>
          </w:p>
          <w:p w14:paraId="225E9028" w14:textId="77777777" w:rsidR="00306833" w:rsidRPr="00F97D2B" w:rsidRDefault="00306833" w:rsidP="00306833">
            <w:pPr>
              <w:tabs>
                <w:tab w:val="clear" w:pos="567"/>
              </w:tabs>
              <w:spacing w:line="240" w:lineRule="auto"/>
              <w:rPr>
                <w:szCs w:val="22"/>
              </w:rPr>
            </w:pPr>
          </w:p>
          <w:p w14:paraId="20CD054E" w14:textId="77777777" w:rsidR="00306833" w:rsidRPr="00F97D2B" w:rsidRDefault="00306833" w:rsidP="00306833">
            <w:pPr>
              <w:tabs>
                <w:tab w:val="clear" w:pos="567"/>
              </w:tabs>
              <w:spacing w:line="240" w:lineRule="auto"/>
              <w:rPr>
                <w:szCs w:val="22"/>
              </w:rPr>
            </w:pPr>
            <w:r>
              <w:t>Pro další úlevu od bolesti opakujte v případě potřeby:</w:t>
            </w:r>
          </w:p>
          <w:p w14:paraId="75764F51" w14:textId="745152B5" w:rsidR="00306833" w:rsidRPr="00F97D2B" w:rsidRDefault="00306833" w:rsidP="000135C1">
            <w:pPr>
              <w:tabs>
                <w:tab w:val="clear" w:pos="567"/>
              </w:tabs>
              <w:spacing w:line="240" w:lineRule="auto"/>
              <w:rPr>
                <w:szCs w:val="22"/>
              </w:rPr>
            </w:pPr>
            <w:r>
              <w:t>jednou, po ne méně než 1–2 hodinách.</w:t>
            </w:r>
          </w:p>
        </w:tc>
        <w:tc>
          <w:tcPr>
            <w:tcW w:w="2665" w:type="dxa"/>
          </w:tcPr>
          <w:p w14:paraId="56CDD175" w14:textId="6FFE31A7" w:rsidR="00306833" w:rsidRPr="00F97D2B" w:rsidRDefault="00306833" w:rsidP="00306833">
            <w:pPr>
              <w:tabs>
                <w:tab w:val="clear" w:pos="567"/>
              </w:tabs>
              <w:spacing w:line="240" w:lineRule="auto"/>
              <w:rPr>
                <w:szCs w:val="22"/>
              </w:rPr>
            </w:pPr>
            <w:r>
              <w:t xml:space="preserve">5 </w:t>
            </w:r>
            <w:proofErr w:type="spellStart"/>
            <w:r>
              <w:t>μg</w:t>
            </w:r>
            <w:proofErr w:type="spellEnd"/>
            <w:r>
              <w:t>/kg*; odpovídá 1,7 ml</w:t>
            </w:r>
            <w:r w:rsidR="00204AA6">
              <w:t xml:space="preserve"> veterinárního léčivého přípravku/</w:t>
            </w:r>
            <w:r>
              <w:t>100 kg, 5 minut po podání intravenózního sedativa. Dávku lze v případě potřeby po 10 minutách opakovat.</w:t>
            </w:r>
          </w:p>
        </w:tc>
      </w:tr>
    </w:tbl>
    <w:p w14:paraId="51E1FEAF" w14:textId="05C3B60D" w:rsidR="004B0F6E" w:rsidRPr="00F97D2B" w:rsidRDefault="004B0F6E" w:rsidP="004B0F6E">
      <w:pPr>
        <w:tabs>
          <w:tab w:val="clear" w:pos="567"/>
        </w:tabs>
        <w:spacing w:line="240" w:lineRule="auto"/>
        <w:rPr>
          <w:szCs w:val="22"/>
        </w:rPr>
      </w:pPr>
      <w:r>
        <w:t xml:space="preserve">*) Dávky vyjádřené v μg/kg v tabulce výše se vztahují k buprenorfinu (jako hydrochloridu). Údaje v kg v tabulce se vztahují k </w:t>
      </w:r>
      <w:r w:rsidR="00204AA6">
        <w:t>živ</w:t>
      </w:r>
      <w:r>
        <w:t>é hmotnosti.</w:t>
      </w:r>
    </w:p>
    <w:p w14:paraId="71B9340B" w14:textId="77777777" w:rsidR="008C4643" w:rsidRPr="00F97D2B" w:rsidRDefault="008C4643" w:rsidP="008C4643">
      <w:pPr>
        <w:tabs>
          <w:tab w:val="clear" w:pos="567"/>
        </w:tabs>
        <w:spacing w:line="240" w:lineRule="auto"/>
        <w:rPr>
          <w:szCs w:val="22"/>
        </w:rPr>
      </w:pPr>
    </w:p>
    <w:p w14:paraId="690E7EF5"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9.</w:t>
      </w:r>
      <w:r>
        <w:rPr>
          <w:b/>
          <w:szCs w:val="22"/>
        </w:rPr>
        <w:tab/>
        <w:t>Informace o správném podávání</w:t>
      </w:r>
    </w:p>
    <w:p w14:paraId="6C296BAC" w14:textId="77777777" w:rsidR="008C4643" w:rsidRPr="00F97D2B" w:rsidRDefault="008C4643" w:rsidP="008C4643">
      <w:pPr>
        <w:tabs>
          <w:tab w:val="clear" w:pos="567"/>
        </w:tabs>
        <w:spacing w:line="240" w:lineRule="auto"/>
        <w:rPr>
          <w:szCs w:val="22"/>
        </w:rPr>
      </w:pPr>
    </w:p>
    <w:p w14:paraId="1C24E53E" w14:textId="636F65A9" w:rsidR="004B0F6E" w:rsidRPr="00F97D2B" w:rsidRDefault="004B0F6E" w:rsidP="004B0F6E">
      <w:pPr>
        <w:tabs>
          <w:tab w:val="clear" w:pos="567"/>
        </w:tabs>
        <w:spacing w:line="240" w:lineRule="auto"/>
        <w:rPr>
          <w:szCs w:val="22"/>
        </w:rPr>
      </w:pPr>
      <w:r>
        <w:t xml:space="preserve">U psů se sedativní účinky dostaví do 15 minut po podání.  U psů, koček a koní se analgetický účinek nemusí plně projevit dříve než po 30 minutách. Aby byla zajištěna analgezie během operace a bezprostředně po ní, měl by být </w:t>
      </w:r>
      <w:r w:rsidR="00204AA6">
        <w:t xml:space="preserve">veterinární léčivý </w:t>
      </w:r>
      <w:r>
        <w:t>přípravek podán před operací jako součást premedikace.</w:t>
      </w:r>
    </w:p>
    <w:p w14:paraId="4E7B367E" w14:textId="77777777" w:rsidR="004B0F6E" w:rsidRPr="00F97D2B" w:rsidRDefault="004B0F6E" w:rsidP="004B0F6E">
      <w:pPr>
        <w:tabs>
          <w:tab w:val="clear" w:pos="567"/>
        </w:tabs>
        <w:spacing w:line="240" w:lineRule="auto"/>
        <w:rPr>
          <w:szCs w:val="22"/>
        </w:rPr>
      </w:pPr>
    </w:p>
    <w:p w14:paraId="76AEA318" w14:textId="402BD73B" w:rsidR="00D70ADF" w:rsidRDefault="00D70ADF" w:rsidP="00D70ADF">
      <w:pPr>
        <w:tabs>
          <w:tab w:val="clear" w:pos="567"/>
        </w:tabs>
        <w:spacing w:line="240" w:lineRule="auto"/>
        <w:rPr>
          <w:szCs w:val="22"/>
        </w:rPr>
      </w:pPr>
      <w:r>
        <w:t xml:space="preserve">Při použití u koní by mělo být do pěti minut před </w:t>
      </w:r>
      <w:r w:rsidR="00204AA6">
        <w:t>podáním</w:t>
      </w:r>
      <w:r>
        <w:t xml:space="preserve"> buprenorfinu podáno intravenózní sedativum.</w:t>
      </w:r>
    </w:p>
    <w:p w14:paraId="4C5C70EE" w14:textId="77777777" w:rsidR="00D70ADF" w:rsidRPr="00F97D2B" w:rsidRDefault="00D70ADF" w:rsidP="00D70ADF">
      <w:pPr>
        <w:tabs>
          <w:tab w:val="clear" w:pos="567"/>
        </w:tabs>
        <w:spacing w:line="240" w:lineRule="auto"/>
        <w:rPr>
          <w:szCs w:val="22"/>
        </w:rPr>
      </w:pPr>
    </w:p>
    <w:p w14:paraId="67E657BD" w14:textId="77777777" w:rsidR="004B0F6E" w:rsidRPr="00F97D2B" w:rsidRDefault="004B0F6E" w:rsidP="004B0F6E">
      <w:pPr>
        <w:tabs>
          <w:tab w:val="clear" w:pos="567"/>
        </w:tabs>
        <w:spacing w:line="240" w:lineRule="auto"/>
        <w:rPr>
          <w:szCs w:val="22"/>
        </w:rPr>
      </w:pPr>
      <w:r>
        <w:t>Pokud se podává k zesílení sedace nebo jako součást premedikace, je třeba snížit dávku jiných centrálně působících látek, jako je acepromazin nebo medetomidin. Snížení bude záviset na požadovaném stupni sedace, individuálním stavu zvířete, typu dalších látek obsažených v premedikaci a na tom, jak má být anestezie navozena a udržována. Může být také vhodné snížit množství používaného inhalačního anestetika.</w:t>
      </w:r>
    </w:p>
    <w:p w14:paraId="0AC0D0F2" w14:textId="77777777" w:rsidR="004B0F6E" w:rsidRPr="00F97D2B" w:rsidRDefault="004B0F6E" w:rsidP="004B0F6E">
      <w:pPr>
        <w:tabs>
          <w:tab w:val="clear" w:pos="567"/>
        </w:tabs>
        <w:spacing w:line="240" w:lineRule="auto"/>
        <w:rPr>
          <w:szCs w:val="22"/>
        </w:rPr>
      </w:pPr>
    </w:p>
    <w:p w14:paraId="221C7AE1" w14:textId="28107C2D" w:rsidR="004B0F6E" w:rsidRPr="00F97D2B" w:rsidRDefault="004B0F6E" w:rsidP="004B0F6E">
      <w:pPr>
        <w:tabs>
          <w:tab w:val="clear" w:pos="567"/>
        </w:tabs>
        <w:spacing w:line="240" w:lineRule="auto"/>
        <w:rPr>
          <w:szCs w:val="22"/>
        </w:rPr>
      </w:pPr>
      <w:r>
        <w:t>Zvířata, kterým byly podávány opioidy se sedativními a analgetickými účinky, mohou vykazovat různé reakce. Proto je třeba sledovat reakci jednotlivých zvířat a následné dávky odpovídajícím způsobem upravit. V některých případech nemusí opakované dávky poskytnout další analgetický účinek. V těchto případech je na zvážení, zda nepoužít vhodné injekčně aplikovan</w:t>
      </w:r>
      <w:r w:rsidR="00204AA6">
        <w:t>á</w:t>
      </w:r>
      <w:r>
        <w:t xml:space="preserve"> nesteroidní protizánětliv</w:t>
      </w:r>
      <w:r w:rsidR="00204AA6">
        <w:t>á</w:t>
      </w:r>
      <w:r>
        <w:t xml:space="preserve"> lé</w:t>
      </w:r>
      <w:r w:rsidR="00204AA6">
        <w:t>čiva</w:t>
      </w:r>
      <w:r>
        <w:t xml:space="preserve"> (NSAID).</w:t>
      </w:r>
    </w:p>
    <w:p w14:paraId="39A2CE99" w14:textId="77777777" w:rsidR="004B0F6E" w:rsidRPr="00F97D2B" w:rsidRDefault="004B0F6E" w:rsidP="004B0F6E">
      <w:pPr>
        <w:tabs>
          <w:tab w:val="clear" w:pos="567"/>
        </w:tabs>
        <w:spacing w:line="240" w:lineRule="auto"/>
        <w:rPr>
          <w:szCs w:val="22"/>
        </w:rPr>
      </w:pPr>
    </w:p>
    <w:p w14:paraId="35DC9AA6" w14:textId="1E725E77" w:rsidR="004B0F6E" w:rsidRPr="00F97D2B" w:rsidRDefault="004B0F6E" w:rsidP="004B0F6E">
      <w:pPr>
        <w:tabs>
          <w:tab w:val="clear" w:pos="567"/>
        </w:tabs>
        <w:spacing w:line="240" w:lineRule="auto"/>
        <w:rPr>
          <w:szCs w:val="22"/>
        </w:rPr>
      </w:pPr>
      <w:r>
        <w:lastRenderedPageBreak/>
        <w:t xml:space="preserve">Vzhledem k malému objemu podávaného veterinárního léčivého přípravku, zejména u malých psů a koček, je třeba dbát zvýšené opatrnosti při použití vhodně dělené stříkačky, aby se zajistilo přesné dávkování. </w:t>
      </w:r>
    </w:p>
    <w:p w14:paraId="6B25AEB0" w14:textId="7B5CD858" w:rsidR="004B0F6E" w:rsidRPr="00F97D2B" w:rsidRDefault="004B0F6E" w:rsidP="004B0F6E">
      <w:pPr>
        <w:tabs>
          <w:tab w:val="clear" w:pos="567"/>
        </w:tabs>
        <w:spacing w:line="240" w:lineRule="auto"/>
        <w:rPr>
          <w:szCs w:val="22"/>
        </w:rPr>
      </w:pPr>
      <w:r>
        <w:t xml:space="preserve">Zátku lze propíchnout </w:t>
      </w:r>
      <w:r w:rsidR="002E2902">
        <w:t>max.</w:t>
      </w:r>
      <w:r>
        <w:t xml:space="preserve"> 25krát.</w:t>
      </w:r>
    </w:p>
    <w:p w14:paraId="0109B025" w14:textId="77777777" w:rsidR="008C4643" w:rsidRPr="00F97D2B" w:rsidRDefault="008C4643" w:rsidP="008C4643">
      <w:pPr>
        <w:tabs>
          <w:tab w:val="clear" w:pos="567"/>
        </w:tabs>
        <w:spacing w:line="240" w:lineRule="auto"/>
        <w:rPr>
          <w:iCs/>
          <w:szCs w:val="22"/>
        </w:rPr>
      </w:pPr>
    </w:p>
    <w:p w14:paraId="6BB72F37"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10.</w:t>
      </w:r>
      <w:r>
        <w:rPr>
          <w:b/>
          <w:szCs w:val="22"/>
        </w:rPr>
        <w:tab/>
        <w:t>Ochranné lhůty</w:t>
      </w:r>
    </w:p>
    <w:p w14:paraId="6D9B3E86" w14:textId="77777777" w:rsidR="008C4643" w:rsidRPr="00F97D2B" w:rsidRDefault="008C4643" w:rsidP="008C4643">
      <w:pPr>
        <w:tabs>
          <w:tab w:val="clear" w:pos="567"/>
        </w:tabs>
        <w:spacing w:line="240" w:lineRule="auto"/>
        <w:rPr>
          <w:iCs/>
          <w:szCs w:val="22"/>
        </w:rPr>
      </w:pPr>
    </w:p>
    <w:p w14:paraId="24CE50D0" w14:textId="0E69740F" w:rsidR="00D70ADF" w:rsidRPr="00075119" w:rsidRDefault="008C4643" w:rsidP="00D70ADF">
      <w:pPr>
        <w:tabs>
          <w:tab w:val="clear" w:pos="567"/>
          <w:tab w:val="left" w:pos="0"/>
        </w:tabs>
        <w:spacing w:line="240" w:lineRule="auto"/>
        <w:rPr>
          <w:bCs/>
          <w:szCs w:val="22"/>
        </w:rPr>
      </w:pPr>
      <w:bookmarkStart w:id="0" w:name="_Hlk227311504"/>
      <w:r>
        <w:t xml:space="preserve">Nepoužívat u koní určených </w:t>
      </w:r>
      <w:r w:rsidR="004710CF">
        <w:t>pro</w:t>
      </w:r>
      <w:r>
        <w:t xml:space="preserve"> lidsk</w:t>
      </w:r>
      <w:r w:rsidR="004710CF">
        <w:t>ou</w:t>
      </w:r>
      <w:r>
        <w:t xml:space="preserve"> spotřeb</w:t>
      </w:r>
      <w:r w:rsidR="004710CF">
        <w:t>u</w:t>
      </w:r>
      <w:r>
        <w:t xml:space="preserve">. </w:t>
      </w:r>
    </w:p>
    <w:p w14:paraId="6EB2D6FC" w14:textId="77777777" w:rsidR="003D43A1" w:rsidRPr="00AA79A8" w:rsidRDefault="003D43A1" w:rsidP="003D43A1">
      <w:pPr>
        <w:jc w:val="both"/>
        <w:rPr>
          <w:szCs w:val="22"/>
        </w:rPr>
      </w:pPr>
      <w:bookmarkStart w:id="1" w:name="_Hlk5269775"/>
      <w:bookmarkEnd w:id="0"/>
      <w:r>
        <w:t>Koně ošetřeni tímto přípravkem nesmí být již nikdy určeni pro lidskou spotřebu.</w:t>
      </w:r>
    </w:p>
    <w:bookmarkEnd w:id="1"/>
    <w:p w14:paraId="5DEE6340" w14:textId="77777777" w:rsidR="003D43A1" w:rsidRPr="008D2B49" w:rsidRDefault="003D43A1" w:rsidP="003D43A1">
      <w:pPr>
        <w:jc w:val="both"/>
        <w:rPr>
          <w:szCs w:val="22"/>
        </w:rPr>
      </w:pPr>
      <w:r>
        <w:t>Kůň musí být prohlášen za nezpůsobilého pro lidskou spotřebu podle národní legislativy o průkazech pro koně.</w:t>
      </w:r>
    </w:p>
    <w:p w14:paraId="46C835D9" w14:textId="3D568351" w:rsidR="00D70ADF" w:rsidRPr="00075119" w:rsidRDefault="00D70ADF" w:rsidP="000135C1">
      <w:pPr>
        <w:tabs>
          <w:tab w:val="clear" w:pos="567"/>
          <w:tab w:val="left" w:pos="0"/>
        </w:tabs>
        <w:spacing w:line="240" w:lineRule="auto"/>
        <w:ind w:left="567" w:hanging="567"/>
        <w:rPr>
          <w:bCs/>
          <w:szCs w:val="22"/>
        </w:rPr>
      </w:pPr>
      <w:r>
        <w:t>Nepoužívat u zvířat, jejichž mléko je určeno pro lidskou spotřebu.</w:t>
      </w:r>
    </w:p>
    <w:p w14:paraId="4C05AB29" w14:textId="77777777" w:rsidR="008C4643" w:rsidRPr="00F97D2B" w:rsidRDefault="008C4643" w:rsidP="008C4643">
      <w:pPr>
        <w:tabs>
          <w:tab w:val="clear" w:pos="567"/>
        </w:tabs>
        <w:spacing w:line="240" w:lineRule="auto"/>
        <w:rPr>
          <w:iCs/>
          <w:szCs w:val="22"/>
        </w:rPr>
      </w:pPr>
    </w:p>
    <w:p w14:paraId="10841A24"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11.</w:t>
      </w:r>
      <w:r>
        <w:rPr>
          <w:b/>
          <w:szCs w:val="22"/>
        </w:rPr>
        <w:tab/>
        <w:t>Zvláštní opatření pro uchovávání</w:t>
      </w:r>
    </w:p>
    <w:p w14:paraId="36EB8D2D" w14:textId="77777777" w:rsidR="008C4643" w:rsidRPr="00F97D2B" w:rsidRDefault="008C4643" w:rsidP="008C4643">
      <w:pPr>
        <w:numPr>
          <w:ilvl w:val="12"/>
          <w:numId w:val="0"/>
        </w:numPr>
        <w:tabs>
          <w:tab w:val="clear" w:pos="567"/>
        </w:tabs>
        <w:spacing w:line="240" w:lineRule="auto"/>
        <w:rPr>
          <w:szCs w:val="22"/>
        </w:rPr>
      </w:pPr>
    </w:p>
    <w:p w14:paraId="51D198BB" w14:textId="77777777" w:rsidR="00085D77" w:rsidRPr="00F97D2B" w:rsidRDefault="00085D77" w:rsidP="00346039">
      <w:pPr>
        <w:tabs>
          <w:tab w:val="clear" w:pos="567"/>
        </w:tabs>
        <w:spacing w:line="240" w:lineRule="auto"/>
        <w:rPr>
          <w:szCs w:val="22"/>
        </w:rPr>
      </w:pPr>
      <w:r>
        <w:t>Uchovávejte mimo dohled a dosah dětí.</w:t>
      </w:r>
    </w:p>
    <w:p w14:paraId="2B2F2A1A" w14:textId="0F724698" w:rsidR="00346039" w:rsidRPr="00F97D2B" w:rsidRDefault="004B0F6E" w:rsidP="00346039">
      <w:pPr>
        <w:tabs>
          <w:tab w:val="clear" w:pos="567"/>
        </w:tabs>
        <w:spacing w:line="240" w:lineRule="auto"/>
        <w:rPr>
          <w:szCs w:val="22"/>
        </w:rPr>
      </w:pPr>
      <w:r>
        <w:t>Tento veterinární léčivý přípravek nevyžaduje žádné zvláštní podmínky uchovávání.</w:t>
      </w:r>
    </w:p>
    <w:p w14:paraId="39111279" w14:textId="155C3746" w:rsidR="00085D77" w:rsidRPr="00F97D2B" w:rsidRDefault="00085D77" w:rsidP="00346039">
      <w:pPr>
        <w:tabs>
          <w:tab w:val="clear" w:pos="567"/>
        </w:tabs>
        <w:spacing w:line="240" w:lineRule="auto"/>
        <w:rPr>
          <w:szCs w:val="22"/>
        </w:rPr>
      </w:pPr>
      <w:r>
        <w:t>Nepoužívejte tento veterinární léčivý přípravek po uplynutí doby použitelnosti uvedené na etiketě a krabičce po Exp. Doba použitelnosti končí posledním dnem v uvedeném měsíci.</w:t>
      </w:r>
    </w:p>
    <w:p w14:paraId="591C1B6F" w14:textId="77777777" w:rsidR="0046107E" w:rsidRPr="00F97D2B" w:rsidRDefault="0046107E" w:rsidP="0046107E">
      <w:pPr>
        <w:tabs>
          <w:tab w:val="clear" w:pos="567"/>
        </w:tabs>
        <w:spacing w:line="240" w:lineRule="auto"/>
        <w:rPr>
          <w:szCs w:val="22"/>
        </w:rPr>
      </w:pPr>
      <w:r>
        <w:t xml:space="preserve">Doba použitelnosti po prvním otevření vnitřního obalu: 28 dní </w:t>
      </w:r>
    </w:p>
    <w:p w14:paraId="3B7ED779" w14:textId="77777777" w:rsidR="008C4643" w:rsidRPr="00F97D2B" w:rsidRDefault="008C4643" w:rsidP="008C4643">
      <w:pPr>
        <w:tabs>
          <w:tab w:val="clear" w:pos="567"/>
        </w:tabs>
        <w:spacing w:line="240" w:lineRule="auto"/>
        <w:rPr>
          <w:szCs w:val="22"/>
        </w:rPr>
      </w:pPr>
    </w:p>
    <w:p w14:paraId="0C1D008C" w14:textId="77777777" w:rsidR="008C4643" w:rsidRPr="00F97D2B" w:rsidRDefault="008C4643" w:rsidP="008C4643">
      <w:pPr>
        <w:tabs>
          <w:tab w:val="clear" w:pos="567"/>
          <w:tab w:val="left" w:pos="0"/>
        </w:tabs>
        <w:spacing w:line="240" w:lineRule="auto"/>
        <w:ind w:left="567" w:hanging="567"/>
        <w:rPr>
          <w:b/>
          <w:szCs w:val="22"/>
        </w:rPr>
      </w:pPr>
      <w:r>
        <w:rPr>
          <w:b/>
          <w:szCs w:val="22"/>
          <w:highlight w:val="lightGray"/>
        </w:rPr>
        <w:t>12.</w:t>
      </w:r>
      <w:r>
        <w:rPr>
          <w:b/>
          <w:szCs w:val="22"/>
        </w:rPr>
        <w:tab/>
        <w:t>Zvláštní opatření pro likvidaci</w:t>
      </w:r>
    </w:p>
    <w:p w14:paraId="4FAAA831" w14:textId="77777777" w:rsidR="008C4643" w:rsidRPr="00F97D2B" w:rsidRDefault="008C4643" w:rsidP="008C4643">
      <w:pPr>
        <w:tabs>
          <w:tab w:val="clear" w:pos="567"/>
        </w:tabs>
        <w:spacing w:line="240" w:lineRule="auto"/>
        <w:rPr>
          <w:szCs w:val="22"/>
        </w:rPr>
      </w:pPr>
    </w:p>
    <w:p w14:paraId="61033584" w14:textId="77777777" w:rsidR="008C4643" w:rsidRPr="00F97D2B" w:rsidRDefault="008C4643" w:rsidP="008C4643">
      <w:pPr>
        <w:tabs>
          <w:tab w:val="clear" w:pos="567"/>
        </w:tabs>
        <w:spacing w:line="240" w:lineRule="auto"/>
        <w:rPr>
          <w:szCs w:val="22"/>
        </w:rPr>
      </w:pPr>
      <w:r>
        <w:t>Léčivé přípravky se nesmí likvidovat prostřednictvím odpadní vody či domovního odpadu.</w:t>
      </w:r>
    </w:p>
    <w:p w14:paraId="5329015D" w14:textId="77777777" w:rsidR="008C4643" w:rsidRPr="00F97D2B" w:rsidRDefault="008C4643" w:rsidP="008C4643">
      <w:pPr>
        <w:tabs>
          <w:tab w:val="clear" w:pos="567"/>
        </w:tabs>
        <w:spacing w:line="240" w:lineRule="auto"/>
        <w:rPr>
          <w:szCs w:val="22"/>
        </w:rPr>
      </w:pPr>
    </w:p>
    <w:p w14:paraId="672622A7" w14:textId="77777777" w:rsidR="008C4643" w:rsidRPr="00F97D2B" w:rsidRDefault="008C4643" w:rsidP="008C4643">
      <w:pPr>
        <w:rPr>
          <w:szCs w:val="22"/>
        </w:rPr>
      </w:pPr>
      <w: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D0C40A7" w14:textId="77777777" w:rsidR="008C4643" w:rsidRPr="00F97D2B" w:rsidRDefault="008C4643" w:rsidP="008C4643">
      <w:pPr>
        <w:tabs>
          <w:tab w:val="clear" w:pos="567"/>
        </w:tabs>
        <w:spacing w:line="240" w:lineRule="auto"/>
        <w:rPr>
          <w:bCs/>
          <w:szCs w:val="22"/>
          <w:highlight w:val="lightGray"/>
        </w:rPr>
      </w:pPr>
    </w:p>
    <w:p w14:paraId="1A19144C"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13.</w:t>
      </w:r>
      <w:r>
        <w:rPr>
          <w:b/>
          <w:szCs w:val="22"/>
        </w:rPr>
        <w:tab/>
        <w:t>Klasifikace veterinárních léčivých přípravků</w:t>
      </w:r>
    </w:p>
    <w:p w14:paraId="0E48EC7B" w14:textId="77777777" w:rsidR="00D70ADF" w:rsidRDefault="00D70ADF" w:rsidP="000135C1">
      <w:pPr>
        <w:numPr>
          <w:ilvl w:val="12"/>
          <w:numId w:val="0"/>
        </w:numPr>
        <w:rPr>
          <w:szCs w:val="22"/>
        </w:rPr>
      </w:pPr>
    </w:p>
    <w:p w14:paraId="51293CBC" w14:textId="296B23CB" w:rsidR="0055663C" w:rsidRPr="00F97D2B" w:rsidRDefault="0055663C" w:rsidP="0055663C">
      <w:pPr>
        <w:numPr>
          <w:ilvl w:val="12"/>
          <w:numId w:val="0"/>
        </w:numPr>
        <w:rPr>
          <w:szCs w:val="22"/>
        </w:rPr>
      </w:pPr>
      <w:r>
        <w:t>Veterinární léčivý přípravek je vydáván pouze na předpis.</w:t>
      </w:r>
    </w:p>
    <w:p w14:paraId="74B7A0C3" w14:textId="77777777" w:rsidR="008C4643" w:rsidRPr="00F97D2B" w:rsidRDefault="008C4643" w:rsidP="008C4643">
      <w:pPr>
        <w:tabs>
          <w:tab w:val="clear" w:pos="567"/>
        </w:tabs>
        <w:spacing w:line="240" w:lineRule="auto"/>
        <w:rPr>
          <w:szCs w:val="22"/>
        </w:rPr>
      </w:pPr>
    </w:p>
    <w:p w14:paraId="439F5D17" w14:textId="77777777" w:rsidR="008C4643" w:rsidRPr="00F97D2B" w:rsidRDefault="008C4643" w:rsidP="008C4643">
      <w:pPr>
        <w:tabs>
          <w:tab w:val="clear" w:pos="567"/>
          <w:tab w:val="left" w:pos="0"/>
        </w:tabs>
        <w:spacing w:line="240" w:lineRule="auto"/>
        <w:ind w:left="567" w:hanging="567"/>
        <w:rPr>
          <w:b/>
          <w:szCs w:val="22"/>
        </w:rPr>
      </w:pPr>
      <w:r>
        <w:rPr>
          <w:b/>
          <w:szCs w:val="22"/>
          <w:highlight w:val="lightGray"/>
        </w:rPr>
        <w:t>14.</w:t>
      </w:r>
      <w:r>
        <w:rPr>
          <w:b/>
          <w:szCs w:val="22"/>
        </w:rPr>
        <w:tab/>
        <w:t>Registrační čísla a velikosti balení</w:t>
      </w:r>
    </w:p>
    <w:p w14:paraId="53C305C2" w14:textId="77777777" w:rsidR="008C4643" w:rsidRPr="00F97D2B" w:rsidRDefault="008C4643" w:rsidP="008C4643">
      <w:pPr>
        <w:tabs>
          <w:tab w:val="clear" w:pos="567"/>
        </w:tabs>
        <w:spacing w:line="240" w:lineRule="auto"/>
        <w:rPr>
          <w:szCs w:val="22"/>
        </w:rPr>
      </w:pPr>
    </w:p>
    <w:p w14:paraId="7BC0CB79" w14:textId="34B8F183" w:rsidR="008C4643" w:rsidRPr="0054097E" w:rsidRDefault="0054097E" w:rsidP="008C4643">
      <w:pPr>
        <w:tabs>
          <w:tab w:val="clear" w:pos="567"/>
        </w:tabs>
        <w:spacing w:line="240" w:lineRule="auto"/>
        <w:rPr>
          <w:szCs w:val="22"/>
        </w:rPr>
      </w:pPr>
      <w:r w:rsidRPr="0054097E">
        <w:rPr>
          <w:szCs w:val="22"/>
        </w:rPr>
        <w:t>96/032/</w:t>
      </w:r>
      <w:proofErr w:type="gramStart"/>
      <w:r w:rsidRPr="0054097E">
        <w:rPr>
          <w:szCs w:val="22"/>
        </w:rPr>
        <w:t>26-C</w:t>
      </w:r>
      <w:proofErr w:type="gramEnd"/>
    </w:p>
    <w:p w14:paraId="3615F014" w14:textId="77777777" w:rsidR="0054097E" w:rsidRPr="00F97D2B" w:rsidRDefault="0054097E" w:rsidP="008C4643">
      <w:pPr>
        <w:tabs>
          <w:tab w:val="clear" w:pos="567"/>
        </w:tabs>
        <w:spacing w:line="240" w:lineRule="auto"/>
        <w:rPr>
          <w:szCs w:val="22"/>
          <w:highlight w:val="yellow"/>
        </w:rPr>
      </w:pPr>
      <w:bookmarkStart w:id="2" w:name="_GoBack"/>
      <w:bookmarkEnd w:id="2"/>
    </w:p>
    <w:p w14:paraId="79BB508F" w14:textId="77777777" w:rsidR="0097294B" w:rsidRDefault="0097294B" w:rsidP="002D2DA2">
      <w:pPr>
        <w:tabs>
          <w:tab w:val="clear" w:pos="567"/>
        </w:tabs>
        <w:spacing w:line="240" w:lineRule="auto"/>
        <w:rPr>
          <w:szCs w:val="22"/>
        </w:rPr>
      </w:pPr>
      <w:r>
        <w:t xml:space="preserve">Velikost balení: </w:t>
      </w:r>
    </w:p>
    <w:p w14:paraId="003E01AF" w14:textId="1BEAB9EF" w:rsidR="002D2DA2" w:rsidRPr="00F97D2B" w:rsidRDefault="00A25A11" w:rsidP="002D2DA2">
      <w:pPr>
        <w:tabs>
          <w:tab w:val="clear" w:pos="567"/>
        </w:tabs>
        <w:spacing w:line="240" w:lineRule="auto"/>
        <w:rPr>
          <w:szCs w:val="22"/>
        </w:rPr>
      </w:pPr>
      <w:r>
        <w:t>Papírová k</w:t>
      </w:r>
      <w:r w:rsidR="002D2DA2">
        <w:t xml:space="preserve">rabička </w:t>
      </w:r>
      <w:r>
        <w:t xml:space="preserve">s </w:t>
      </w:r>
      <w:r w:rsidR="002D2DA2">
        <w:t>1 × 10 ml injekční lahvičkou.</w:t>
      </w:r>
    </w:p>
    <w:p w14:paraId="727FDF74" w14:textId="77777777" w:rsidR="008C4643" w:rsidRPr="00F97D2B" w:rsidRDefault="008C4643" w:rsidP="008C4643">
      <w:pPr>
        <w:tabs>
          <w:tab w:val="clear" w:pos="567"/>
        </w:tabs>
        <w:spacing w:line="240" w:lineRule="auto"/>
        <w:rPr>
          <w:szCs w:val="22"/>
        </w:rPr>
      </w:pPr>
    </w:p>
    <w:p w14:paraId="2EAC6A84"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15.</w:t>
      </w:r>
      <w:r>
        <w:rPr>
          <w:b/>
          <w:szCs w:val="22"/>
        </w:rPr>
        <w:tab/>
        <w:t>Datum poslední revize příbalové informace</w:t>
      </w:r>
    </w:p>
    <w:p w14:paraId="277F09B8" w14:textId="77777777" w:rsidR="008C4643" w:rsidRPr="00F97D2B" w:rsidRDefault="008C4643" w:rsidP="008C4643">
      <w:pPr>
        <w:tabs>
          <w:tab w:val="clear" w:pos="567"/>
        </w:tabs>
        <w:spacing w:line="240" w:lineRule="auto"/>
        <w:rPr>
          <w:szCs w:val="22"/>
        </w:rPr>
      </w:pPr>
    </w:p>
    <w:p w14:paraId="4FA4A16C" w14:textId="7D707665" w:rsidR="008C4643" w:rsidRPr="00F97D2B" w:rsidRDefault="00976011" w:rsidP="008C4643">
      <w:pPr>
        <w:rPr>
          <w:szCs w:val="22"/>
        </w:rPr>
      </w:pPr>
      <w:r>
        <w:t>0</w:t>
      </w:r>
      <w:r w:rsidR="0054097E">
        <w:t>5</w:t>
      </w:r>
      <w:r>
        <w:t>/2026</w:t>
      </w:r>
    </w:p>
    <w:p w14:paraId="79D1944E" w14:textId="77777777" w:rsidR="008C4643" w:rsidRPr="00F97D2B" w:rsidRDefault="008C4643" w:rsidP="008C4643">
      <w:pPr>
        <w:tabs>
          <w:tab w:val="clear" w:pos="567"/>
        </w:tabs>
        <w:spacing w:line="240" w:lineRule="auto"/>
        <w:rPr>
          <w:szCs w:val="22"/>
        </w:rPr>
      </w:pPr>
    </w:p>
    <w:p w14:paraId="78338000" w14:textId="5C4F577E" w:rsidR="008C4643" w:rsidRDefault="008C4643" w:rsidP="008C4643">
      <w:pPr>
        <w:tabs>
          <w:tab w:val="clear" w:pos="567"/>
        </w:tabs>
        <w:spacing w:line="240" w:lineRule="auto"/>
      </w:pPr>
      <w:r>
        <w:t xml:space="preserve">Podrobné informace o tomto veterinárním léčivém přípravku jsou k dispozici v </w:t>
      </w:r>
      <w:r w:rsidRPr="007F1FBD">
        <w:rPr>
          <w:rStyle w:val="Hypertextovodkaz"/>
          <w:color w:val="auto"/>
          <w:szCs w:val="22"/>
          <w:u w:val="none"/>
        </w:rPr>
        <w:t>databázi přípravků Unie</w:t>
      </w:r>
      <w:r>
        <w:t xml:space="preserve"> (</w:t>
      </w:r>
      <w:hyperlink r:id="rId16" w:history="1">
        <w:r>
          <w:rPr>
            <w:rStyle w:val="Hypertextovodkaz"/>
          </w:rPr>
          <w:t>https://medicines.health.europa.eu/veterinary</w:t>
        </w:r>
      </w:hyperlink>
      <w:r>
        <w:t>).</w:t>
      </w:r>
    </w:p>
    <w:p w14:paraId="6ADC6B71" w14:textId="2512B2C2" w:rsidR="00204AA6" w:rsidRDefault="00204AA6" w:rsidP="008C4643">
      <w:pPr>
        <w:tabs>
          <w:tab w:val="clear" w:pos="567"/>
        </w:tabs>
        <w:spacing w:line="240" w:lineRule="auto"/>
        <w:rPr>
          <w:szCs w:val="22"/>
        </w:rPr>
      </w:pPr>
    </w:p>
    <w:p w14:paraId="596074BF" w14:textId="11DA1075" w:rsidR="00204AA6" w:rsidRPr="008C2C87" w:rsidRDefault="00204AA6" w:rsidP="007F1FBD">
      <w:pPr>
        <w:spacing w:line="240" w:lineRule="auto"/>
      </w:pPr>
      <w:bookmarkStart w:id="3" w:name="_Hlk148432335"/>
      <w:r w:rsidRPr="00C672C7">
        <w:t>Podrobné informace o tomto veterinárním léčivém přípravku naleznete také v národní databázi (</w:t>
      </w:r>
      <w:hyperlink r:id="rId17" w:history="1">
        <w:r w:rsidRPr="00C672C7">
          <w:rPr>
            <w:rStyle w:val="Hypertextovodkaz"/>
          </w:rPr>
          <w:t>https://www.uskvbl.cz</w:t>
        </w:r>
      </w:hyperlink>
      <w:r w:rsidRPr="00C672C7">
        <w:t>).</w:t>
      </w:r>
      <w:bookmarkEnd w:id="3"/>
    </w:p>
    <w:p w14:paraId="40503892" w14:textId="77777777" w:rsidR="008C4643" w:rsidRPr="00F97D2B" w:rsidRDefault="008C4643" w:rsidP="008C4643">
      <w:pPr>
        <w:tabs>
          <w:tab w:val="clear" w:pos="567"/>
        </w:tabs>
        <w:spacing w:line="240" w:lineRule="auto"/>
        <w:rPr>
          <w:szCs w:val="22"/>
        </w:rPr>
      </w:pPr>
    </w:p>
    <w:p w14:paraId="60972130" w14:textId="77777777" w:rsidR="008C4643" w:rsidRPr="00F97D2B" w:rsidRDefault="008C4643" w:rsidP="008C4643">
      <w:pPr>
        <w:tabs>
          <w:tab w:val="clear" w:pos="567"/>
          <w:tab w:val="left" w:pos="0"/>
        </w:tabs>
        <w:spacing w:line="240" w:lineRule="auto"/>
        <w:ind w:left="567" w:hanging="567"/>
        <w:rPr>
          <w:szCs w:val="22"/>
        </w:rPr>
      </w:pPr>
      <w:r>
        <w:rPr>
          <w:b/>
          <w:szCs w:val="22"/>
          <w:highlight w:val="lightGray"/>
        </w:rPr>
        <w:t>16.</w:t>
      </w:r>
      <w:r>
        <w:rPr>
          <w:b/>
          <w:szCs w:val="22"/>
        </w:rPr>
        <w:tab/>
        <w:t>Kontaktní údaje</w:t>
      </w:r>
    </w:p>
    <w:p w14:paraId="20E11AB6" w14:textId="77777777" w:rsidR="008C4643" w:rsidRPr="00F97D2B" w:rsidRDefault="008C4643" w:rsidP="008C4643">
      <w:pPr>
        <w:tabs>
          <w:tab w:val="clear" w:pos="567"/>
        </w:tabs>
        <w:spacing w:line="240" w:lineRule="auto"/>
        <w:rPr>
          <w:szCs w:val="22"/>
        </w:rPr>
      </w:pPr>
    </w:p>
    <w:p w14:paraId="76CA7DA6" w14:textId="014D8F11" w:rsidR="008C4643" w:rsidRPr="00F97D2B" w:rsidRDefault="008C4643" w:rsidP="008C4643">
      <w:pPr>
        <w:rPr>
          <w:iCs/>
          <w:szCs w:val="22"/>
        </w:rPr>
      </w:pPr>
      <w:bookmarkStart w:id="4" w:name="_Hlk73552578"/>
      <w:r>
        <w:rPr>
          <w:iCs/>
          <w:szCs w:val="22"/>
          <w:u w:val="single"/>
        </w:rPr>
        <w:t>Držitel rozhodnutí o registraci a výrobce odpovědný za uvolnění šarže</w:t>
      </w:r>
      <w:r>
        <w:rPr>
          <w:iCs/>
          <w:szCs w:val="22"/>
          <w:highlight w:val="lightGray"/>
        </w:rPr>
        <w:t>:</w:t>
      </w:r>
    </w:p>
    <w:bookmarkEnd w:id="4"/>
    <w:p w14:paraId="514338B9" w14:textId="2B00D3AC" w:rsidR="008C4643" w:rsidRPr="00CB2699" w:rsidRDefault="008C4643" w:rsidP="008C4643">
      <w:pPr>
        <w:tabs>
          <w:tab w:val="clear" w:pos="567"/>
        </w:tabs>
        <w:spacing w:line="240" w:lineRule="auto"/>
        <w:rPr>
          <w:szCs w:val="22"/>
        </w:rPr>
      </w:pPr>
      <w:r>
        <w:t>Alfasan Nederland B</w:t>
      </w:r>
      <w:r w:rsidR="00976011">
        <w:t>.</w:t>
      </w:r>
      <w:r>
        <w:t>V</w:t>
      </w:r>
      <w:r w:rsidR="00976011">
        <w:t>.</w:t>
      </w:r>
    </w:p>
    <w:p w14:paraId="1AE3EEF2" w14:textId="77777777" w:rsidR="008C4643" w:rsidRPr="00CB2699" w:rsidRDefault="008C4643" w:rsidP="008C4643">
      <w:pPr>
        <w:tabs>
          <w:tab w:val="clear" w:pos="567"/>
        </w:tabs>
        <w:spacing w:line="240" w:lineRule="auto"/>
        <w:rPr>
          <w:szCs w:val="22"/>
        </w:rPr>
      </w:pPr>
      <w:r>
        <w:t>Kuipersweg 9</w:t>
      </w:r>
    </w:p>
    <w:p w14:paraId="3552764F" w14:textId="77777777" w:rsidR="008C4643" w:rsidRPr="00CB2699" w:rsidRDefault="008C4643" w:rsidP="008C4643">
      <w:pPr>
        <w:tabs>
          <w:tab w:val="clear" w:pos="567"/>
        </w:tabs>
        <w:spacing w:line="240" w:lineRule="auto"/>
        <w:rPr>
          <w:szCs w:val="22"/>
        </w:rPr>
      </w:pPr>
      <w:r>
        <w:t>3449 JA Woerden</w:t>
      </w:r>
    </w:p>
    <w:p w14:paraId="3791779C" w14:textId="77777777" w:rsidR="008C4643" w:rsidRPr="00F97D2B" w:rsidRDefault="008C4643" w:rsidP="008C4643">
      <w:pPr>
        <w:tabs>
          <w:tab w:val="clear" w:pos="567"/>
        </w:tabs>
        <w:spacing w:line="240" w:lineRule="auto"/>
        <w:rPr>
          <w:szCs w:val="22"/>
        </w:rPr>
      </w:pPr>
      <w:r>
        <w:t>Nizozemsko</w:t>
      </w:r>
    </w:p>
    <w:p w14:paraId="62A67D60" w14:textId="77777777" w:rsidR="008C4643" w:rsidRPr="00F97D2B" w:rsidRDefault="008C4643" w:rsidP="008C4643">
      <w:pPr>
        <w:tabs>
          <w:tab w:val="clear" w:pos="567"/>
        </w:tabs>
        <w:spacing w:line="240" w:lineRule="auto"/>
        <w:rPr>
          <w:szCs w:val="22"/>
        </w:rPr>
      </w:pPr>
    </w:p>
    <w:p w14:paraId="2824C6AF" w14:textId="77777777" w:rsidR="008C4643" w:rsidRPr="00F97D2B" w:rsidRDefault="008C4643" w:rsidP="008C4643">
      <w:pPr>
        <w:rPr>
          <w:bCs/>
          <w:szCs w:val="22"/>
        </w:rPr>
      </w:pPr>
      <w:r>
        <w:rPr>
          <w:bCs/>
          <w:szCs w:val="22"/>
          <w:highlight w:val="lightGray"/>
          <w:u w:val="single"/>
        </w:rPr>
        <w:t>Výrobce odpovědný za uvolnění šarže</w:t>
      </w:r>
      <w:r>
        <w:rPr>
          <w:bCs/>
          <w:szCs w:val="22"/>
          <w:highlight w:val="lightGray"/>
        </w:rPr>
        <w:t>:</w:t>
      </w:r>
    </w:p>
    <w:p w14:paraId="6F05CB73" w14:textId="77777777" w:rsidR="00331AD1" w:rsidRPr="00AA5E1D" w:rsidRDefault="00331AD1" w:rsidP="00331AD1">
      <w:pPr>
        <w:rPr>
          <w:bCs/>
          <w:szCs w:val="22"/>
          <w:highlight w:val="lightGray"/>
        </w:rPr>
      </w:pPr>
      <w:r>
        <w:rPr>
          <w:bCs/>
          <w:szCs w:val="22"/>
          <w:highlight w:val="lightGray"/>
        </w:rPr>
        <w:t>Produlab Pharma B.V.</w:t>
      </w:r>
    </w:p>
    <w:p w14:paraId="4C5AEBC5" w14:textId="77777777" w:rsidR="00331AD1" w:rsidRPr="00AA5E1D" w:rsidRDefault="00331AD1" w:rsidP="00331AD1">
      <w:pPr>
        <w:rPr>
          <w:bCs/>
          <w:szCs w:val="22"/>
          <w:highlight w:val="lightGray"/>
        </w:rPr>
      </w:pPr>
      <w:r>
        <w:rPr>
          <w:bCs/>
          <w:szCs w:val="22"/>
          <w:highlight w:val="lightGray"/>
        </w:rPr>
        <w:t>Forellenweg 16</w:t>
      </w:r>
    </w:p>
    <w:p w14:paraId="5713BB1C" w14:textId="77777777" w:rsidR="00331AD1" w:rsidRPr="00A3128A" w:rsidRDefault="00331AD1" w:rsidP="00331AD1">
      <w:pPr>
        <w:rPr>
          <w:bCs/>
          <w:szCs w:val="22"/>
          <w:highlight w:val="lightGray"/>
        </w:rPr>
      </w:pPr>
      <w:r>
        <w:rPr>
          <w:bCs/>
          <w:szCs w:val="22"/>
          <w:highlight w:val="lightGray"/>
        </w:rPr>
        <w:t>4941 SJ Raamsdonksveer</w:t>
      </w:r>
    </w:p>
    <w:p w14:paraId="2AFDF325" w14:textId="77777777" w:rsidR="00331AD1" w:rsidRPr="006414D3" w:rsidRDefault="00331AD1" w:rsidP="00331AD1">
      <w:pPr>
        <w:rPr>
          <w:bCs/>
          <w:szCs w:val="22"/>
        </w:rPr>
      </w:pPr>
      <w:r>
        <w:rPr>
          <w:bCs/>
          <w:szCs w:val="22"/>
          <w:highlight w:val="lightGray"/>
        </w:rPr>
        <w:t>Nizozemsko</w:t>
      </w:r>
    </w:p>
    <w:p w14:paraId="25E6F640" w14:textId="77777777" w:rsidR="008C4643" w:rsidRPr="00F97D2B" w:rsidRDefault="008C4643" w:rsidP="008C4643">
      <w:pPr>
        <w:rPr>
          <w:bCs/>
          <w:szCs w:val="22"/>
        </w:rPr>
      </w:pPr>
    </w:p>
    <w:p w14:paraId="1C2B5E25" w14:textId="77777777" w:rsidR="006C1E53" w:rsidRPr="006C1E53" w:rsidRDefault="006C1E53" w:rsidP="006C1E53">
      <w:pPr>
        <w:tabs>
          <w:tab w:val="clear" w:pos="567"/>
          <w:tab w:val="left" w:pos="0"/>
        </w:tabs>
        <w:rPr>
          <w:bCs/>
          <w:szCs w:val="22"/>
        </w:rPr>
      </w:pPr>
      <w:r w:rsidRPr="006C1E53">
        <w:rPr>
          <w:bCs/>
          <w:szCs w:val="22"/>
          <w:u w:val="single"/>
        </w:rPr>
        <w:t>Místní zástupci a kontaktní údaje pro hlášení podezření na nežádoucí účinky:</w:t>
      </w:r>
    </w:p>
    <w:p w14:paraId="46C78210" w14:textId="77777777" w:rsidR="006C1E53" w:rsidRPr="006C1E53" w:rsidRDefault="006C1E53" w:rsidP="006C1E53">
      <w:pPr>
        <w:tabs>
          <w:tab w:val="clear" w:pos="567"/>
          <w:tab w:val="left" w:pos="0"/>
        </w:tabs>
        <w:rPr>
          <w:bCs/>
          <w:szCs w:val="22"/>
          <w:lang w:val="sv-SE"/>
        </w:rPr>
      </w:pPr>
      <w:r w:rsidRPr="006C1E53">
        <w:rPr>
          <w:bCs/>
          <w:szCs w:val="22"/>
          <w:lang w:val="sv-SE"/>
        </w:rPr>
        <w:t>SEVARON PORADENSTVÍ s.r.o.</w:t>
      </w:r>
    </w:p>
    <w:p w14:paraId="6ED58ABC" w14:textId="77777777" w:rsidR="006C1E53" w:rsidRPr="006C1E53" w:rsidRDefault="006C1E53" w:rsidP="006C1E53">
      <w:pPr>
        <w:tabs>
          <w:tab w:val="clear" w:pos="567"/>
          <w:tab w:val="left" w:pos="0"/>
        </w:tabs>
        <w:rPr>
          <w:bCs/>
          <w:szCs w:val="22"/>
          <w:lang w:val="sv-SE"/>
        </w:rPr>
      </w:pPr>
      <w:r w:rsidRPr="006C1E53">
        <w:rPr>
          <w:bCs/>
          <w:szCs w:val="22"/>
          <w:lang w:val="sv-SE"/>
        </w:rPr>
        <w:t>Palackého třída 163a</w:t>
      </w:r>
    </w:p>
    <w:p w14:paraId="11382FDB" w14:textId="77777777" w:rsidR="006C1E53" w:rsidRPr="006C1E53" w:rsidRDefault="006C1E53" w:rsidP="006C1E53">
      <w:pPr>
        <w:tabs>
          <w:tab w:val="clear" w:pos="567"/>
          <w:tab w:val="left" w:pos="0"/>
        </w:tabs>
        <w:rPr>
          <w:bCs/>
          <w:szCs w:val="22"/>
          <w:lang w:val="sv-SE"/>
        </w:rPr>
      </w:pPr>
      <w:r w:rsidRPr="006C1E53">
        <w:rPr>
          <w:bCs/>
          <w:szCs w:val="22"/>
          <w:lang w:val="sv-SE"/>
        </w:rPr>
        <w:t>612 00 Brno</w:t>
      </w:r>
    </w:p>
    <w:p w14:paraId="3390AB38" w14:textId="77777777" w:rsidR="006C1E53" w:rsidRPr="006C1E53" w:rsidRDefault="006C1E53" w:rsidP="006C1E53">
      <w:pPr>
        <w:tabs>
          <w:tab w:val="clear" w:pos="567"/>
          <w:tab w:val="left" w:pos="0"/>
        </w:tabs>
        <w:rPr>
          <w:bCs/>
          <w:szCs w:val="22"/>
          <w:lang w:val="sv-SE"/>
        </w:rPr>
      </w:pPr>
      <w:r w:rsidRPr="006C1E53">
        <w:rPr>
          <w:bCs/>
          <w:szCs w:val="22"/>
          <w:lang w:val="sv-SE"/>
        </w:rPr>
        <w:t>Česká republika</w:t>
      </w:r>
    </w:p>
    <w:p w14:paraId="500541D5" w14:textId="77777777" w:rsidR="006C1E53" w:rsidRPr="006C1E53" w:rsidRDefault="006C1E53" w:rsidP="006C1E53">
      <w:pPr>
        <w:tabs>
          <w:tab w:val="clear" w:pos="567"/>
          <w:tab w:val="left" w:pos="0"/>
        </w:tabs>
        <w:rPr>
          <w:bCs/>
          <w:szCs w:val="22"/>
          <w:lang w:val="de-DE"/>
        </w:rPr>
      </w:pPr>
      <w:r w:rsidRPr="006C1E53">
        <w:rPr>
          <w:bCs/>
          <w:szCs w:val="22"/>
          <w:lang w:val="de-DE"/>
        </w:rPr>
        <w:t>Tel: +420 608 034 166</w:t>
      </w:r>
    </w:p>
    <w:p w14:paraId="74BB74F2" w14:textId="1D513255" w:rsidR="006C1E53" w:rsidRPr="006C1E53" w:rsidRDefault="00C06D89" w:rsidP="006C1E53">
      <w:pPr>
        <w:tabs>
          <w:tab w:val="clear" w:pos="567"/>
          <w:tab w:val="left" w:pos="0"/>
        </w:tabs>
        <w:rPr>
          <w:bCs/>
          <w:szCs w:val="22"/>
          <w:lang w:val="de-DE"/>
        </w:rPr>
      </w:pPr>
      <w:hyperlink r:id="rId18" w:history="1">
        <w:r w:rsidR="006C1E53" w:rsidRPr="006C1E53">
          <w:rPr>
            <w:rStyle w:val="Hypertextovodkaz"/>
            <w:bCs/>
            <w:szCs w:val="22"/>
            <w:lang w:val="de-DE"/>
          </w:rPr>
          <w:t>regulatory@sevaron.cz</w:t>
        </w:r>
      </w:hyperlink>
      <w:r w:rsidR="006C1E53" w:rsidRPr="006C1E53">
        <w:rPr>
          <w:bCs/>
          <w:szCs w:val="22"/>
          <w:lang w:val="de-DE"/>
        </w:rPr>
        <w:t xml:space="preserve"> </w:t>
      </w:r>
    </w:p>
    <w:p w14:paraId="2881C473" w14:textId="77777777" w:rsidR="008C4643" w:rsidRPr="00F97D2B" w:rsidRDefault="008C4643" w:rsidP="008C4643">
      <w:pPr>
        <w:tabs>
          <w:tab w:val="clear" w:pos="567"/>
          <w:tab w:val="left" w:pos="0"/>
        </w:tabs>
        <w:rPr>
          <w:bCs/>
          <w:szCs w:val="22"/>
        </w:rPr>
      </w:pPr>
    </w:p>
    <w:p w14:paraId="155A4965" w14:textId="77777777" w:rsidR="008C4643" w:rsidRPr="00F97D2B" w:rsidRDefault="008C4643" w:rsidP="008C4643">
      <w:pPr>
        <w:tabs>
          <w:tab w:val="clear" w:pos="567"/>
        </w:tabs>
        <w:spacing w:line="240" w:lineRule="auto"/>
        <w:rPr>
          <w:szCs w:val="22"/>
        </w:rPr>
      </w:pPr>
    </w:p>
    <w:p w14:paraId="43BE6475" w14:textId="780D79F3" w:rsidR="008C4643" w:rsidRDefault="008C4643" w:rsidP="008C4643">
      <w:pPr>
        <w:tabs>
          <w:tab w:val="clear" w:pos="567"/>
          <w:tab w:val="left" w:pos="0"/>
        </w:tabs>
        <w:spacing w:line="240" w:lineRule="auto"/>
        <w:ind w:left="567" w:hanging="567"/>
        <w:rPr>
          <w:b/>
          <w:szCs w:val="22"/>
        </w:rPr>
      </w:pPr>
      <w:r w:rsidRPr="006C1E53">
        <w:rPr>
          <w:b/>
          <w:szCs w:val="22"/>
          <w:highlight w:val="lightGray"/>
        </w:rPr>
        <w:t>17.</w:t>
      </w:r>
      <w:r w:rsidRPr="007F1FBD">
        <w:rPr>
          <w:b/>
          <w:szCs w:val="22"/>
        </w:rPr>
        <w:tab/>
        <w:t>Další informace</w:t>
      </w:r>
    </w:p>
    <w:p w14:paraId="380C664D" w14:textId="77777777" w:rsidR="00AE6710" w:rsidRPr="00F97D2B" w:rsidRDefault="00AE6710" w:rsidP="008C4643">
      <w:pPr>
        <w:tabs>
          <w:tab w:val="clear" w:pos="567"/>
          <w:tab w:val="left" w:pos="0"/>
        </w:tabs>
        <w:spacing w:line="240" w:lineRule="auto"/>
        <w:ind w:left="567" w:hanging="567"/>
        <w:rPr>
          <w:b/>
          <w:szCs w:val="22"/>
        </w:rPr>
      </w:pPr>
    </w:p>
    <w:p w14:paraId="37286E12" w14:textId="77777777" w:rsidR="00AE6710" w:rsidRDefault="00AE6710" w:rsidP="00AE6710">
      <w:pPr>
        <w:ind w:right="566"/>
      </w:pPr>
      <w:r>
        <w:t>P</w:t>
      </w:r>
      <w:r w:rsidRPr="003E3E41">
        <w:t>řípravek obsahuje návykové látky.</w:t>
      </w:r>
    </w:p>
    <w:p w14:paraId="25137F75" w14:textId="14631887" w:rsidR="00AE6710" w:rsidRDefault="00AE6710" w:rsidP="00AE6710">
      <w:pPr>
        <w:ind w:right="566"/>
      </w:pPr>
      <w:r>
        <w:t>Veterinární léčivý přípravek je vydáván pouze na předpis s modrým pruhem.</w:t>
      </w:r>
    </w:p>
    <w:p w14:paraId="38B0A984" w14:textId="77777777" w:rsidR="00AE6710" w:rsidRDefault="00AE6710" w:rsidP="00AE6710">
      <w:pPr>
        <w:ind w:right="566"/>
      </w:pPr>
    </w:p>
    <w:p w14:paraId="1F6AECFC" w14:textId="5FDF4B92" w:rsidR="00C114FF" w:rsidRPr="00F97D2B" w:rsidRDefault="00AE6710" w:rsidP="00A9226B">
      <w:pPr>
        <w:tabs>
          <w:tab w:val="clear" w:pos="567"/>
        </w:tabs>
        <w:spacing w:line="240" w:lineRule="auto"/>
        <w:rPr>
          <w:szCs w:val="22"/>
        </w:rPr>
      </w:pPr>
      <w:r w:rsidRPr="007E79C1">
        <w:rPr>
          <w:rFonts w:ascii="Calibri" w:hAnsi="Calibri" w:cs="Calibri"/>
          <w:noProof/>
          <w:sz w:val="24"/>
          <w:szCs w:val="24"/>
          <w:lang w:eastAsia="cs-CZ"/>
        </w:rPr>
        <w:drawing>
          <wp:inline distT="0" distB="0" distL="0" distR="0" wp14:anchorId="718AC6CB" wp14:editId="46CDCA86">
            <wp:extent cx="514350" cy="304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p>
    <w:sectPr w:rsidR="00C114FF" w:rsidRPr="00F97D2B" w:rsidSect="003837F1">
      <w:headerReference w:type="default" r:id="rId20"/>
      <w:footerReference w:type="default" r:id="rId21"/>
      <w:footerReference w:type="first" r:id="rId2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701D" w14:textId="77777777" w:rsidR="00C06D89" w:rsidRDefault="00C06D89">
      <w:pPr>
        <w:spacing w:line="240" w:lineRule="auto"/>
      </w:pPr>
      <w:r>
        <w:separator/>
      </w:r>
    </w:p>
  </w:endnote>
  <w:endnote w:type="continuationSeparator" w:id="0">
    <w:p w14:paraId="16F2C1CE" w14:textId="77777777" w:rsidR="00C06D89" w:rsidRDefault="00C06D89">
      <w:pPr>
        <w:spacing w:line="240" w:lineRule="auto"/>
      </w:pPr>
      <w:r>
        <w:continuationSeparator/>
      </w:r>
    </w:p>
  </w:endnote>
  <w:endnote w:type="continuationNotice" w:id="1">
    <w:p w14:paraId="2FC329CF" w14:textId="77777777" w:rsidR="00C06D89" w:rsidRDefault="00C06D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31522">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31522">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A0E2" w14:textId="77777777" w:rsidR="00C06D89" w:rsidRDefault="00C06D89">
      <w:pPr>
        <w:spacing w:line="240" w:lineRule="auto"/>
      </w:pPr>
      <w:r>
        <w:separator/>
      </w:r>
    </w:p>
  </w:footnote>
  <w:footnote w:type="continuationSeparator" w:id="0">
    <w:p w14:paraId="55676065" w14:textId="77777777" w:rsidR="00C06D89" w:rsidRDefault="00C06D89">
      <w:pPr>
        <w:spacing w:line="240" w:lineRule="auto"/>
      </w:pPr>
      <w:r>
        <w:continuationSeparator/>
      </w:r>
    </w:p>
  </w:footnote>
  <w:footnote w:type="continuationNotice" w:id="1">
    <w:p w14:paraId="1DDA86C4" w14:textId="77777777" w:rsidR="00C06D89" w:rsidRDefault="00C06D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CD92" w14:textId="283A9BDD" w:rsidR="006B2989" w:rsidRDefault="006B2989" w:rsidP="006B2989">
    <w:pPr>
      <w:pStyle w:val="Zhlav"/>
    </w:pPr>
    <w:r>
      <w:t xml:space="preserve">  </w:t>
    </w:r>
  </w:p>
  <w:p w14:paraId="3F0B62A5" w14:textId="77777777" w:rsidR="003728E6" w:rsidRDefault="003728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66E4168">
      <w:start w:val="1"/>
      <w:numFmt w:val="decimal"/>
      <w:lvlText w:val="%1."/>
      <w:lvlJc w:val="left"/>
      <w:pPr>
        <w:tabs>
          <w:tab w:val="num" w:pos="720"/>
        </w:tabs>
        <w:ind w:left="720" w:hanging="360"/>
      </w:pPr>
    </w:lvl>
    <w:lvl w:ilvl="1" w:tplc="90FEDC60">
      <w:start w:val="1"/>
      <w:numFmt w:val="lowerLetter"/>
      <w:lvlText w:val="%2."/>
      <w:lvlJc w:val="left"/>
      <w:pPr>
        <w:tabs>
          <w:tab w:val="num" w:pos="1440"/>
        </w:tabs>
        <w:ind w:left="1440" w:hanging="360"/>
      </w:pPr>
    </w:lvl>
    <w:lvl w:ilvl="2" w:tplc="DD70A436" w:tentative="1">
      <w:start w:val="1"/>
      <w:numFmt w:val="lowerRoman"/>
      <w:lvlText w:val="%3."/>
      <w:lvlJc w:val="right"/>
      <w:pPr>
        <w:tabs>
          <w:tab w:val="num" w:pos="2160"/>
        </w:tabs>
        <w:ind w:left="2160" w:hanging="180"/>
      </w:pPr>
    </w:lvl>
    <w:lvl w:ilvl="3" w:tplc="3EE099A6" w:tentative="1">
      <w:start w:val="1"/>
      <w:numFmt w:val="decimal"/>
      <w:lvlText w:val="%4."/>
      <w:lvlJc w:val="left"/>
      <w:pPr>
        <w:tabs>
          <w:tab w:val="num" w:pos="2880"/>
        </w:tabs>
        <w:ind w:left="2880" w:hanging="360"/>
      </w:pPr>
    </w:lvl>
    <w:lvl w:ilvl="4" w:tplc="DBD29904" w:tentative="1">
      <w:start w:val="1"/>
      <w:numFmt w:val="lowerLetter"/>
      <w:lvlText w:val="%5."/>
      <w:lvlJc w:val="left"/>
      <w:pPr>
        <w:tabs>
          <w:tab w:val="num" w:pos="3600"/>
        </w:tabs>
        <w:ind w:left="3600" w:hanging="360"/>
      </w:pPr>
    </w:lvl>
    <w:lvl w:ilvl="5" w:tplc="A29606D2" w:tentative="1">
      <w:start w:val="1"/>
      <w:numFmt w:val="lowerRoman"/>
      <w:lvlText w:val="%6."/>
      <w:lvlJc w:val="right"/>
      <w:pPr>
        <w:tabs>
          <w:tab w:val="num" w:pos="4320"/>
        </w:tabs>
        <w:ind w:left="4320" w:hanging="180"/>
      </w:pPr>
    </w:lvl>
    <w:lvl w:ilvl="6" w:tplc="FC4216CE" w:tentative="1">
      <w:start w:val="1"/>
      <w:numFmt w:val="decimal"/>
      <w:lvlText w:val="%7."/>
      <w:lvlJc w:val="left"/>
      <w:pPr>
        <w:tabs>
          <w:tab w:val="num" w:pos="5040"/>
        </w:tabs>
        <w:ind w:left="5040" w:hanging="360"/>
      </w:pPr>
    </w:lvl>
    <w:lvl w:ilvl="7" w:tplc="38B027BE" w:tentative="1">
      <w:start w:val="1"/>
      <w:numFmt w:val="lowerLetter"/>
      <w:lvlText w:val="%8."/>
      <w:lvlJc w:val="left"/>
      <w:pPr>
        <w:tabs>
          <w:tab w:val="num" w:pos="5760"/>
        </w:tabs>
        <w:ind w:left="5760" w:hanging="360"/>
      </w:pPr>
    </w:lvl>
    <w:lvl w:ilvl="8" w:tplc="17EAAD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540E158">
      <w:start w:val="6"/>
      <w:numFmt w:val="decimal"/>
      <w:lvlText w:val="%1."/>
      <w:lvlJc w:val="left"/>
      <w:pPr>
        <w:tabs>
          <w:tab w:val="num" w:pos="930"/>
        </w:tabs>
        <w:ind w:left="930" w:hanging="570"/>
      </w:pPr>
      <w:rPr>
        <w:rFonts w:hint="default"/>
      </w:rPr>
    </w:lvl>
    <w:lvl w:ilvl="1" w:tplc="AE22BBC4" w:tentative="1">
      <w:start w:val="1"/>
      <w:numFmt w:val="lowerLetter"/>
      <w:lvlText w:val="%2."/>
      <w:lvlJc w:val="left"/>
      <w:pPr>
        <w:tabs>
          <w:tab w:val="num" w:pos="1440"/>
        </w:tabs>
        <w:ind w:left="1440" w:hanging="360"/>
      </w:pPr>
    </w:lvl>
    <w:lvl w:ilvl="2" w:tplc="E64CB684" w:tentative="1">
      <w:start w:val="1"/>
      <w:numFmt w:val="lowerRoman"/>
      <w:lvlText w:val="%3."/>
      <w:lvlJc w:val="right"/>
      <w:pPr>
        <w:tabs>
          <w:tab w:val="num" w:pos="2160"/>
        </w:tabs>
        <w:ind w:left="2160" w:hanging="180"/>
      </w:pPr>
    </w:lvl>
    <w:lvl w:ilvl="3" w:tplc="84DA24DE" w:tentative="1">
      <w:start w:val="1"/>
      <w:numFmt w:val="decimal"/>
      <w:lvlText w:val="%4."/>
      <w:lvlJc w:val="left"/>
      <w:pPr>
        <w:tabs>
          <w:tab w:val="num" w:pos="2880"/>
        </w:tabs>
        <w:ind w:left="2880" w:hanging="360"/>
      </w:pPr>
    </w:lvl>
    <w:lvl w:ilvl="4" w:tplc="E0F4B6AE" w:tentative="1">
      <w:start w:val="1"/>
      <w:numFmt w:val="lowerLetter"/>
      <w:lvlText w:val="%5."/>
      <w:lvlJc w:val="left"/>
      <w:pPr>
        <w:tabs>
          <w:tab w:val="num" w:pos="3600"/>
        </w:tabs>
        <w:ind w:left="3600" w:hanging="360"/>
      </w:pPr>
    </w:lvl>
    <w:lvl w:ilvl="5" w:tplc="B05A0AF2" w:tentative="1">
      <w:start w:val="1"/>
      <w:numFmt w:val="lowerRoman"/>
      <w:lvlText w:val="%6."/>
      <w:lvlJc w:val="right"/>
      <w:pPr>
        <w:tabs>
          <w:tab w:val="num" w:pos="4320"/>
        </w:tabs>
        <w:ind w:left="4320" w:hanging="180"/>
      </w:pPr>
    </w:lvl>
    <w:lvl w:ilvl="6" w:tplc="641AD8D8" w:tentative="1">
      <w:start w:val="1"/>
      <w:numFmt w:val="decimal"/>
      <w:lvlText w:val="%7."/>
      <w:lvlJc w:val="left"/>
      <w:pPr>
        <w:tabs>
          <w:tab w:val="num" w:pos="5040"/>
        </w:tabs>
        <w:ind w:left="5040" w:hanging="360"/>
      </w:pPr>
    </w:lvl>
    <w:lvl w:ilvl="7" w:tplc="6B563CB6" w:tentative="1">
      <w:start w:val="1"/>
      <w:numFmt w:val="lowerLetter"/>
      <w:lvlText w:val="%8."/>
      <w:lvlJc w:val="left"/>
      <w:pPr>
        <w:tabs>
          <w:tab w:val="num" w:pos="5760"/>
        </w:tabs>
        <w:ind w:left="5760" w:hanging="360"/>
      </w:pPr>
    </w:lvl>
    <w:lvl w:ilvl="8" w:tplc="5B8C8C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8280D20A">
      <w:start w:val="1"/>
      <w:numFmt w:val="bullet"/>
      <w:lvlText w:val=""/>
      <w:lvlJc w:val="left"/>
      <w:pPr>
        <w:tabs>
          <w:tab w:val="num" w:pos="776"/>
        </w:tabs>
        <w:ind w:left="776" w:hanging="360"/>
      </w:pPr>
      <w:rPr>
        <w:rFonts w:ascii="Symbol" w:hAnsi="Symbol" w:hint="default"/>
      </w:rPr>
    </w:lvl>
    <w:lvl w:ilvl="1" w:tplc="82D491FC" w:tentative="1">
      <w:start w:val="1"/>
      <w:numFmt w:val="bullet"/>
      <w:lvlText w:val="o"/>
      <w:lvlJc w:val="left"/>
      <w:pPr>
        <w:tabs>
          <w:tab w:val="num" w:pos="1496"/>
        </w:tabs>
        <w:ind w:left="1496" w:hanging="360"/>
      </w:pPr>
      <w:rPr>
        <w:rFonts w:ascii="Courier New" w:hAnsi="Courier New" w:hint="default"/>
      </w:rPr>
    </w:lvl>
    <w:lvl w:ilvl="2" w:tplc="15AE0D82" w:tentative="1">
      <w:start w:val="1"/>
      <w:numFmt w:val="bullet"/>
      <w:lvlText w:val=""/>
      <w:lvlJc w:val="left"/>
      <w:pPr>
        <w:tabs>
          <w:tab w:val="num" w:pos="2216"/>
        </w:tabs>
        <w:ind w:left="2216" w:hanging="360"/>
      </w:pPr>
      <w:rPr>
        <w:rFonts w:ascii="Wingdings" w:hAnsi="Wingdings" w:hint="default"/>
      </w:rPr>
    </w:lvl>
    <w:lvl w:ilvl="3" w:tplc="AB94F8B4" w:tentative="1">
      <w:start w:val="1"/>
      <w:numFmt w:val="bullet"/>
      <w:lvlText w:val=""/>
      <w:lvlJc w:val="left"/>
      <w:pPr>
        <w:tabs>
          <w:tab w:val="num" w:pos="2936"/>
        </w:tabs>
        <w:ind w:left="2936" w:hanging="360"/>
      </w:pPr>
      <w:rPr>
        <w:rFonts w:ascii="Symbol" w:hAnsi="Symbol" w:hint="default"/>
      </w:rPr>
    </w:lvl>
    <w:lvl w:ilvl="4" w:tplc="99E45B56" w:tentative="1">
      <w:start w:val="1"/>
      <w:numFmt w:val="bullet"/>
      <w:lvlText w:val="o"/>
      <w:lvlJc w:val="left"/>
      <w:pPr>
        <w:tabs>
          <w:tab w:val="num" w:pos="3656"/>
        </w:tabs>
        <w:ind w:left="3656" w:hanging="360"/>
      </w:pPr>
      <w:rPr>
        <w:rFonts w:ascii="Courier New" w:hAnsi="Courier New" w:hint="default"/>
      </w:rPr>
    </w:lvl>
    <w:lvl w:ilvl="5" w:tplc="58FC1FA2" w:tentative="1">
      <w:start w:val="1"/>
      <w:numFmt w:val="bullet"/>
      <w:lvlText w:val=""/>
      <w:lvlJc w:val="left"/>
      <w:pPr>
        <w:tabs>
          <w:tab w:val="num" w:pos="4376"/>
        </w:tabs>
        <w:ind w:left="4376" w:hanging="360"/>
      </w:pPr>
      <w:rPr>
        <w:rFonts w:ascii="Wingdings" w:hAnsi="Wingdings" w:hint="default"/>
      </w:rPr>
    </w:lvl>
    <w:lvl w:ilvl="6" w:tplc="F25091E2" w:tentative="1">
      <w:start w:val="1"/>
      <w:numFmt w:val="bullet"/>
      <w:lvlText w:val=""/>
      <w:lvlJc w:val="left"/>
      <w:pPr>
        <w:tabs>
          <w:tab w:val="num" w:pos="5096"/>
        </w:tabs>
        <w:ind w:left="5096" w:hanging="360"/>
      </w:pPr>
      <w:rPr>
        <w:rFonts w:ascii="Symbol" w:hAnsi="Symbol" w:hint="default"/>
      </w:rPr>
    </w:lvl>
    <w:lvl w:ilvl="7" w:tplc="1550EF16" w:tentative="1">
      <w:start w:val="1"/>
      <w:numFmt w:val="bullet"/>
      <w:lvlText w:val="o"/>
      <w:lvlJc w:val="left"/>
      <w:pPr>
        <w:tabs>
          <w:tab w:val="num" w:pos="5816"/>
        </w:tabs>
        <w:ind w:left="5816" w:hanging="360"/>
      </w:pPr>
      <w:rPr>
        <w:rFonts w:ascii="Courier New" w:hAnsi="Courier New" w:hint="default"/>
      </w:rPr>
    </w:lvl>
    <w:lvl w:ilvl="8" w:tplc="C3AE911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DF27EC0">
      <w:start w:val="1"/>
      <w:numFmt w:val="bullet"/>
      <w:lvlText w:val=""/>
      <w:lvlJc w:val="left"/>
      <w:pPr>
        <w:tabs>
          <w:tab w:val="num" w:pos="776"/>
        </w:tabs>
        <w:ind w:left="776" w:hanging="360"/>
      </w:pPr>
      <w:rPr>
        <w:rFonts w:ascii="Symbol" w:hAnsi="Symbol" w:hint="default"/>
      </w:rPr>
    </w:lvl>
    <w:lvl w:ilvl="1" w:tplc="0E3C5DA8" w:tentative="1">
      <w:start w:val="1"/>
      <w:numFmt w:val="bullet"/>
      <w:lvlText w:val="o"/>
      <w:lvlJc w:val="left"/>
      <w:pPr>
        <w:tabs>
          <w:tab w:val="num" w:pos="1496"/>
        </w:tabs>
        <w:ind w:left="1496" w:hanging="360"/>
      </w:pPr>
      <w:rPr>
        <w:rFonts w:ascii="Courier New" w:hAnsi="Courier New" w:hint="default"/>
      </w:rPr>
    </w:lvl>
    <w:lvl w:ilvl="2" w:tplc="64AEEDC0" w:tentative="1">
      <w:start w:val="1"/>
      <w:numFmt w:val="bullet"/>
      <w:lvlText w:val=""/>
      <w:lvlJc w:val="left"/>
      <w:pPr>
        <w:tabs>
          <w:tab w:val="num" w:pos="2216"/>
        </w:tabs>
        <w:ind w:left="2216" w:hanging="360"/>
      </w:pPr>
      <w:rPr>
        <w:rFonts w:ascii="Wingdings" w:hAnsi="Wingdings" w:hint="default"/>
      </w:rPr>
    </w:lvl>
    <w:lvl w:ilvl="3" w:tplc="821CE032" w:tentative="1">
      <w:start w:val="1"/>
      <w:numFmt w:val="bullet"/>
      <w:lvlText w:val=""/>
      <w:lvlJc w:val="left"/>
      <w:pPr>
        <w:tabs>
          <w:tab w:val="num" w:pos="2936"/>
        </w:tabs>
        <w:ind w:left="2936" w:hanging="360"/>
      </w:pPr>
      <w:rPr>
        <w:rFonts w:ascii="Symbol" w:hAnsi="Symbol" w:hint="default"/>
      </w:rPr>
    </w:lvl>
    <w:lvl w:ilvl="4" w:tplc="78108A84" w:tentative="1">
      <w:start w:val="1"/>
      <w:numFmt w:val="bullet"/>
      <w:lvlText w:val="o"/>
      <w:lvlJc w:val="left"/>
      <w:pPr>
        <w:tabs>
          <w:tab w:val="num" w:pos="3656"/>
        </w:tabs>
        <w:ind w:left="3656" w:hanging="360"/>
      </w:pPr>
      <w:rPr>
        <w:rFonts w:ascii="Courier New" w:hAnsi="Courier New" w:hint="default"/>
      </w:rPr>
    </w:lvl>
    <w:lvl w:ilvl="5" w:tplc="8D741D7A" w:tentative="1">
      <w:start w:val="1"/>
      <w:numFmt w:val="bullet"/>
      <w:lvlText w:val=""/>
      <w:lvlJc w:val="left"/>
      <w:pPr>
        <w:tabs>
          <w:tab w:val="num" w:pos="4376"/>
        </w:tabs>
        <w:ind w:left="4376" w:hanging="360"/>
      </w:pPr>
      <w:rPr>
        <w:rFonts w:ascii="Wingdings" w:hAnsi="Wingdings" w:hint="default"/>
      </w:rPr>
    </w:lvl>
    <w:lvl w:ilvl="6" w:tplc="4D44AEC4" w:tentative="1">
      <w:start w:val="1"/>
      <w:numFmt w:val="bullet"/>
      <w:lvlText w:val=""/>
      <w:lvlJc w:val="left"/>
      <w:pPr>
        <w:tabs>
          <w:tab w:val="num" w:pos="5096"/>
        </w:tabs>
        <w:ind w:left="5096" w:hanging="360"/>
      </w:pPr>
      <w:rPr>
        <w:rFonts w:ascii="Symbol" w:hAnsi="Symbol" w:hint="default"/>
      </w:rPr>
    </w:lvl>
    <w:lvl w:ilvl="7" w:tplc="30104280" w:tentative="1">
      <w:start w:val="1"/>
      <w:numFmt w:val="bullet"/>
      <w:lvlText w:val="o"/>
      <w:lvlJc w:val="left"/>
      <w:pPr>
        <w:tabs>
          <w:tab w:val="num" w:pos="5816"/>
        </w:tabs>
        <w:ind w:left="5816" w:hanging="360"/>
      </w:pPr>
      <w:rPr>
        <w:rFonts w:ascii="Courier New" w:hAnsi="Courier New" w:hint="default"/>
      </w:rPr>
    </w:lvl>
    <w:lvl w:ilvl="8" w:tplc="9FAC28A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DE726B90">
      <w:start w:val="1"/>
      <w:numFmt w:val="decimal"/>
      <w:lvlText w:val="%1."/>
      <w:lvlJc w:val="left"/>
      <w:pPr>
        <w:tabs>
          <w:tab w:val="num" w:pos="720"/>
        </w:tabs>
        <w:ind w:left="720" w:hanging="360"/>
      </w:pPr>
    </w:lvl>
    <w:lvl w:ilvl="1" w:tplc="DC4ABCEA">
      <w:start w:val="1"/>
      <w:numFmt w:val="lowerLetter"/>
      <w:lvlText w:val="%2."/>
      <w:lvlJc w:val="left"/>
      <w:pPr>
        <w:tabs>
          <w:tab w:val="num" w:pos="1440"/>
        </w:tabs>
        <w:ind w:left="1440" w:hanging="360"/>
      </w:pPr>
    </w:lvl>
    <w:lvl w:ilvl="2" w:tplc="F032582C" w:tentative="1">
      <w:start w:val="1"/>
      <w:numFmt w:val="lowerRoman"/>
      <w:lvlText w:val="%3."/>
      <w:lvlJc w:val="right"/>
      <w:pPr>
        <w:tabs>
          <w:tab w:val="num" w:pos="2160"/>
        </w:tabs>
        <w:ind w:left="2160" w:hanging="180"/>
      </w:pPr>
    </w:lvl>
    <w:lvl w:ilvl="3" w:tplc="01427A34" w:tentative="1">
      <w:start w:val="1"/>
      <w:numFmt w:val="decimal"/>
      <w:lvlText w:val="%4."/>
      <w:lvlJc w:val="left"/>
      <w:pPr>
        <w:tabs>
          <w:tab w:val="num" w:pos="2880"/>
        </w:tabs>
        <w:ind w:left="2880" w:hanging="360"/>
      </w:pPr>
    </w:lvl>
    <w:lvl w:ilvl="4" w:tplc="BADC0CFC" w:tentative="1">
      <w:start w:val="1"/>
      <w:numFmt w:val="lowerLetter"/>
      <w:lvlText w:val="%5."/>
      <w:lvlJc w:val="left"/>
      <w:pPr>
        <w:tabs>
          <w:tab w:val="num" w:pos="3600"/>
        </w:tabs>
        <w:ind w:left="3600" w:hanging="360"/>
      </w:pPr>
    </w:lvl>
    <w:lvl w:ilvl="5" w:tplc="5AEA1CBE" w:tentative="1">
      <w:start w:val="1"/>
      <w:numFmt w:val="lowerRoman"/>
      <w:lvlText w:val="%6."/>
      <w:lvlJc w:val="right"/>
      <w:pPr>
        <w:tabs>
          <w:tab w:val="num" w:pos="4320"/>
        </w:tabs>
        <w:ind w:left="4320" w:hanging="180"/>
      </w:pPr>
    </w:lvl>
    <w:lvl w:ilvl="6" w:tplc="1D84A242" w:tentative="1">
      <w:start w:val="1"/>
      <w:numFmt w:val="decimal"/>
      <w:lvlText w:val="%7."/>
      <w:lvlJc w:val="left"/>
      <w:pPr>
        <w:tabs>
          <w:tab w:val="num" w:pos="5040"/>
        </w:tabs>
        <w:ind w:left="5040" w:hanging="360"/>
      </w:pPr>
    </w:lvl>
    <w:lvl w:ilvl="7" w:tplc="702CD6BA" w:tentative="1">
      <w:start w:val="1"/>
      <w:numFmt w:val="lowerLetter"/>
      <w:lvlText w:val="%8."/>
      <w:lvlJc w:val="left"/>
      <w:pPr>
        <w:tabs>
          <w:tab w:val="num" w:pos="5760"/>
        </w:tabs>
        <w:ind w:left="5760" w:hanging="360"/>
      </w:pPr>
    </w:lvl>
    <w:lvl w:ilvl="8" w:tplc="5C8CBAF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3C510C"/>
    <w:multiLevelType w:val="hybridMultilevel"/>
    <w:tmpl w:val="4FDE89A0"/>
    <w:lvl w:ilvl="0" w:tplc="E55A5250">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354683"/>
    <w:multiLevelType w:val="hybridMultilevel"/>
    <w:tmpl w:val="0EE81776"/>
    <w:lvl w:ilvl="0" w:tplc="F71EDCC8">
      <w:numFmt w:val="bullet"/>
      <w:lvlText w:val="-"/>
      <w:lvlJc w:val="left"/>
      <w:pPr>
        <w:tabs>
          <w:tab w:val="num" w:pos="720"/>
        </w:tabs>
        <w:ind w:left="720" w:hanging="360"/>
      </w:pPr>
      <w:rPr>
        <w:rFonts w:ascii="Times New Roman" w:eastAsia="Times New Roman" w:hAnsi="Times New Roman" w:cs="Times New Roman" w:hint="default"/>
      </w:rPr>
    </w:lvl>
    <w:lvl w:ilvl="1" w:tplc="62665BBE" w:tentative="1">
      <w:start w:val="1"/>
      <w:numFmt w:val="bullet"/>
      <w:lvlText w:val="o"/>
      <w:lvlJc w:val="left"/>
      <w:pPr>
        <w:tabs>
          <w:tab w:val="num" w:pos="1440"/>
        </w:tabs>
        <w:ind w:left="1440" w:hanging="360"/>
      </w:pPr>
      <w:rPr>
        <w:rFonts w:ascii="Courier New" w:hAnsi="Courier New" w:hint="default"/>
      </w:rPr>
    </w:lvl>
    <w:lvl w:ilvl="2" w:tplc="1D1C3006" w:tentative="1">
      <w:start w:val="1"/>
      <w:numFmt w:val="bullet"/>
      <w:lvlText w:val=""/>
      <w:lvlJc w:val="left"/>
      <w:pPr>
        <w:tabs>
          <w:tab w:val="num" w:pos="2160"/>
        </w:tabs>
        <w:ind w:left="2160" w:hanging="360"/>
      </w:pPr>
      <w:rPr>
        <w:rFonts w:ascii="Wingdings" w:hAnsi="Wingdings" w:hint="default"/>
      </w:rPr>
    </w:lvl>
    <w:lvl w:ilvl="3" w:tplc="E66E978E" w:tentative="1">
      <w:start w:val="1"/>
      <w:numFmt w:val="bullet"/>
      <w:lvlText w:val=""/>
      <w:lvlJc w:val="left"/>
      <w:pPr>
        <w:tabs>
          <w:tab w:val="num" w:pos="2880"/>
        </w:tabs>
        <w:ind w:left="2880" w:hanging="360"/>
      </w:pPr>
      <w:rPr>
        <w:rFonts w:ascii="Symbol" w:hAnsi="Symbol" w:hint="default"/>
      </w:rPr>
    </w:lvl>
    <w:lvl w:ilvl="4" w:tplc="92F68762" w:tentative="1">
      <w:start w:val="1"/>
      <w:numFmt w:val="bullet"/>
      <w:lvlText w:val="o"/>
      <w:lvlJc w:val="left"/>
      <w:pPr>
        <w:tabs>
          <w:tab w:val="num" w:pos="3600"/>
        </w:tabs>
        <w:ind w:left="3600" w:hanging="360"/>
      </w:pPr>
      <w:rPr>
        <w:rFonts w:ascii="Courier New" w:hAnsi="Courier New" w:hint="default"/>
      </w:rPr>
    </w:lvl>
    <w:lvl w:ilvl="5" w:tplc="3FCE4F62" w:tentative="1">
      <w:start w:val="1"/>
      <w:numFmt w:val="bullet"/>
      <w:lvlText w:val=""/>
      <w:lvlJc w:val="left"/>
      <w:pPr>
        <w:tabs>
          <w:tab w:val="num" w:pos="4320"/>
        </w:tabs>
        <w:ind w:left="4320" w:hanging="360"/>
      </w:pPr>
      <w:rPr>
        <w:rFonts w:ascii="Wingdings" w:hAnsi="Wingdings" w:hint="default"/>
      </w:rPr>
    </w:lvl>
    <w:lvl w:ilvl="6" w:tplc="CDDE782E" w:tentative="1">
      <w:start w:val="1"/>
      <w:numFmt w:val="bullet"/>
      <w:lvlText w:val=""/>
      <w:lvlJc w:val="left"/>
      <w:pPr>
        <w:tabs>
          <w:tab w:val="num" w:pos="5040"/>
        </w:tabs>
        <w:ind w:left="5040" w:hanging="360"/>
      </w:pPr>
      <w:rPr>
        <w:rFonts w:ascii="Symbol" w:hAnsi="Symbol" w:hint="default"/>
      </w:rPr>
    </w:lvl>
    <w:lvl w:ilvl="7" w:tplc="EB3E35AE" w:tentative="1">
      <w:start w:val="1"/>
      <w:numFmt w:val="bullet"/>
      <w:lvlText w:val="o"/>
      <w:lvlJc w:val="left"/>
      <w:pPr>
        <w:tabs>
          <w:tab w:val="num" w:pos="5760"/>
        </w:tabs>
        <w:ind w:left="5760" w:hanging="360"/>
      </w:pPr>
      <w:rPr>
        <w:rFonts w:ascii="Courier New" w:hAnsi="Courier New" w:hint="default"/>
      </w:rPr>
    </w:lvl>
    <w:lvl w:ilvl="8" w:tplc="DBD662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32DEF91A">
      <w:start w:val="1"/>
      <w:numFmt w:val="decimal"/>
      <w:lvlText w:val="%1."/>
      <w:lvlJc w:val="left"/>
      <w:pPr>
        <w:tabs>
          <w:tab w:val="num" w:pos="1080"/>
        </w:tabs>
        <w:ind w:left="1080" w:hanging="360"/>
      </w:pPr>
    </w:lvl>
    <w:lvl w:ilvl="1" w:tplc="0C5EB24C" w:tentative="1">
      <w:start w:val="1"/>
      <w:numFmt w:val="lowerLetter"/>
      <w:lvlText w:val="%2."/>
      <w:lvlJc w:val="left"/>
      <w:pPr>
        <w:tabs>
          <w:tab w:val="num" w:pos="1800"/>
        </w:tabs>
        <w:ind w:left="1800" w:hanging="360"/>
      </w:pPr>
    </w:lvl>
    <w:lvl w:ilvl="2" w:tplc="97200B40" w:tentative="1">
      <w:start w:val="1"/>
      <w:numFmt w:val="lowerRoman"/>
      <w:lvlText w:val="%3."/>
      <w:lvlJc w:val="right"/>
      <w:pPr>
        <w:tabs>
          <w:tab w:val="num" w:pos="2520"/>
        </w:tabs>
        <w:ind w:left="2520" w:hanging="180"/>
      </w:pPr>
    </w:lvl>
    <w:lvl w:ilvl="3" w:tplc="DEB42D8C" w:tentative="1">
      <w:start w:val="1"/>
      <w:numFmt w:val="decimal"/>
      <w:lvlText w:val="%4."/>
      <w:lvlJc w:val="left"/>
      <w:pPr>
        <w:tabs>
          <w:tab w:val="num" w:pos="3240"/>
        </w:tabs>
        <w:ind w:left="3240" w:hanging="360"/>
      </w:pPr>
    </w:lvl>
    <w:lvl w:ilvl="4" w:tplc="E1B8CE7E" w:tentative="1">
      <w:start w:val="1"/>
      <w:numFmt w:val="lowerLetter"/>
      <w:lvlText w:val="%5."/>
      <w:lvlJc w:val="left"/>
      <w:pPr>
        <w:tabs>
          <w:tab w:val="num" w:pos="3960"/>
        </w:tabs>
        <w:ind w:left="3960" w:hanging="360"/>
      </w:pPr>
    </w:lvl>
    <w:lvl w:ilvl="5" w:tplc="576408AC" w:tentative="1">
      <w:start w:val="1"/>
      <w:numFmt w:val="lowerRoman"/>
      <w:lvlText w:val="%6."/>
      <w:lvlJc w:val="right"/>
      <w:pPr>
        <w:tabs>
          <w:tab w:val="num" w:pos="4680"/>
        </w:tabs>
        <w:ind w:left="4680" w:hanging="180"/>
      </w:pPr>
    </w:lvl>
    <w:lvl w:ilvl="6" w:tplc="3056A138" w:tentative="1">
      <w:start w:val="1"/>
      <w:numFmt w:val="decimal"/>
      <w:lvlText w:val="%7."/>
      <w:lvlJc w:val="left"/>
      <w:pPr>
        <w:tabs>
          <w:tab w:val="num" w:pos="5400"/>
        </w:tabs>
        <w:ind w:left="5400" w:hanging="360"/>
      </w:pPr>
    </w:lvl>
    <w:lvl w:ilvl="7" w:tplc="9048806C" w:tentative="1">
      <w:start w:val="1"/>
      <w:numFmt w:val="lowerLetter"/>
      <w:lvlText w:val="%8."/>
      <w:lvlJc w:val="left"/>
      <w:pPr>
        <w:tabs>
          <w:tab w:val="num" w:pos="6120"/>
        </w:tabs>
        <w:ind w:left="6120" w:hanging="360"/>
      </w:pPr>
    </w:lvl>
    <w:lvl w:ilvl="8" w:tplc="36A27302"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C4207F54">
      <w:start w:val="1"/>
      <w:numFmt w:val="bullet"/>
      <w:lvlText w:val="-"/>
      <w:lvlJc w:val="left"/>
      <w:pPr>
        <w:tabs>
          <w:tab w:val="num" w:pos="360"/>
        </w:tabs>
        <w:ind w:left="360" w:hanging="360"/>
      </w:pPr>
      <w:rPr>
        <w:rFonts w:ascii="Cambria" w:hAnsi="Cambria" w:hint="default"/>
      </w:rPr>
    </w:lvl>
    <w:lvl w:ilvl="1" w:tplc="35BE1160" w:tentative="1">
      <w:start w:val="1"/>
      <w:numFmt w:val="bullet"/>
      <w:lvlText w:val="o"/>
      <w:lvlJc w:val="left"/>
      <w:pPr>
        <w:ind w:left="1440" w:hanging="360"/>
      </w:pPr>
      <w:rPr>
        <w:rFonts w:ascii="Courier New" w:hAnsi="Courier New" w:cs="Courier New" w:hint="default"/>
      </w:rPr>
    </w:lvl>
    <w:lvl w:ilvl="2" w:tplc="0F4E9CBA" w:tentative="1">
      <w:start w:val="1"/>
      <w:numFmt w:val="bullet"/>
      <w:lvlText w:val=""/>
      <w:lvlJc w:val="left"/>
      <w:pPr>
        <w:ind w:left="2160" w:hanging="360"/>
      </w:pPr>
      <w:rPr>
        <w:rFonts w:ascii="Wingdings" w:hAnsi="Wingdings" w:hint="default"/>
      </w:rPr>
    </w:lvl>
    <w:lvl w:ilvl="3" w:tplc="24067588" w:tentative="1">
      <w:start w:val="1"/>
      <w:numFmt w:val="bullet"/>
      <w:lvlText w:val=""/>
      <w:lvlJc w:val="left"/>
      <w:pPr>
        <w:ind w:left="2880" w:hanging="360"/>
      </w:pPr>
      <w:rPr>
        <w:rFonts w:ascii="Symbol" w:hAnsi="Symbol" w:hint="default"/>
      </w:rPr>
    </w:lvl>
    <w:lvl w:ilvl="4" w:tplc="4874EB56" w:tentative="1">
      <w:start w:val="1"/>
      <w:numFmt w:val="bullet"/>
      <w:lvlText w:val="o"/>
      <w:lvlJc w:val="left"/>
      <w:pPr>
        <w:ind w:left="3600" w:hanging="360"/>
      </w:pPr>
      <w:rPr>
        <w:rFonts w:ascii="Courier New" w:hAnsi="Courier New" w:cs="Courier New" w:hint="default"/>
      </w:rPr>
    </w:lvl>
    <w:lvl w:ilvl="5" w:tplc="CB96C7D0" w:tentative="1">
      <w:start w:val="1"/>
      <w:numFmt w:val="bullet"/>
      <w:lvlText w:val=""/>
      <w:lvlJc w:val="left"/>
      <w:pPr>
        <w:ind w:left="4320" w:hanging="360"/>
      </w:pPr>
      <w:rPr>
        <w:rFonts w:ascii="Wingdings" w:hAnsi="Wingdings" w:hint="default"/>
      </w:rPr>
    </w:lvl>
    <w:lvl w:ilvl="6" w:tplc="34BC9BC2" w:tentative="1">
      <w:start w:val="1"/>
      <w:numFmt w:val="bullet"/>
      <w:lvlText w:val=""/>
      <w:lvlJc w:val="left"/>
      <w:pPr>
        <w:ind w:left="5040" w:hanging="360"/>
      </w:pPr>
      <w:rPr>
        <w:rFonts w:ascii="Symbol" w:hAnsi="Symbol" w:hint="default"/>
      </w:rPr>
    </w:lvl>
    <w:lvl w:ilvl="7" w:tplc="F05813F8" w:tentative="1">
      <w:start w:val="1"/>
      <w:numFmt w:val="bullet"/>
      <w:lvlText w:val="o"/>
      <w:lvlJc w:val="left"/>
      <w:pPr>
        <w:ind w:left="5760" w:hanging="360"/>
      </w:pPr>
      <w:rPr>
        <w:rFonts w:ascii="Courier New" w:hAnsi="Courier New" w:cs="Courier New" w:hint="default"/>
      </w:rPr>
    </w:lvl>
    <w:lvl w:ilvl="8" w:tplc="8C004406"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CEB46F9E">
      <w:start w:val="1"/>
      <w:numFmt w:val="decimal"/>
      <w:lvlText w:val="%1."/>
      <w:lvlJc w:val="left"/>
      <w:pPr>
        <w:tabs>
          <w:tab w:val="num" w:pos="930"/>
        </w:tabs>
        <w:ind w:left="930" w:hanging="570"/>
      </w:pPr>
      <w:rPr>
        <w:rFonts w:hint="default"/>
      </w:rPr>
    </w:lvl>
    <w:lvl w:ilvl="1" w:tplc="9712084E">
      <w:start w:val="5"/>
      <w:numFmt w:val="decimal"/>
      <w:lvlText w:val="%2"/>
      <w:lvlJc w:val="left"/>
      <w:pPr>
        <w:tabs>
          <w:tab w:val="num" w:pos="1650"/>
        </w:tabs>
        <w:ind w:left="1650" w:hanging="570"/>
      </w:pPr>
      <w:rPr>
        <w:rFonts w:hint="default"/>
      </w:rPr>
    </w:lvl>
    <w:lvl w:ilvl="2" w:tplc="F7DE84FE" w:tentative="1">
      <w:start w:val="1"/>
      <w:numFmt w:val="lowerRoman"/>
      <w:lvlText w:val="%3."/>
      <w:lvlJc w:val="right"/>
      <w:pPr>
        <w:tabs>
          <w:tab w:val="num" w:pos="2160"/>
        </w:tabs>
        <w:ind w:left="2160" w:hanging="180"/>
      </w:pPr>
    </w:lvl>
    <w:lvl w:ilvl="3" w:tplc="90D6D316" w:tentative="1">
      <w:start w:val="1"/>
      <w:numFmt w:val="decimal"/>
      <w:lvlText w:val="%4."/>
      <w:lvlJc w:val="left"/>
      <w:pPr>
        <w:tabs>
          <w:tab w:val="num" w:pos="2880"/>
        </w:tabs>
        <w:ind w:left="2880" w:hanging="360"/>
      </w:pPr>
    </w:lvl>
    <w:lvl w:ilvl="4" w:tplc="AABC78B4" w:tentative="1">
      <w:start w:val="1"/>
      <w:numFmt w:val="lowerLetter"/>
      <w:lvlText w:val="%5."/>
      <w:lvlJc w:val="left"/>
      <w:pPr>
        <w:tabs>
          <w:tab w:val="num" w:pos="3600"/>
        </w:tabs>
        <w:ind w:left="3600" w:hanging="360"/>
      </w:pPr>
    </w:lvl>
    <w:lvl w:ilvl="5" w:tplc="2B3AAEBC" w:tentative="1">
      <w:start w:val="1"/>
      <w:numFmt w:val="lowerRoman"/>
      <w:lvlText w:val="%6."/>
      <w:lvlJc w:val="right"/>
      <w:pPr>
        <w:tabs>
          <w:tab w:val="num" w:pos="4320"/>
        </w:tabs>
        <w:ind w:left="4320" w:hanging="180"/>
      </w:pPr>
    </w:lvl>
    <w:lvl w:ilvl="6" w:tplc="F02A1C70" w:tentative="1">
      <w:start w:val="1"/>
      <w:numFmt w:val="decimal"/>
      <w:lvlText w:val="%7."/>
      <w:lvlJc w:val="left"/>
      <w:pPr>
        <w:tabs>
          <w:tab w:val="num" w:pos="5040"/>
        </w:tabs>
        <w:ind w:left="5040" w:hanging="360"/>
      </w:pPr>
    </w:lvl>
    <w:lvl w:ilvl="7" w:tplc="5A8E7660" w:tentative="1">
      <w:start w:val="1"/>
      <w:numFmt w:val="lowerLetter"/>
      <w:lvlText w:val="%8."/>
      <w:lvlJc w:val="left"/>
      <w:pPr>
        <w:tabs>
          <w:tab w:val="num" w:pos="5760"/>
        </w:tabs>
        <w:ind w:left="5760" w:hanging="360"/>
      </w:pPr>
    </w:lvl>
    <w:lvl w:ilvl="8" w:tplc="D9BA478E"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ED44CC96">
      <w:start w:val="1"/>
      <w:numFmt w:val="bullet"/>
      <w:lvlText w:val=""/>
      <w:lvlJc w:val="left"/>
      <w:pPr>
        <w:tabs>
          <w:tab w:val="num" w:pos="278"/>
        </w:tabs>
        <w:ind w:left="278" w:hanging="360"/>
      </w:pPr>
      <w:rPr>
        <w:rFonts w:ascii="Symbol" w:hAnsi="Symbol" w:hint="default"/>
      </w:rPr>
    </w:lvl>
    <w:lvl w:ilvl="1" w:tplc="10D2CAD2" w:tentative="1">
      <w:start w:val="1"/>
      <w:numFmt w:val="bullet"/>
      <w:lvlText w:val="o"/>
      <w:lvlJc w:val="left"/>
      <w:pPr>
        <w:tabs>
          <w:tab w:val="num" w:pos="1440"/>
        </w:tabs>
        <w:ind w:left="1440" w:hanging="360"/>
      </w:pPr>
      <w:rPr>
        <w:rFonts w:ascii="Courier New" w:hAnsi="Courier New" w:hint="default"/>
      </w:rPr>
    </w:lvl>
    <w:lvl w:ilvl="2" w:tplc="724EA696" w:tentative="1">
      <w:start w:val="1"/>
      <w:numFmt w:val="bullet"/>
      <w:lvlText w:val=""/>
      <w:lvlJc w:val="left"/>
      <w:pPr>
        <w:tabs>
          <w:tab w:val="num" w:pos="2160"/>
        </w:tabs>
        <w:ind w:left="2160" w:hanging="360"/>
      </w:pPr>
      <w:rPr>
        <w:rFonts w:ascii="Wingdings" w:hAnsi="Wingdings" w:hint="default"/>
      </w:rPr>
    </w:lvl>
    <w:lvl w:ilvl="3" w:tplc="4D44B962" w:tentative="1">
      <w:start w:val="1"/>
      <w:numFmt w:val="bullet"/>
      <w:lvlText w:val=""/>
      <w:lvlJc w:val="left"/>
      <w:pPr>
        <w:tabs>
          <w:tab w:val="num" w:pos="2880"/>
        </w:tabs>
        <w:ind w:left="2880" w:hanging="360"/>
      </w:pPr>
      <w:rPr>
        <w:rFonts w:ascii="Symbol" w:hAnsi="Symbol" w:hint="default"/>
      </w:rPr>
    </w:lvl>
    <w:lvl w:ilvl="4" w:tplc="59FC78FE" w:tentative="1">
      <w:start w:val="1"/>
      <w:numFmt w:val="bullet"/>
      <w:lvlText w:val="o"/>
      <w:lvlJc w:val="left"/>
      <w:pPr>
        <w:tabs>
          <w:tab w:val="num" w:pos="3600"/>
        </w:tabs>
        <w:ind w:left="3600" w:hanging="360"/>
      </w:pPr>
      <w:rPr>
        <w:rFonts w:ascii="Courier New" w:hAnsi="Courier New" w:hint="default"/>
      </w:rPr>
    </w:lvl>
    <w:lvl w:ilvl="5" w:tplc="1F72BECC" w:tentative="1">
      <w:start w:val="1"/>
      <w:numFmt w:val="bullet"/>
      <w:lvlText w:val=""/>
      <w:lvlJc w:val="left"/>
      <w:pPr>
        <w:tabs>
          <w:tab w:val="num" w:pos="4320"/>
        </w:tabs>
        <w:ind w:left="4320" w:hanging="360"/>
      </w:pPr>
      <w:rPr>
        <w:rFonts w:ascii="Wingdings" w:hAnsi="Wingdings" w:hint="default"/>
      </w:rPr>
    </w:lvl>
    <w:lvl w:ilvl="6" w:tplc="2B2A6CBE" w:tentative="1">
      <w:start w:val="1"/>
      <w:numFmt w:val="bullet"/>
      <w:lvlText w:val=""/>
      <w:lvlJc w:val="left"/>
      <w:pPr>
        <w:tabs>
          <w:tab w:val="num" w:pos="5040"/>
        </w:tabs>
        <w:ind w:left="5040" w:hanging="360"/>
      </w:pPr>
      <w:rPr>
        <w:rFonts w:ascii="Symbol" w:hAnsi="Symbol" w:hint="default"/>
      </w:rPr>
    </w:lvl>
    <w:lvl w:ilvl="7" w:tplc="4B300804" w:tentative="1">
      <w:start w:val="1"/>
      <w:numFmt w:val="bullet"/>
      <w:lvlText w:val="o"/>
      <w:lvlJc w:val="left"/>
      <w:pPr>
        <w:tabs>
          <w:tab w:val="num" w:pos="5760"/>
        </w:tabs>
        <w:ind w:left="5760" w:hanging="360"/>
      </w:pPr>
      <w:rPr>
        <w:rFonts w:ascii="Courier New" w:hAnsi="Courier New" w:hint="default"/>
      </w:rPr>
    </w:lvl>
    <w:lvl w:ilvl="8" w:tplc="E42CEE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94E8FC2C">
      <w:start w:val="5"/>
      <w:numFmt w:val="upperLetter"/>
      <w:lvlText w:val="%1."/>
      <w:lvlJc w:val="left"/>
      <w:pPr>
        <w:tabs>
          <w:tab w:val="num" w:pos="720"/>
        </w:tabs>
        <w:ind w:left="720" w:hanging="360"/>
      </w:pPr>
      <w:rPr>
        <w:rFonts w:hint="default"/>
      </w:rPr>
    </w:lvl>
    <w:lvl w:ilvl="1" w:tplc="B172F874" w:tentative="1">
      <w:start w:val="1"/>
      <w:numFmt w:val="lowerLetter"/>
      <w:lvlText w:val="%2."/>
      <w:lvlJc w:val="left"/>
      <w:pPr>
        <w:tabs>
          <w:tab w:val="num" w:pos="1440"/>
        </w:tabs>
        <w:ind w:left="1440" w:hanging="360"/>
      </w:pPr>
    </w:lvl>
    <w:lvl w:ilvl="2" w:tplc="235CF3F2" w:tentative="1">
      <w:start w:val="1"/>
      <w:numFmt w:val="lowerRoman"/>
      <w:lvlText w:val="%3."/>
      <w:lvlJc w:val="right"/>
      <w:pPr>
        <w:tabs>
          <w:tab w:val="num" w:pos="2160"/>
        </w:tabs>
        <w:ind w:left="2160" w:hanging="180"/>
      </w:pPr>
    </w:lvl>
    <w:lvl w:ilvl="3" w:tplc="25F23CE2" w:tentative="1">
      <w:start w:val="1"/>
      <w:numFmt w:val="decimal"/>
      <w:lvlText w:val="%4."/>
      <w:lvlJc w:val="left"/>
      <w:pPr>
        <w:tabs>
          <w:tab w:val="num" w:pos="2880"/>
        </w:tabs>
        <w:ind w:left="2880" w:hanging="360"/>
      </w:pPr>
    </w:lvl>
    <w:lvl w:ilvl="4" w:tplc="1AC2E7E2" w:tentative="1">
      <w:start w:val="1"/>
      <w:numFmt w:val="lowerLetter"/>
      <w:lvlText w:val="%5."/>
      <w:lvlJc w:val="left"/>
      <w:pPr>
        <w:tabs>
          <w:tab w:val="num" w:pos="3600"/>
        </w:tabs>
        <w:ind w:left="3600" w:hanging="360"/>
      </w:pPr>
    </w:lvl>
    <w:lvl w:ilvl="5" w:tplc="8FB6C0EE" w:tentative="1">
      <w:start w:val="1"/>
      <w:numFmt w:val="lowerRoman"/>
      <w:lvlText w:val="%6."/>
      <w:lvlJc w:val="right"/>
      <w:pPr>
        <w:tabs>
          <w:tab w:val="num" w:pos="4320"/>
        </w:tabs>
        <w:ind w:left="4320" w:hanging="180"/>
      </w:pPr>
    </w:lvl>
    <w:lvl w:ilvl="6" w:tplc="0D107A46" w:tentative="1">
      <w:start w:val="1"/>
      <w:numFmt w:val="decimal"/>
      <w:lvlText w:val="%7."/>
      <w:lvlJc w:val="left"/>
      <w:pPr>
        <w:tabs>
          <w:tab w:val="num" w:pos="5040"/>
        </w:tabs>
        <w:ind w:left="5040" w:hanging="360"/>
      </w:pPr>
    </w:lvl>
    <w:lvl w:ilvl="7" w:tplc="674C4DE4" w:tentative="1">
      <w:start w:val="1"/>
      <w:numFmt w:val="lowerLetter"/>
      <w:lvlText w:val="%8."/>
      <w:lvlJc w:val="left"/>
      <w:pPr>
        <w:tabs>
          <w:tab w:val="num" w:pos="5760"/>
        </w:tabs>
        <w:ind w:left="5760" w:hanging="360"/>
      </w:pPr>
    </w:lvl>
    <w:lvl w:ilvl="8" w:tplc="92681E52"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A6CF234">
      <w:start w:val="1"/>
      <w:numFmt w:val="bullet"/>
      <w:lvlText w:val=""/>
      <w:lvlJc w:val="left"/>
      <w:pPr>
        <w:tabs>
          <w:tab w:val="num" w:pos="776"/>
        </w:tabs>
        <w:ind w:left="776" w:hanging="360"/>
      </w:pPr>
      <w:rPr>
        <w:rFonts w:ascii="Symbol" w:hAnsi="Symbol" w:hint="default"/>
      </w:rPr>
    </w:lvl>
    <w:lvl w:ilvl="1" w:tplc="7C32F202" w:tentative="1">
      <w:start w:val="1"/>
      <w:numFmt w:val="bullet"/>
      <w:lvlText w:val="o"/>
      <w:lvlJc w:val="left"/>
      <w:pPr>
        <w:tabs>
          <w:tab w:val="num" w:pos="1496"/>
        </w:tabs>
        <w:ind w:left="1496" w:hanging="360"/>
      </w:pPr>
      <w:rPr>
        <w:rFonts w:ascii="Courier New" w:hAnsi="Courier New" w:hint="default"/>
      </w:rPr>
    </w:lvl>
    <w:lvl w:ilvl="2" w:tplc="F4A4EBE8" w:tentative="1">
      <w:start w:val="1"/>
      <w:numFmt w:val="bullet"/>
      <w:lvlText w:val=""/>
      <w:lvlJc w:val="left"/>
      <w:pPr>
        <w:tabs>
          <w:tab w:val="num" w:pos="2216"/>
        </w:tabs>
        <w:ind w:left="2216" w:hanging="360"/>
      </w:pPr>
      <w:rPr>
        <w:rFonts w:ascii="Wingdings" w:hAnsi="Wingdings" w:hint="default"/>
      </w:rPr>
    </w:lvl>
    <w:lvl w:ilvl="3" w:tplc="B52626E8" w:tentative="1">
      <w:start w:val="1"/>
      <w:numFmt w:val="bullet"/>
      <w:lvlText w:val=""/>
      <w:lvlJc w:val="left"/>
      <w:pPr>
        <w:tabs>
          <w:tab w:val="num" w:pos="2936"/>
        </w:tabs>
        <w:ind w:left="2936" w:hanging="360"/>
      </w:pPr>
      <w:rPr>
        <w:rFonts w:ascii="Symbol" w:hAnsi="Symbol" w:hint="default"/>
      </w:rPr>
    </w:lvl>
    <w:lvl w:ilvl="4" w:tplc="00FAD24C" w:tentative="1">
      <w:start w:val="1"/>
      <w:numFmt w:val="bullet"/>
      <w:lvlText w:val="o"/>
      <w:lvlJc w:val="left"/>
      <w:pPr>
        <w:tabs>
          <w:tab w:val="num" w:pos="3656"/>
        </w:tabs>
        <w:ind w:left="3656" w:hanging="360"/>
      </w:pPr>
      <w:rPr>
        <w:rFonts w:ascii="Courier New" w:hAnsi="Courier New" w:hint="default"/>
      </w:rPr>
    </w:lvl>
    <w:lvl w:ilvl="5" w:tplc="4670B7FE" w:tentative="1">
      <w:start w:val="1"/>
      <w:numFmt w:val="bullet"/>
      <w:lvlText w:val=""/>
      <w:lvlJc w:val="left"/>
      <w:pPr>
        <w:tabs>
          <w:tab w:val="num" w:pos="4376"/>
        </w:tabs>
        <w:ind w:left="4376" w:hanging="360"/>
      </w:pPr>
      <w:rPr>
        <w:rFonts w:ascii="Wingdings" w:hAnsi="Wingdings" w:hint="default"/>
      </w:rPr>
    </w:lvl>
    <w:lvl w:ilvl="6" w:tplc="0956A64E" w:tentative="1">
      <w:start w:val="1"/>
      <w:numFmt w:val="bullet"/>
      <w:lvlText w:val=""/>
      <w:lvlJc w:val="left"/>
      <w:pPr>
        <w:tabs>
          <w:tab w:val="num" w:pos="5096"/>
        </w:tabs>
        <w:ind w:left="5096" w:hanging="360"/>
      </w:pPr>
      <w:rPr>
        <w:rFonts w:ascii="Symbol" w:hAnsi="Symbol" w:hint="default"/>
      </w:rPr>
    </w:lvl>
    <w:lvl w:ilvl="7" w:tplc="9C168F02" w:tentative="1">
      <w:start w:val="1"/>
      <w:numFmt w:val="bullet"/>
      <w:lvlText w:val="o"/>
      <w:lvlJc w:val="left"/>
      <w:pPr>
        <w:tabs>
          <w:tab w:val="num" w:pos="5816"/>
        </w:tabs>
        <w:ind w:left="5816" w:hanging="360"/>
      </w:pPr>
      <w:rPr>
        <w:rFonts w:ascii="Courier New" w:hAnsi="Courier New" w:hint="default"/>
      </w:rPr>
    </w:lvl>
    <w:lvl w:ilvl="8" w:tplc="BB16BA94"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6BA031E6">
      <w:start w:val="1"/>
      <w:numFmt w:val="bullet"/>
      <w:lvlText w:val=""/>
      <w:lvlJc w:val="left"/>
      <w:pPr>
        <w:tabs>
          <w:tab w:val="num" w:pos="278"/>
        </w:tabs>
        <w:ind w:left="278" w:hanging="360"/>
      </w:pPr>
      <w:rPr>
        <w:rFonts w:ascii="Symbol" w:hAnsi="Symbol" w:hint="default"/>
      </w:rPr>
    </w:lvl>
    <w:lvl w:ilvl="1" w:tplc="A638550C" w:tentative="1">
      <w:start w:val="1"/>
      <w:numFmt w:val="bullet"/>
      <w:lvlText w:val="o"/>
      <w:lvlJc w:val="left"/>
      <w:pPr>
        <w:tabs>
          <w:tab w:val="num" w:pos="1440"/>
        </w:tabs>
        <w:ind w:left="1440" w:hanging="360"/>
      </w:pPr>
      <w:rPr>
        <w:rFonts w:ascii="Courier New" w:hAnsi="Courier New" w:hint="default"/>
      </w:rPr>
    </w:lvl>
    <w:lvl w:ilvl="2" w:tplc="01C2C1FC" w:tentative="1">
      <w:start w:val="1"/>
      <w:numFmt w:val="bullet"/>
      <w:lvlText w:val=""/>
      <w:lvlJc w:val="left"/>
      <w:pPr>
        <w:tabs>
          <w:tab w:val="num" w:pos="2160"/>
        </w:tabs>
        <w:ind w:left="2160" w:hanging="360"/>
      </w:pPr>
      <w:rPr>
        <w:rFonts w:ascii="Wingdings" w:hAnsi="Wingdings" w:hint="default"/>
      </w:rPr>
    </w:lvl>
    <w:lvl w:ilvl="3" w:tplc="9836E404" w:tentative="1">
      <w:start w:val="1"/>
      <w:numFmt w:val="bullet"/>
      <w:lvlText w:val=""/>
      <w:lvlJc w:val="left"/>
      <w:pPr>
        <w:tabs>
          <w:tab w:val="num" w:pos="2880"/>
        </w:tabs>
        <w:ind w:left="2880" w:hanging="360"/>
      </w:pPr>
      <w:rPr>
        <w:rFonts w:ascii="Symbol" w:hAnsi="Symbol" w:hint="default"/>
      </w:rPr>
    </w:lvl>
    <w:lvl w:ilvl="4" w:tplc="1704344C" w:tentative="1">
      <w:start w:val="1"/>
      <w:numFmt w:val="bullet"/>
      <w:lvlText w:val="o"/>
      <w:lvlJc w:val="left"/>
      <w:pPr>
        <w:tabs>
          <w:tab w:val="num" w:pos="3600"/>
        </w:tabs>
        <w:ind w:left="3600" w:hanging="360"/>
      </w:pPr>
      <w:rPr>
        <w:rFonts w:ascii="Courier New" w:hAnsi="Courier New" w:hint="default"/>
      </w:rPr>
    </w:lvl>
    <w:lvl w:ilvl="5" w:tplc="C374CD6C" w:tentative="1">
      <w:start w:val="1"/>
      <w:numFmt w:val="bullet"/>
      <w:lvlText w:val=""/>
      <w:lvlJc w:val="left"/>
      <w:pPr>
        <w:tabs>
          <w:tab w:val="num" w:pos="4320"/>
        </w:tabs>
        <w:ind w:left="4320" w:hanging="360"/>
      </w:pPr>
      <w:rPr>
        <w:rFonts w:ascii="Wingdings" w:hAnsi="Wingdings" w:hint="default"/>
      </w:rPr>
    </w:lvl>
    <w:lvl w:ilvl="6" w:tplc="5D9A6974" w:tentative="1">
      <w:start w:val="1"/>
      <w:numFmt w:val="bullet"/>
      <w:lvlText w:val=""/>
      <w:lvlJc w:val="left"/>
      <w:pPr>
        <w:tabs>
          <w:tab w:val="num" w:pos="5040"/>
        </w:tabs>
        <w:ind w:left="5040" w:hanging="360"/>
      </w:pPr>
      <w:rPr>
        <w:rFonts w:ascii="Symbol" w:hAnsi="Symbol" w:hint="default"/>
      </w:rPr>
    </w:lvl>
    <w:lvl w:ilvl="7" w:tplc="1020E424" w:tentative="1">
      <w:start w:val="1"/>
      <w:numFmt w:val="bullet"/>
      <w:lvlText w:val="o"/>
      <w:lvlJc w:val="left"/>
      <w:pPr>
        <w:tabs>
          <w:tab w:val="num" w:pos="5760"/>
        </w:tabs>
        <w:ind w:left="5760" w:hanging="360"/>
      </w:pPr>
      <w:rPr>
        <w:rFonts w:ascii="Courier New" w:hAnsi="Courier New" w:hint="default"/>
      </w:rPr>
    </w:lvl>
    <w:lvl w:ilvl="8" w:tplc="F49A496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CC6E4CA4">
      <w:start w:val="1"/>
      <w:numFmt w:val="bullet"/>
      <w:lvlText w:val=""/>
      <w:lvlJc w:val="left"/>
      <w:pPr>
        <w:tabs>
          <w:tab w:val="num" w:pos="278"/>
        </w:tabs>
        <w:ind w:left="278" w:hanging="360"/>
      </w:pPr>
      <w:rPr>
        <w:rFonts w:ascii="Symbol" w:hAnsi="Symbol" w:hint="default"/>
      </w:rPr>
    </w:lvl>
    <w:lvl w:ilvl="1" w:tplc="AE50DE5C" w:tentative="1">
      <w:start w:val="1"/>
      <w:numFmt w:val="bullet"/>
      <w:lvlText w:val="o"/>
      <w:lvlJc w:val="left"/>
      <w:pPr>
        <w:tabs>
          <w:tab w:val="num" w:pos="1440"/>
        </w:tabs>
        <w:ind w:left="1440" w:hanging="360"/>
      </w:pPr>
      <w:rPr>
        <w:rFonts w:ascii="Courier New" w:hAnsi="Courier New" w:hint="default"/>
      </w:rPr>
    </w:lvl>
    <w:lvl w:ilvl="2" w:tplc="23F27CD2" w:tentative="1">
      <w:start w:val="1"/>
      <w:numFmt w:val="bullet"/>
      <w:lvlText w:val=""/>
      <w:lvlJc w:val="left"/>
      <w:pPr>
        <w:tabs>
          <w:tab w:val="num" w:pos="2160"/>
        </w:tabs>
        <w:ind w:left="2160" w:hanging="360"/>
      </w:pPr>
      <w:rPr>
        <w:rFonts w:ascii="Wingdings" w:hAnsi="Wingdings" w:hint="default"/>
      </w:rPr>
    </w:lvl>
    <w:lvl w:ilvl="3" w:tplc="FBB85C7E" w:tentative="1">
      <w:start w:val="1"/>
      <w:numFmt w:val="bullet"/>
      <w:lvlText w:val=""/>
      <w:lvlJc w:val="left"/>
      <w:pPr>
        <w:tabs>
          <w:tab w:val="num" w:pos="2880"/>
        </w:tabs>
        <w:ind w:left="2880" w:hanging="360"/>
      </w:pPr>
      <w:rPr>
        <w:rFonts w:ascii="Symbol" w:hAnsi="Symbol" w:hint="default"/>
      </w:rPr>
    </w:lvl>
    <w:lvl w:ilvl="4" w:tplc="B9D0EA48" w:tentative="1">
      <w:start w:val="1"/>
      <w:numFmt w:val="bullet"/>
      <w:lvlText w:val="o"/>
      <w:lvlJc w:val="left"/>
      <w:pPr>
        <w:tabs>
          <w:tab w:val="num" w:pos="3600"/>
        </w:tabs>
        <w:ind w:left="3600" w:hanging="360"/>
      </w:pPr>
      <w:rPr>
        <w:rFonts w:ascii="Courier New" w:hAnsi="Courier New" w:hint="default"/>
      </w:rPr>
    </w:lvl>
    <w:lvl w:ilvl="5" w:tplc="5F187DAA" w:tentative="1">
      <w:start w:val="1"/>
      <w:numFmt w:val="bullet"/>
      <w:lvlText w:val=""/>
      <w:lvlJc w:val="left"/>
      <w:pPr>
        <w:tabs>
          <w:tab w:val="num" w:pos="4320"/>
        </w:tabs>
        <w:ind w:left="4320" w:hanging="360"/>
      </w:pPr>
      <w:rPr>
        <w:rFonts w:ascii="Wingdings" w:hAnsi="Wingdings" w:hint="default"/>
      </w:rPr>
    </w:lvl>
    <w:lvl w:ilvl="6" w:tplc="6F1E7260" w:tentative="1">
      <w:start w:val="1"/>
      <w:numFmt w:val="bullet"/>
      <w:lvlText w:val=""/>
      <w:lvlJc w:val="left"/>
      <w:pPr>
        <w:tabs>
          <w:tab w:val="num" w:pos="5040"/>
        </w:tabs>
        <w:ind w:left="5040" w:hanging="360"/>
      </w:pPr>
      <w:rPr>
        <w:rFonts w:ascii="Symbol" w:hAnsi="Symbol" w:hint="default"/>
      </w:rPr>
    </w:lvl>
    <w:lvl w:ilvl="7" w:tplc="59B4E51E" w:tentative="1">
      <w:start w:val="1"/>
      <w:numFmt w:val="bullet"/>
      <w:lvlText w:val="o"/>
      <w:lvlJc w:val="left"/>
      <w:pPr>
        <w:tabs>
          <w:tab w:val="num" w:pos="5760"/>
        </w:tabs>
        <w:ind w:left="5760" w:hanging="360"/>
      </w:pPr>
      <w:rPr>
        <w:rFonts w:ascii="Courier New" w:hAnsi="Courier New" w:hint="default"/>
      </w:rPr>
    </w:lvl>
    <w:lvl w:ilvl="8" w:tplc="5C26BB1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2148EEA">
      <w:start w:val="1"/>
      <w:numFmt w:val="decimal"/>
      <w:lvlText w:val="%1."/>
      <w:lvlJc w:val="left"/>
      <w:pPr>
        <w:tabs>
          <w:tab w:val="num" w:pos="720"/>
        </w:tabs>
        <w:ind w:left="720" w:hanging="360"/>
      </w:pPr>
    </w:lvl>
    <w:lvl w:ilvl="1" w:tplc="08DADBE8" w:tentative="1">
      <w:start w:val="1"/>
      <w:numFmt w:val="lowerLetter"/>
      <w:lvlText w:val="%2."/>
      <w:lvlJc w:val="left"/>
      <w:pPr>
        <w:tabs>
          <w:tab w:val="num" w:pos="1440"/>
        </w:tabs>
        <w:ind w:left="1440" w:hanging="360"/>
      </w:pPr>
    </w:lvl>
    <w:lvl w:ilvl="2" w:tplc="1708D5B0" w:tentative="1">
      <w:start w:val="1"/>
      <w:numFmt w:val="lowerRoman"/>
      <w:lvlText w:val="%3."/>
      <w:lvlJc w:val="right"/>
      <w:pPr>
        <w:tabs>
          <w:tab w:val="num" w:pos="2160"/>
        </w:tabs>
        <w:ind w:left="2160" w:hanging="180"/>
      </w:pPr>
    </w:lvl>
    <w:lvl w:ilvl="3" w:tplc="65D64130" w:tentative="1">
      <w:start w:val="1"/>
      <w:numFmt w:val="decimal"/>
      <w:lvlText w:val="%4."/>
      <w:lvlJc w:val="left"/>
      <w:pPr>
        <w:tabs>
          <w:tab w:val="num" w:pos="2880"/>
        </w:tabs>
        <w:ind w:left="2880" w:hanging="360"/>
      </w:pPr>
    </w:lvl>
    <w:lvl w:ilvl="4" w:tplc="1B2847B6" w:tentative="1">
      <w:start w:val="1"/>
      <w:numFmt w:val="lowerLetter"/>
      <w:lvlText w:val="%5."/>
      <w:lvlJc w:val="left"/>
      <w:pPr>
        <w:tabs>
          <w:tab w:val="num" w:pos="3600"/>
        </w:tabs>
        <w:ind w:left="3600" w:hanging="360"/>
      </w:pPr>
    </w:lvl>
    <w:lvl w:ilvl="5" w:tplc="69BCC1F0" w:tentative="1">
      <w:start w:val="1"/>
      <w:numFmt w:val="lowerRoman"/>
      <w:lvlText w:val="%6."/>
      <w:lvlJc w:val="right"/>
      <w:pPr>
        <w:tabs>
          <w:tab w:val="num" w:pos="4320"/>
        </w:tabs>
        <w:ind w:left="4320" w:hanging="180"/>
      </w:pPr>
    </w:lvl>
    <w:lvl w:ilvl="6" w:tplc="CE820E02" w:tentative="1">
      <w:start w:val="1"/>
      <w:numFmt w:val="decimal"/>
      <w:lvlText w:val="%7."/>
      <w:lvlJc w:val="left"/>
      <w:pPr>
        <w:tabs>
          <w:tab w:val="num" w:pos="5040"/>
        </w:tabs>
        <w:ind w:left="5040" w:hanging="360"/>
      </w:pPr>
    </w:lvl>
    <w:lvl w:ilvl="7" w:tplc="BC603BA8" w:tentative="1">
      <w:start w:val="1"/>
      <w:numFmt w:val="lowerLetter"/>
      <w:lvlText w:val="%8."/>
      <w:lvlJc w:val="left"/>
      <w:pPr>
        <w:tabs>
          <w:tab w:val="num" w:pos="5760"/>
        </w:tabs>
        <w:ind w:left="5760" w:hanging="360"/>
      </w:pPr>
    </w:lvl>
    <w:lvl w:ilvl="8" w:tplc="0C6038D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3B64E00">
      <w:start w:val="4"/>
      <w:numFmt w:val="upperLetter"/>
      <w:lvlText w:val="%1."/>
      <w:lvlJc w:val="left"/>
      <w:pPr>
        <w:tabs>
          <w:tab w:val="num" w:pos="930"/>
        </w:tabs>
        <w:ind w:left="930" w:hanging="570"/>
      </w:pPr>
      <w:rPr>
        <w:rFonts w:hint="default"/>
      </w:rPr>
    </w:lvl>
    <w:lvl w:ilvl="1" w:tplc="C3F2AD44" w:tentative="1">
      <w:start w:val="1"/>
      <w:numFmt w:val="lowerLetter"/>
      <w:lvlText w:val="%2."/>
      <w:lvlJc w:val="left"/>
      <w:pPr>
        <w:tabs>
          <w:tab w:val="num" w:pos="1440"/>
        </w:tabs>
        <w:ind w:left="1440" w:hanging="360"/>
      </w:pPr>
    </w:lvl>
    <w:lvl w:ilvl="2" w:tplc="B2BA0A76" w:tentative="1">
      <w:start w:val="1"/>
      <w:numFmt w:val="lowerRoman"/>
      <w:lvlText w:val="%3."/>
      <w:lvlJc w:val="right"/>
      <w:pPr>
        <w:tabs>
          <w:tab w:val="num" w:pos="2160"/>
        </w:tabs>
        <w:ind w:left="2160" w:hanging="180"/>
      </w:pPr>
    </w:lvl>
    <w:lvl w:ilvl="3" w:tplc="B9EE501E" w:tentative="1">
      <w:start w:val="1"/>
      <w:numFmt w:val="decimal"/>
      <w:lvlText w:val="%4."/>
      <w:lvlJc w:val="left"/>
      <w:pPr>
        <w:tabs>
          <w:tab w:val="num" w:pos="2880"/>
        </w:tabs>
        <w:ind w:left="2880" w:hanging="360"/>
      </w:pPr>
    </w:lvl>
    <w:lvl w:ilvl="4" w:tplc="EB98C876" w:tentative="1">
      <w:start w:val="1"/>
      <w:numFmt w:val="lowerLetter"/>
      <w:lvlText w:val="%5."/>
      <w:lvlJc w:val="left"/>
      <w:pPr>
        <w:tabs>
          <w:tab w:val="num" w:pos="3600"/>
        </w:tabs>
        <w:ind w:left="3600" w:hanging="360"/>
      </w:pPr>
    </w:lvl>
    <w:lvl w:ilvl="5" w:tplc="F776257A" w:tentative="1">
      <w:start w:val="1"/>
      <w:numFmt w:val="lowerRoman"/>
      <w:lvlText w:val="%6."/>
      <w:lvlJc w:val="right"/>
      <w:pPr>
        <w:tabs>
          <w:tab w:val="num" w:pos="4320"/>
        </w:tabs>
        <w:ind w:left="4320" w:hanging="180"/>
      </w:pPr>
    </w:lvl>
    <w:lvl w:ilvl="6" w:tplc="2E20E166" w:tentative="1">
      <w:start w:val="1"/>
      <w:numFmt w:val="decimal"/>
      <w:lvlText w:val="%7."/>
      <w:lvlJc w:val="left"/>
      <w:pPr>
        <w:tabs>
          <w:tab w:val="num" w:pos="5040"/>
        </w:tabs>
        <w:ind w:left="5040" w:hanging="360"/>
      </w:pPr>
    </w:lvl>
    <w:lvl w:ilvl="7" w:tplc="C9126910" w:tentative="1">
      <w:start w:val="1"/>
      <w:numFmt w:val="lowerLetter"/>
      <w:lvlText w:val="%8."/>
      <w:lvlJc w:val="left"/>
      <w:pPr>
        <w:tabs>
          <w:tab w:val="num" w:pos="5760"/>
        </w:tabs>
        <w:ind w:left="5760" w:hanging="360"/>
      </w:pPr>
    </w:lvl>
    <w:lvl w:ilvl="8" w:tplc="FEFC9B20"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752EF532">
      <w:start w:val="1"/>
      <w:numFmt w:val="bullet"/>
      <w:lvlText w:val=""/>
      <w:lvlJc w:val="left"/>
      <w:pPr>
        <w:tabs>
          <w:tab w:val="num" w:pos="278"/>
        </w:tabs>
        <w:ind w:left="278" w:hanging="360"/>
      </w:pPr>
      <w:rPr>
        <w:rFonts w:ascii="Symbol" w:hAnsi="Symbol" w:hint="default"/>
      </w:rPr>
    </w:lvl>
    <w:lvl w:ilvl="1" w:tplc="1DD858DC">
      <w:start w:val="1"/>
      <w:numFmt w:val="bullet"/>
      <w:lvlText w:val="o"/>
      <w:lvlJc w:val="left"/>
      <w:pPr>
        <w:tabs>
          <w:tab w:val="num" w:pos="1440"/>
        </w:tabs>
        <w:ind w:left="1440" w:hanging="360"/>
      </w:pPr>
      <w:rPr>
        <w:rFonts w:ascii="Courier New" w:hAnsi="Courier New" w:hint="default"/>
      </w:rPr>
    </w:lvl>
    <w:lvl w:ilvl="2" w:tplc="67B28BAC" w:tentative="1">
      <w:start w:val="1"/>
      <w:numFmt w:val="bullet"/>
      <w:lvlText w:val=""/>
      <w:lvlJc w:val="left"/>
      <w:pPr>
        <w:tabs>
          <w:tab w:val="num" w:pos="2160"/>
        </w:tabs>
        <w:ind w:left="2160" w:hanging="360"/>
      </w:pPr>
      <w:rPr>
        <w:rFonts w:ascii="Wingdings" w:hAnsi="Wingdings" w:hint="default"/>
      </w:rPr>
    </w:lvl>
    <w:lvl w:ilvl="3" w:tplc="E556B958" w:tentative="1">
      <w:start w:val="1"/>
      <w:numFmt w:val="bullet"/>
      <w:lvlText w:val=""/>
      <w:lvlJc w:val="left"/>
      <w:pPr>
        <w:tabs>
          <w:tab w:val="num" w:pos="2880"/>
        </w:tabs>
        <w:ind w:left="2880" w:hanging="360"/>
      </w:pPr>
      <w:rPr>
        <w:rFonts w:ascii="Symbol" w:hAnsi="Symbol" w:hint="default"/>
      </w:rPr>
    </w:lvl>
    <w:lvl w:ilvl="4" w:tplc="1B0CFB18" w:tentative="1">
      <w:start w:val="1"/>
      <w:numFmt w:val="bullet"/>
      <w:lvlText w:val="o"/>
      <w:lvlJc w:val="left"/>
      <w:pPr>
        <w:tabs>
          <w:tab w:val="num" w:pos="3600"/>
        </w:tabs>
        <w:ind w:left="3600" w:hanging="360"/>
      </w:pPr>
      <w:rPr>
        <w:rFonts w:ascii="Courier New" w:hAnsi="Courier New" w:hint="default"/>
      </w:rPr>
    </w:lvl>
    <w:lvl w:ilvl="5" w:tplc="68FC2164" w:tentative="1">
      <w:start w:val="1"/>
      <w:numFmt w:val="bullet"/>
      <w:lvlText w:val=""/>
      <w:lvlJc w:val="left"/>
      <w:pPr>
        <w:tabs>
          <w:tab w:val="num" w:pos="4320"/>
        </w:tabs>
        <w:ind w:left="4320" w:hanging="360"/>
      </w:pPr>
      <w:rPr>
        <w:rFonts w:ascii="Wingdings" w:hAnsi="Wingdings" w:hint="default"/>
      </w:rPr>
    </w:lvl>
    <w:lvl w:ilvl="6" w:tplc="7ABACEF4" w:tentative="1">
      <w:start w:val="1"/>
      <w:numFmt w:val="bullet"/>
      <w:lvlText w:val=""/>
      <w:lvlJc w:val="left"/>
      <w:pPr>
        <w:tabs>
          <w:tab w:val="num" w:pos="5040"/>
        </w:tabs>
        <w:ind w:left="5040" w:hanging="360"/>
      </w:pPr>
      <w:rPr>
        <w:rFonts w:ascii="Symbol" w:hAnsi="Symbol" w:hint="default"/>
      </w:rPr>
    </w:lvl>
    <w:lvl w:ilvl="7" w:tplc="FE4AE07E" w:tentative="1">
      <w:start w:val="1"/>
      <w:numFmt w:val="bullet"/>
      <w:lvlText w:val="o"/>
      <w:lvlJc w:val="left"/>
      <w:pPr>
        <w:tabs>
          <w:tab w:val="num" w:pos="5760"/>
        </w:tabs>
        <w:ind w:left="5760" w:hanging="360"/>
      </w:pPr>
      <w:rPr>
        <w:rFonts w:ascii="Courier New" w:hAnsi="Courier New" w:hint="default"/>
      </w:rPr>
    </w:lvl>
    <w:lvl w:ilvl="8" w:tplc="C2084A3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4"/>
  </w:num>
  <w:num w:numId="6">
    <w:abstractNumId w:val="25"/>
  </w:num>
  <w:num w:numId="7">
    <w:abstractNumId w:val="20"/>
  </w:num>
  <w:num w:numId="8">
    <w:abstractNumId w:val="9"/>
  </w:num>
  <w:num w:numId="9">
    <w:abstractNumId w:val="30"/>
  </w:num>
  <w:num w:numId="10">
    <w:abstractNumId w:val="31"/>
  </w:num>
  <w:num w:numId="11">
    <w:abstractNumId w:val="16"/>
  </w:num>
  <w:num w:numId="12">
    <w:abstractNumId w:val="15"/>
  </w:num>
  <w:num w:numId="13">
    <w:abstractNumId w:val="3"/>
  </w:num>
  <w:num w:numId="14">
    <w:abstractNumId w:val="29"/>
  </w:num>
  <w:num w:numId="15">
    <w:abstractNumId w:val="19"/>
  </w:num>
  <w:num w:numId="16">
    <w:abstractNumId w:val="34"/>
  </w:num>
  <w:num w:numId="17">
    <w:abstractNumId w:val="10"/>
  </w:num>
  <w:num w:numId="18">
    <w:abstractNumId w:val="1"/>
  </w:num>
  <w:num w:numId="19">
    <w:abstractNumId w:val="17"/>
  </w:num>
  <w:num w:numId="20">
    <w:abstractNumId w:val="4"/>
  </w:num>
  <w:num w:numId="21">
    <w:abstractNumId w:val="8"/>
  </w:num>
  <w:num w:numId="22">
    <w:abstractNumId w:val="27"/>
  </w:num>
  <w:num w:numId="23">
    <w:abstractNumId w:val="35"/>
  </w:num>
  <w:num w:numId="24">
    <w:abstractNumId w:val="22"/>
  </w:num>
  <w:num w:numId="25">
    <w:abstractNumId w:val="11"/>
  </w:num>
  <w:num w:numId="26">
    <w:abstractNumId w:val="13"/>
  </w:num>
  <w:num w:numId="27">
    <w:abstractNumId w:val="6"/>
  </w:num>
  <w:num w:numId="28">
    <w:abstractNumId w:val="7"/>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1CA4"/>
    <w:rsid w:val="000135C1"/>
    <w:rsid w:val="00020A50"/>
    <w:rsid w:val="00021B82"/>
    <w:rsid w:val="00024777"/>
    <w:rsid w:val="00024E21"/>
    <w:rsid w:val="00027100"/>
    <w:rsid w:val="00031A38"/>
    <w:rsid w:val="00036C50"/>
    <w:rsid w:val="00041744"/>
    <w:rsid w:val="0004514B"/>
    <w:rsid w:val="00052D2B"/>
    <w:rsid w:val="00054F55"/>
    <w:rsid w:val="00062945"/>
    <w:rsid w:val="00064E9F"/>
    <w:rsid w:val="00070D27"/>
    <w:rsid w:val="0007185A"/>
    <w:rsid w:val="00074F67"/>
    <w:rsid w:val="00080453"/>
    <w:rsid w:val="0008169A"/>
    <w:rsid w:val="00082200"/>
    <w:rsid w:val="000822BA"/>
    <w:rsid w:val="00085D77"/>
    <w:rsid w:val="000860CE"/>
    <w:rsid w:val="0008733E"/>
    <w:rsid w:val="00087BE9"/>
    <w:rsid w:val="00092A37"/>
    <w:rsid w:val="000938A6"/>
    <w:rsid w:val="00096E78"/>
    <w:rsid w:val="00097C1E"/>
    <w:rsid w:val="000A007A"/>
    <w:rsid w:val="000A087B"/>
    <w:rsid w:val="000A1DF5"/>
    <w:rsid w:val="000A48F0"/>
    <w:rsid w:val="000A7930"/>
    <w:rsid w:val="000B700D"/>
    <w:rsid w:val="000B7873"/>
    <w:rsid w:val="000C02A1"/>
    <w:rsid w:val="000C1D4F"/>
    <w:rsid w:val="000C687A"/>
    <w:rsid w:val="000D67D0"/>
    <w:rsid w:val="000E195C"/>
    <w:rsid w:val="000E3602"/>
    <w:rsid w:val="000E705A"/>
    <w:rsid w:val="000F104D"/>
    <w:rsid w:val="000F38DA"/>
    <w:rsid w:val="000F5822"/>
    <w:rsid w:val="000F67CB"/>
    <w:rsid w:val="000F796B"/>
    <w:rsid w:val="000F7D7C"/>
    <w:rsid w:val="0010031E"/>
    <w:rsid w:val="0010063B"/>
    <w:rsid w:val="001012EB"/>
    <w:rsid w:val="00101CF9"/>
    <w:rsid w:val="00102E4E"/>
    <w:rsid w:val="0010666A"/>
    <w:rsid w:val="001078D1"/>
    <w:rsid w:val="00111185"/>
    <w:rsid w:val="00115782"/>
    <w:rsid w:val="00121A38"/>
    <w:rsid w:val="00124F36"/>
    <w:rsid w:val="00125666"/>
    <w:rsid w:val="00125C80"/>
    <w:rsid w:val="0013068E"/>
    <w:rsid w:val="001341F1"/>
    <w:rsid w:val="0013799F"/>
    <w:rsid w:val="00140DF6"/>
    <w:rsid w:val="00145C3F"/>
    <w:rsid w:val="00145D34"/>
    <w:rsid w:val="00146284"/>
    <w:rsid w:val="0014690F"/>
    <w:rsid w:val="00147699"/>
    <w:rsid w:val="0015098E"/>
    <w:rsid w:val="001549A9"/>
    <w:rsid w:val="00160F6B"/>
    <w:rsid w:val="00162CF9"/>
    <w:rsid w:val="00164543"/>
    <w:rsid w:val="00167075"/>
    <w:rsid w:val="001674D3"/>
    <w:rsid w:val="00175264"/>
    <w:rsid w:val="001803D2"/>
    <w:rsid w:val="00181E08"/>
    <w:rsid w:val="0018228B"/>
    <w:rsid w:val="0018564A"/>
    <w:rsid w:val="00185A5A"/>
    <w:rsid w:val="00185B50"/>
    <w:rsid w:val="00186183"/>
    <w:rsid w:val="0018625C"/>
    <w:rsid w:val="00186B08"/>
    <w:rsid w:val="00187DE7"/>
    <w:rsid w:val="00187E62"/>
    <w:rsid w:val="00192045"/>
    <w:rsid w:val="00192D98"/>
    <w:rsid w:val="00193B14"/>
    <w:rsid w:val="00193E72"/>
    <w:rsid w:val="00195267"/>
    <w:rsid w:val="001956D8"/>
    <w:rsid w:val="0019600B"/>
    <w:rsid w:val="0019686E"/>
    <w:rsid w:val="00197144"/>
    <w:rsid w:val="001A0E2C"/>
    <w:rsid w:val="001A195D"/>
    <w:rsid w:val="001A28C9"/>
    <w:rsid w:val="001A34BC"/>
    <w:rsid w:val="001A3F9F"/>
    <w:rsid w:val="001B1C77"/>
    <w:rsid w:val="001B26EB"/>
    <w:rsid w:val="001B6F4A"/>
    <w:rsid w:val="001C0144"/>
    <w:rsid w:val="001C5288"/>
    <w:rsid w:val="001C57D5"/>
    <w:rsid w:val="001C5ADE"/>
    <w:rsid w:val="001C5B03"/>
    <w:rsid w:val="001C70A4"/>
    <w:rsid w:val="001D139A"/>
    <w:rsid w:val="001D2C61"/>
    <w:rsid w:val="001D6052"/>
    <w:rsid w:val="001D6D96"/>
    <w:rsid w:val="001E0272"/>
    <w:rsid w:val="001E5621"/>
    <w:rsid w:val="001F3EF9"/>
    <w:rsid w:val="001F4F6D"/>
    <w:rsid w:val="001F627D"/>
    <w:rsid w:val="001F6622"/>
    <w:rsid w:val="0020126C"/>
    <w:rsid w:val="00204AA6"/>
    <w:rsid w:val="002100FC"/>
    <w:rsid w:val="00213393"/>
    <w:rsid w:val="00213890"/>
    <w:rsid w:val="00214E52"/>
    <w:rsid w:val="002207C0"/>
    <w:rsid w:val="00224791"/>
    <w:rsid w:val="00224B93"/>
    <w:rsid w:val="0023676E"/>
    <w:rsid w:val="0024080A"/>
    <w:rsid w:val="002414B6"/>
    <w:rsid w:val="002422EB"/>
    <w:rsid w:val="00242397"/>
    <w:rsid w:val="00247A48"/>
    <w:rsid w:val="00250DD1"/>
    <w:rsid w:val="00251183"/>
    <w:rsid w:val="00251689"/>
    <w:rsid w:val="0025267C"/>
    <w:rsid w:val="00253B6B"/>
    <w:rsid w:val="002647E4"/>
    <w:rsid w:val="00265656"/>
    <w:rsid w:val="00265E77"/>
    <w:rsid w:val="00266155"/>
    <w:rsid w:val="0027270B"/>
    <w:rsid w:val="00282E7B"/>
    <w:rsid w:val="002838C8"/>
    <w:rsid w:val="002845B4"/>
    <w:rsid w:val="00290805"/>
    <w:rsid w:val="00290C2A"/>
    <w:rsid w:val="002931DD"/>
    <w:rsid w:val="0029470A"/>
    <w:rsid w:val="00294EE2"/>
    <w:rsid w:val="00295140"/>
    <w:rsid w:val="002A0E7C"/>
    <w:rsid w:val="002A21ED"/>
    <w:rsid w:val="002A3F88"/>
    <w:rsid w:val="002A710D"/>
    <w:rsid w:val="002B0F11"/>
    <w:rsid w:val="002B2E17"/>
    <w:rsid w:val="002B3339"/>
    <w:rsid w:val="002B6560"/>
    <w:rsid w:val="002C4E55"/>
    <w:rsid w:val="002C55FF"/>
    <w:rsid w:val="002C592B"/>
    <w:rsid w:val="002D2DA2"/>
    <w:rsid w:val="002D2EDE"/>
    <w:rsid w:val="002D300D"/>
    <w:rsid w:val="002E0CD4"/>
    <w:rsid w:val="002E2902"/>
    <w:rsid w:val="002E3A90"/>
    <w:rsid w:val="002E46CC"/>
    <w:rsid w:val="002E4F48"/>
    <w:rsid w:val="002E62CB"/>
    <w:rsid w:val="002E6DF1"/>
    <w:rsid w:val="002E6ED9"/>
    <w:rsid w:val="002F0957"/>
    <w:rsid w:val="002F41AD"/>
    <w:rsid w:val="002F43F6"/>
    <w:rsid w:val="002F6032"/>
    <w:rsid w:val="002F6DAA"/>
    <w:rsid w:val="002F7113"/>
    <w:rsid w:val="002F71D5"/>
    <w:rsid w:val="00300013"/>
    <w:rsid w:val="003020BB"/>
    <w:rsid w:val="00302266"/>
    <w:rsid w:val="00304393"/>
    <w:rsid w:val="00305AB2"/>
    <w:rsid w:val="00306833"/>
    <w:rsid w:val="0031032B"/>
    <w:rsid w:val="003157D0"/>
    <w:rsid w:val="00316E87"/>
    <w:rsid w:val="0032453E"/>
    <w:rsid w:val="00325053"/>
    <w:rsid w:val="003256AC"/>
    <w:rsid w:val="0033129D"/>
    <w:rsid w:val="00331AD1"/>
    <w:rsid w:val="003320ED"/>
    <w:rsid w:val="0033480E"/>
    <w:rsid w:val="00337123"/>
    <w:rsid w:val="00340FFC"/>
    <w:rsid w:val="00341866"/>
    <w:rsid w:val="0034378D"/>
    <w:rsid w:val="00346039"/>
    <w:rsid w:val="00352361"/>
    <w:rsid w:val="003535E0"/>
    <w:rsid w:val="003552E4"/>
    <w:rsid w:val="00355D02"/>
    <w:rsid w:val="003568DF"/>
    <w:rsid w:val="00357C73"/>
    <w:rsid w:val="003615F4"/>
    <w:rsid w:val="00361607"/>
    <w:rsid w:val="00362640"/>
    <w:rsid w:val="003657B0"/>
    <w:rsid w:val="0036675E"/>
    <w:rsid w:val="00366F56"/>
    <w:rsid w:val="0037067E"/>
    <w:rsid w:val="003728E6"/>
    <w:rsid w:val="003737C8"/>
    <w:rsid w:val="0037589D"/>
    <w:rsid w:val="00376BB1"/>
    <w:rsid w:val="00377E23"/>
    <w:rsid w:val="003803CC"/>
    <w:rsid w:val="0038277C"/>
    <w:rsid w:val="003837F1"/>
    <w:rsid w:val="003841FC"/>
    <w:rsid w:val="0038638B"/>
    <w:rsid w:val="003909E0"/>
    <w:rsid w:val="00393E09"/>
    <w:rsid w:val="00395B15"/>
    <w:rsid w:val="00396026"/>
    <w:rsid w:val="003A31B9"/>
    <w:rsid w:val="003A3425"/>
    <w:rsid w:val="003A3E2F"/>
    <w:rsid w:val="003A6CCB"/>
    <w:rsid w:val="003B10C4"/>
    <w:rsid w:val="003B1526"/>
    <w:rsid w:val="003B43BB"/>
    <w:rsid w:val="003B48EB"/>
    <w:rsid w:val="003B5CD1"/>
    <w:rsid w:val="003C33FF"/>
    <w:rsid w:val="003C64A5"/>
    <w:rsid w:val="003C6C91"/>
    <w:rsid w:val="003C741A"/>
    <w:rsid w:val="003D03CC"/>
    <w:rsid w:val="003D378C"/>
    <w:rsid w:val="003D3893"/>
    <w:rsid w:val="003D43A1"/>
    <w:rsid w:val="003D4BB7"/>
    <w:rsid w:val="003D4FA2"/>
    <w:rsid w:val="003E0116"/>
    <w:rsid w:val="003E04B7"/>
    <w:rsid w:val="003E1762"/>
    <w:rsid w:val="003E26C3"/>
    <w:rsid w:val="003F0BC8"/>
    <w:rsid w:val="003F0D6C"/>
    <w:rsid w:val="003F0F26"/>
    <w:rsid w:val="003F12D9"/>
    <w:rsid w:val="003F1B4C"/>
    <w:rsid w:val="003F3CE6"/>
    <w:rsid w:val="003F677F"/>
    <w:rsid w:val="00400473"/>
    <w:rsid w:val="0040053C"/>
    <w:rsid w:val="004008F6"/>
    <w:rsid w:val="00402AC9"/>
    <w:rsid w:val="00402D93"/>
    <w:rsid w:val="004031E2"/>
    <w:rsid w:val="00412BBE"/>
    <w:rsid w:val="0041440C"/>
    <w:rsid w:val="00414B20"/>
    <w:rsid w:val="00417DE3"/>
    <w:rsid w:val="00420850"/>
    <w:rsid w:val="00423968"/>
    <w:rsid w:val="00427054"/>
    <w:rsid w:val="004304B1"/>
    <w:rsid w:val="00432DA8"/>
    <w:rsid w:val="00433061"/>
    <w:rsid w:val="0043320A"/>
    <w:rsid w:val="004332E3"/>
    <w:rsid w:val="00435E74"/>
    <w:rsid w:val="0043703C"/>
    <w:rsid w:val="004371A3"/>
    <w:rsid w:val="0043722B"/>
    <w:rsid w:val="004403A1"/>
    <w:rsid w:val="00446960"/>
    <w:rsid w:val="00446F37"/>
    <w:rsid w:val="004518A6"/>
    <w:rsid w:val="00453E1D"/>
    <w:rsid w:val="00454589"/>
    <w:rsid w:val="00456ED0"/>
    <w:rsid w:val="00457550"/>
    <w:rsid w:val="00457B74"/>
    <w:rsid w:val="0046107E"/>
    <w:rsid w:val="00461B2A"/>
    <w:rsid w:val="004620A4"/>
    <w:rsid w:val="004710CF"/>
    <w:rsid w:val="00474C50"/>
    <w:rsid w:val="00475CA4"/>
    <w:rsid w:val="004771F9"/>
    <w:rsid w:val="0047743C"/>
    <w:rsid w:val="0048524C"/>
    <w:rsid w:val="00485730"/>
    <w:rsid w:val="00486006"/>
    <w:rsid w:val="00486BAD"/>
    <w:rsid w:val="00486BBE"/>
    <w:rsid w:val="00487123"/>
    <w:rsid w:val="00495A75"/>
    <w:rsid w:val="00495CAE"/>
    <w:rsid w:val="004A1BD5"/>
    <w:rsid w:val="004A326B"/>
    <w:rsid w:val="004A61E1"/>
    <w:rsid w:val="004A6B47"/>
    <w:rsid w:val="004B0F6E"/>
    <w:rsid w:val="004B2344"/>
    <w:rsid w:val="004B5DDC"/>
    <w:rsid w:val="004B798E"/>
    <w:rsid w:val="004C2ABD"/>
    <w:rsid w:val="004C391C"/>
    <w:rsid w:val="004C5F62"/>
    <w:rsid w:val="004D3E58"/>
    <w:rsid w:val="004D3FB4"/>
    <w:rsid w:val="004D6746"/>
    <w:rsid w:val="004D767B"/>
    <w:rsid w:val="004E0F32"/>
    <w:rsid w:val="004E23A1"/>
    <w:rsid w:val="004E23EA"/>
    <w:rsid w:val="004E493C"/>
    <w:rsid w:val="004E623E"/>
    <w:rsid w:val="004E7092"/>
    <w:rsid w:val="004E7ECE"/>
    <w:rsid w:val="004F4D2E"/>
    <w:rsid w:val="004F4DB1"/>
    <w:rsid w:val="004F6F64"/>
    <w:rsid w:val="005004EC"/>
    <w:rsid w:val="00506AAE"/>
    <w:rsid w:val="00506F3C"/>
    <w:rsid w:val="00517756"/>
    <w:rsid w:val="005202C6"/>
    <w:rsid w:val="00523C53"/>
    <w:rsid w:val="005242A3"/>
    <w:rsid w:val="00527914"/>
    <w:rsid w:val="00527B8F"/>
    <w:rsid w:val="00530C00"/>
    <w:rsid w:val="0053740A"/>
    <w:rsid w:val="0054097E"/>
    <w:rsid w:val="00542012"/>
    <w:rsid w:val="00543DF5"/>
    <w:rsid w:val="00544C14"/>
    <w:rsid w:val="00545A61"/>
    <w:rsid w:val="00545F9C"/>
    <w:rsid w:val="0055260D"/>
    <w:rsid w:val="00553FCC"/>
    <w:rsid w:val="00554D40"/>
    <w:rsid w:val="00555422"/>
    <w:rsid w:val="00555810"/>
    <w:rsid w:val="0055663C"/>
    <w:rsid w:val="00557028"/>
    <w:rsid w:val="00562DCA"/>
    <w:rsid w:val="0056568F"/>
    <w:rsid w:val="0057205A"/>
    <w:rsid w:val="0057436C"/>
    <w:rsid w:val="00575DE3"/>
    <w:rsid w:val="005822FD"/>
    <w:rsid w:val="00582578"/>
    <w:rsid w:val="0058621D"/>
    <w:rsid w:val="00590B72"/>
    <w:rsid w:val="00592420"/>
    <w:rsid w:val="00594A13"/>
    <w:rsid w:val="0059723F"/>
    <w:rsid w:val="00597491"/>
    <w:rsid w:val="00597DE9"/>
    <w:rsid w:val="00597FED"/>
    <w:rsid w:val="005A4CBE"/>
    <w:rsid w:val="005B04A8"/>
    <w:rsid w:val="005B1353"/>
    <w:rsid w:val="005B1FD0"/>
    <w:rsid w:val="005B28AD"/>
    <w:rsid w:val="005B328D"/>
    <w:rsid w:val="005B3503"/>
    <w:rsid w:val="005B3EE7"/>
    <w:rsid w:val="005B4DCD"/>
    <w:rsid w:val="005B4FAD"/>
    <w:rsid w:val="005B5327"/>
    <w:rsid w:val="005B78F5"/>
    <w:rsid w:val="005C276A"/>
    <w:rsid w:val="005D380C"/>
    <w:rsid w:val="005D63C3"/>
    <w:rsid w:val="005D6BBF"/>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63A"/>
    <w:rsid w:val="0062387A"/>
    <w:rsid w:val="0063377D"/>
    <w:rsid w:val="00633CBF"/>
    <w:rsid w:val="006344BE"/>
    <w:rsid w:val="00634A66"/>
    <w:rsid w:val="00640336"/>
    <w:rsid w:val="00640FB3"/>
    <w:rsid w:val="00640FC9"/>
    <w:rsid w:val="006414D3"/>
    <w:rsid w:val="006432F2"/>
    <w:rsid w:val="0065320F"/>
    <w:rsid w:val="00653D64"/>
    <w:rsid w:val="00654373"/>
    <w:rsid w:val="00654E13"/>
    <w:rsid w:val="00663D43"/>
    <w:rsid w:val="00666CDA"/>
    <w:rsid w:val="00667489"/>
    <w:rsid w:val="00670D44"/>
    <w:rsid w:val="00671996"/>
    <w:rsid w:val="00673F4C"/>
    <w:rsid w:val="00676AFC"/>
    <w:rsid w:val="0067760F"/>
    <w:rsid w:val="0067780B"/>
    <w:rsid w:val="006807CD"/>
    <w:rsid w:val="00682D43"/>
    <w:rsid w:val="0068507D"/>
    <w:rsid w:val="006854F5"/>
    <w:rsid w:val="00685BAF"/>
    <w:rsid w:val="00690463"/>
    <w:rsid w:val="00690F2B"/>
    <w:rsid w:val="006A0D03"/>
    <w:rsid w:val="006A3352"/>
    <w:rsid w:val="006A41E9"/>
    <w:rsid w:val="006B12CB"/>
    <w:rsid w:val="006B2989"/>
    <w:rsid w:val="006B5916"/>
    <w:rsid w:val="006B7F47"/>
    <w:rsid w:val="006C1DCA"/>
    <w:rsid w:val="006C1E53"/>
    <w:rsid w:val="006C4775"/>
    <w:rsid w:val="006C4F4A"/>
    <w:rsid w:val="006C5E80"/>
    <w:rsid w:val="006C7CEE"/>
    <w:rsid w:val="006D075E"/>
    <w:rsid w:val="006D09DC"/>
    <w:rsid w:val="006D3509"/>
    <w:rsid w:val="006D7C6E"/>
    <w:rsid w:val="006E15A2"/>
    <w:rsid w:val="006E2F95"/>
    <w:rsid w:val="006F148B"/>
    <w:rsid w:val="006F741A"/>
    <w:rsid w:val="00705EAF"/>
    <w:rsid w:val="0070773E"/>
    <w:rsid w:val="00707E08"/>
    <w:rsid w:val="007101CC"/>
    <w:rsid w:val="00715C55"/>
    <w:rsid w:val="007237C7"/>
    <w:rsid w:val="00724E3B"/>
    <w:rsid w:val="00725BF4"/>
    <w:rsid w:val="00725EEA"/>
    <w:rsid w:val="007276B6"/>
    <w:rsid w:val="00730CE9"/>
    <w:rsid w:val="0073373D"/>
    <w:rsid w:val="0074263C"/>
    <w:rsid w:val="007439DB"/>
    <w:rsid w:val="00756185"/>
    <w:rsid w:val="007568D8"/>
    <w:rsid w:val="00761E17"/>
    <w:rsid w:val="00765316"/>
    <w:rsid w:val="007708C8"/>
    <w:rsid w:val="007725C2"/>
    <w:rsid w:val="00775BFF"/>
    <w:rsid w:val="00775E63"/>
    <w:rsid w:val="0077719D"/>
    <w:rsid w:val="00780DF0"/>
    <w:rsid w:val="007810B7"/>
    <w:rsid w:val="00782F0F"/>
    <w:rsid w:val="0078538F"/>
    <w:rsid w:val="007863BE"/>
    <w:rsid w:val="00787482"/>
    <w:rsid w:val="00790D96"/>
    <w:rsid w:val="007A1D64"/>
    <w:rsid w:val="007A286D"/>
    <w:rsid w:val="007A314D"/>
    <w:rsid w:val="007A38DF"/>
    <w:rsid w:val="007B00E5"/>
    <w:rsid w:val="007B20CF"/>
    <w:rsid w:val="007B2499"/>
    <w:rsid w:val="007B72E1"/>
    <w:rsid w:val="007B783A"/>
    <w:rsid w:val="007C1B95"/>
    <w:rsid w:val="007C3DF3"/>
    <w:rsid w:val="007C796D"/>
    <w:rsid w:val="007D2771"/>
    <w:rsid w:val="007D3B60"/>
    <w:rsid w:val="007D4796"/>
    <w:rsid w:val="007D54DA"/>
    <w:rsid w:val="007D73FB"/>
    <w:rsid w:val="007D7996"/>
    <w:rsid w:val="007E2F2D"/>
    <w:rsid w:val="007E4563"/>
    <w:rsid w:val="007E593D"/>
    <w:rsid w:val="007F1375"/>
    <w:rsid w:val="007F1433"/>
    <w:rsid w:val="007F1491"/>
    <w:rsid w:val="007F1FBD"/>
    <w:rsid w:val="007F2F03"/>
    <w:rsid w:val="00800FE0"/>
    <w:rsid w:val="008066AD"/>
    <w:rsid w:val="00813740"/>
    <w:rsid w:val="008143F8"/>
    <w:rsid w:val="00814AF1"/>
    <w:rsid w:val="0081517F"/>
    <w:rsid w:val="00815370"/>
    <w:rsid w:val="0082153D"/>
    <w:rsid w:val="008255AA"/>
    <w:rsid w:val="00827B33"/>
    <w:rsid w:val="00830FF3"/>
    <w:rsid w:val="008334BF"/>
    <w:rsid w:val="00833591"/>
    <w:rsid w:val="00836B8C"/>
    <w:rsid w:val="00840062"/>
    <w:rsid w:val="008410C5"/>
    <w:rsid w:val="00846C08"/>
    <w:rsid w:val="008530E7"/>
    <w:rsid w:val="00856A55"/>
    <w:rsid w:val="00856BDB"/>
    <w:rsid w:val="00857675"/>
    <w:rsid w:val="00861990"/>
    <w:rsid w:val="00866F8B"/>
    <w:rsid w:val="00871AE0"/>
    <w:rsid w:val="00872C48"/>
    <w:rsid w:val="00875EC3"/>
    <w:rsid w:val="008763E7"/>
    <w:rsid w:val="008808C5"/>
    <w:rsid w:val="00881A7C"/>
    <w:rsid w:val="00882FD2"/>
    <w:rsid w:val="00883C78"/>
    <w:rsid w:val="00885159"/>
    <w:rsid w:val="00885214"/>
    <w:rsid w:val="00887615"/>
    <w:rsid w:val="00890052"/>
    <w:rsid w:val="00894E3A"/>
    <w:rsid w:val="00895A2F"/>
    <w:rsid w:val="00896EBD"/>
    <w:rsid w:val="008A52D1"/>
    <w:rsid w:val="008A5665"/>
    <w:rsid w:val="008A5DF8"/>
    <w:rsid w:val="008B24A8"/>
    <w:rsid w:val="008B25E4"/>
    <w:rsid w:val="008B2E53"/>
    <w:rsid w:val="008B3D78"/>
    <w:rsid w:val="008B41D1"/>
    <w:rsid w:val="008C0BB4"/>
    <w:rsid w:val="008C261B"/>
    <w:rsid w:val="008C2C87"/>
    <w:rsid w:val="008C31DB"/>
    <w:rsid w:val="008C4643"/>
    <w:rsid w:val="008C4FCA"/>
    <w:rsid w:val="008C7882"/>
    <w:rsid w:val="008D2261"/>
    <w:rsid w:val="008D4C28"/>
    <w:rsid w:val="008D577B"/>
    <w:rsid w:val="008D7A98"/>
    <w:rsid w:val="008E17C4"/>
    <w:rsid w:val="008E45C4"/>
    <w:rsid w:val="008E64B1"/>
    <w:rsid w:val="008E64FA"/>
    <w:rsid w:val="008E6DB8"/>
    <w:rsid w:val="008E74ED"/>
    <w:rsid w:val="008F09C7"/>
    <w:rsid w:val="008F471C"/>
    <w:rsid w:val="008F4DEF"/>
    <w:rsid w:val="00903195"/>
    <w:rsid w:val="00903D0D"/>
    <w:rsid w:val="009048E1"/>
    <w:rsid w:val="00904DC4"/>
    <w:rsid w:val="0090598C"/>
    <w:rsid w:val="009071BB"/>
    <w:rsid w:val="00910925"/>
    <w:rsid w:val="009111AA"/>
    <w:rsid w:val="00912A6E"/>
    <w:rsid w:val="0091335F"/>
    <w:rsid w:val="00913885"/>
    <w:rsid w:val="00915ABF"/>
    <w:rsid w:val="00921CAD"/>
    <w:rsid w:val="00926C69"/>
    <w:rsid w:val="009311ED"/>
    <w:rsid w:val="00931D41"/>
    <w:rsid w:val="00933D18"/>
    <w:rsid w:val="00936675"/>
    <w:rsid w:val="00942221"/>
    <w:rsid w:val="00944A09"/>
    <w:rsid w:val="00950FBB"/>
    <w:rsid w:val="00951118"/>
    <w:rsid w:val="0095122F"/>
    <w:rsid w:val="00953349"/>
    <w:rsid w:val="00953E4C"/>
    <w:rsid w:val="00954E0C"/>
    <w:rsid w:val="00957CCE"/>
    <w:rsid w:val="00961156"/>
    <w:rsid w:val="009637E8"/>
    <w:rsid w:val="00964F03"/>
    <w:rsid w:val="00964F6D"/>
    <w:rsid w:val="00966F1F"/>
    <w:rsid w:val="0097294B"/>
    <w:rsid w:val="009734B3"/>
    <w:rsid w:val="00975676"/>
    <w:rsid w:val="00976011"/>
    <w:rsid w:val="00976467"/>
    <w:rsid w:val="00976D32"/>
    <w:rsid w:val="009844F7"/>
    <w:rsid w:val="00986B91"/>
    <w:rsid w:val="009938F7"/>
    <w:rsid w:val="00995451"/>
    <w:rsid w:val="00995A7D"/>
    <w:rsid w:val="00995C39"/>
    <w:rsid w:val="009A05AA"/>
    <w:rsid w:val="009A2D5A"/>
    <w:rsid w:val="009A6509"/>
    <w:rsid w:val="009A6E2F"/>
    <w:rsid w:val="009A7DDF"/>
    <w:rsid w:val="009B2969"/>
    <w:rsid w:val="009B2C7E"/>
    <w:rsid w:val="009B35F9"/>
    <w:rsid w:val="009B6DBD"/>
    <w:rsid w:val="009C108A"/>
    <w:rsid w:val="009C2E47"/>
    <w:rsid w:val="009C6BFB"/>
    <w:rsid w:val="009D0C05"/>
    <w:rsid w:val="009D3625"/>
    <w:rsid w:val="009E2C00"/>
    <w:rsid w:val="009E49AD"/>
    <w:rsid w:val="009E4CC5"/>
    <w:rsid w:val="009E70F4"/>
    <w:rsid w:val="009E72A3"/>
    <w:rsid w:val="009F1AD2"/>
    <w:rsid w:val="009F4579"/>
    <w:rsid w:val="009F495E"/>
    <w:rsid w:val="009F7BC2"/>
    <w:rsid w:val="00A00C78"/>
    <w:rsid w:val="00A01A35"/>
    <w:rsid w:val="00A028CA"/>
    <w:rsid w:val="00A0479E"/>
    <w:rsid w:val="00A07979"/>
    <w:rsid w:val="00A1064D"/>
    <w:rsid w:val="00A11755"/>
    <w:rsid w:val="00A207FB"/>
    <w:rsid w:val="00A24016"/>
    <w:rsid w:val="00A25A11"/>
    <w:rsid w:val="00A265BF"/>
    <w:rsid w:val="00A26F44"/>
    <w:rsid w:val="00A30935"/>
    <w:rsid w:val="00A34FAB"/>
    <w:rsid w:val="00A37384"/>
    <w:rsid w:val="00A42C43"/>
    <w:rsid w:val="00A4313D"/>
    <w:rsid w:val="00A50120"/>
    <w:rsid w:val="00A54506"/>
    <w:rsid w:val="00A552A7"/>
    <w:rsid w:val="00A60351"/>
    <w:rsid w:val="00A61C6D"/>
    <w:rsid w:val="00A63015"/>
    <w:rsid w:val="00A6387B"/>
    <w:rsid w:val="00A66254"/>
    <w:rsid w:val="00A678B4"/>
    <w:rsid w:val="00A704A3"/>
    <w:rsid w:val="00A719C5"/>
    <w:rsid w:val="00A75E23"/>
    <w:rsid w:val="00A75F95"/>
    <w:rsid w:val="00A76A3F"/>
    <w:rsid w:val="00A82AA0"/>
    <w:rsid w:val="00A82F8A"/>
    <w:rsid w:val="00A84622"/>
    <w:rsid w:val="00A84BF0"/>
    <w:rsid w:val="00A879B1"/>
    <w:rsid w:val="00A905E2"/>
    <w:rsid w:val="00A9226B"/>
    <w:rsid w:val="00A9575C"/>
    <w:rsid w:val="00A95B56"/>
    <w:rsid w:val="00A95E81"/>
    <w:rsid w:val="00A969AF"/>
    <w:rsid w:val="00AA5E1D"/>
    <w:rsid w:val="00AB1A2E"/>
    <w:rsid w:val="00AB328A"/>
    <w:rsid w:val="00AB4918"/>
    <w:rsid w:val="00AB4BC8"/>
    <w:rsid w:val="00AB66C7"/>
    <w:rsid w:val="00AB6BA7"/>
    <w:rsid w:val="00AB7BE8"/>
    <w:rsid w:val="00AC526F"/>
    <w:rsid w:val="00AD0710"/>
    <w:rsid w:val="00AD1787"/>
    <w:rsid w:val="00AD4DB9"/>
    <w:rsid w:val="00AD6165"/>
    <w:rsid w:val="00AD63C0"/>
    <w:rsid w:val="00AE35B2"/>
    <w:rsid w:val="00AE6710"/>
    <w:rsid w:val="00AE6AA0"/>
    <w:rsid w:val="00B113B9"/>
    <w:rsid w:val="00B119A2"/>
    <w:rsid w:val="00B11CF4"/>
    <w:rsid w:val="00B1772B"/>
    <w:rsid w:val="00B177F2"/>
    <w:rsid w:val="00B201F1"/>
    <w:rsid w:val="00B2603F"/>
    <w:rsid w:val="00B302B7"/>
    <w:rsid w:val="00B304E7"/>
    <w:rsid w:val="00B318B6"/>
    <w:rsid w:val="00B33D97"/>
    <w:rsid w:val="00B3499B"/>
    <w:rsid w:val="00B4101B"/>
    <w:rsid w:val="00B41F47"/>
    <w:rsid w:val="00B43F45"/>
    <w:rsid w:val="00B44468"/>
    <w:rsid w:val="00B506D3"/>
    <w:rsid w:val="00B52781"/>
    <w:rsid w:val="00B60AC9"/>
    <w:rsid w:val="00B631DE"/>
    <w:rsid w:val="00B67323"/>
    <w:rsid w:val="00B715F2"/>
    <w:rsid w:val="00B74071"/>
    <w:rsid w:val="00B7428E"/>
    <w:rsid w:val="00B74B67"/>
    <w:rsid w:val="00B77737"/>
    <w:rsid w:val="00B779AA"/>
    <w:rsid w:val="00B81C95"/>
    <w:rsid w:val="00B82330"/>
    <w:rsid w:val="00B82ED4"/>
    <w:rsid w:val="00B8424F"/>
    <w:rsid w:val="00B843BF"/>
    <w:rsid w:val="00B86896"/>
    <w:rsid w:val="00B875A6"/>
    <w:rsid w:val="00B93E4C"/>
    <w:rsid w:val="00B94A1B"/>
    <w:rsid w:val="00B97035"/>
    <w:rsid w:val="00BA5C89"/>
    <w:rsid w:val="00BB04EB"/>
    <w:rsid w:val="00BB2539"/>
    <w:rsid w:val="00BB4CE2"/>
    <w:rsid w:val="00BB5EF0"/>
    <w:rsid w:val="00BB6724"/>
    <w:rsid w:val="00BC0EFB"/>
    <w:rsid w:val="00BC2E39"/>
    <w:rsid w:val="00BD2364"/>
    <w:rsid w:val="00BD28E3"/>
    <w:rsid w:val="00BD7F17"/>
    <w:rsid w:val="00BE117E"/>
    <w:rsid w:val="00BE238C"/>
    <w:rsid w:val="00BE3261"/>
    <w:rsid w:val="00BF00EF"/>
    <w:rsid w:val="00BF58FC"/>
    <w:rsid w:val="00C01B97"/>
    <w:rsid w:val="00C01F77"/>
    <w:rsid w:val="00C01FFC"/>
    <w:rsid w:val="00C05321"/>
    <w:rsid w:val="00C06AE4"/>
    <w:rsid w:val="00C06D89"/>
    <w:rsid w:val="00C114FF"/>
    <w:rsid w:val="00C11D49"/>
    <w:rsid w:val="00C11EA9"/>
    <w:rsid w:val="00C171A1"/>
    <w:rsid w:val="00C171A4"/>
    <w:rsid w:val="00C17F12"/>
    <w:rsid w:val="00C20734"/>
    <w:rsid w:val="00C213A4"/>
    <w:rsid w:val="00C21C1A"/>
    <w:rsid w:val="00C22127"/>
    <w:rsid w:val="00C237E9"/>
    <w:rsid w:val="00C24499"/>
    <w:rsid w:val="00C32989"/>
    <w:rsid w:val="00C36883"/>
    <w:rsid w:val="00C40928"/>
    <w:rsid w:val="00C40CFF"/>
    <w:rsid w:val="00C42697"/>
    <w:rsid w:val="00C43F01"/>
    <w:rsid w:val="00C47552"/>
    <w:rsid w:val="00C52472"/>
    <w:rsid w:val="00C57588"/>
    <w:rsid w:val="00C57A81"/>
    <w:rsid w:val="00C60193"/>
    <w:rsid w:val="00C634D4"/>
    <w:rsid w:val="00C63AA5"/>
    <w:rsid w:val="00C65071"/>
    <w:rsid w:val="00C66F7E"/>
    <w:rsid w:val="00C6727C"/>
    <w:rsid w:val="00C6744C"/>
    <w:rsid w:val="00C73134"/>
    <w:rsid w:val="00C73F6D"/>
    <w:rsid w:val="00C74F6E"/>
    <w:rsid w:val="00C76AE5"/>
    <w:rsid w:val="00C77FA4"/>
    <w:rsid w:val="00C77FFA"/>
    <w:rsid w:val="00C801FC"/>
    <w:rsid w:val="00C80401"/>
    <w:rsid w:val="00C81C97"/>
    <w:rsid w:val="00C828CF"/>
    <w:rsid w:val="00C840C2"/>
    <w:rsid w:val="00C84101"/>
    <w:rsid w:val="00C8535F"/>
    <w:rsid w:val="00C90EDA"/>
    <w:rsid w:val="00C93C62"/>
    <w:rsid w:val="00C959E7"/>
    <w:rsid w:val="00CA01A4"/>
    <w:rsid w:val="00CB2699"/>
    <w:rsid w:val="00CB497B"/>
    <w:rsid w:val="00CB680E"/>
    <w:rsid w:val="00CB68F9"/>
    <w:rsid w:val="00CB7521"/>
    <w:rsid w:val="00CC1E65"/>
    <w:rsid w:val="00CC35F7"/>
    <w:rsid w:val="00CC567A"/>
    <w:rsid w:val="00CC71F2"/>
    <w:rsid w:val="00CC7C87"/>
    <w:rsid w:val="00CD2498"/>
    <w:rsid w:val="00CD4059"/>
    <w:rsid w:val="00CD4E5A"/>
    <w:rsid w:val="00CD621E"/>
    <w:rsid w:val="00CD6AFD"/>
    <w:rsid w:val="00CE03CE"/>
    <w:rsid w:val="00CE0F5D"/>
    <w:rsid w:val="00CE1A6A"/>
    <w:rsid w:val="00CE259A"/>
    <w:rsid w:val="00CE3CBF"/>
    <w:rsid w:val="00CE40FF"/>
    <w:rsid w:val="00CF0DFF"/>
    <w:rsid w:val="00D028A9"/>
    <w:rsid w:val="00D0359D"/>
    <w:rsid w:val="00D04CDB"/>
    <w:rsid w:val="00D04DED"/>
    <w:rsid w:val="00D1089A"/>
    <w:rsid w:val="00D10C21"/>
    <w:rsid w:val="00D114F3"/>
    <w:rsid w:val="00D116BD"/>
    <w:rsid w:val="00D2001A"/>
    <w:rsid w:val="00D20684"/>
    <w:rsid w:val="00D2365A"/>
    <w:rsid w:val="00D26B62"/>
    <w:rsid w:val="00D31522"/>
    <w:rsid w:val="00D32624"/>
    <w:rsid w:val="00D3691A"/>
    <w:rsid w:val="00D377E2"/>
    <w:rsid w:val="00D4081C"/>
    <w:rsid w:val="00D42DCB"/>
    <w:rsid w:val="00D45482"/>
    <w:rsid w:val="00D46DF2"/>
    <w:rsid w:val="00D47674"/>
    <w:rsid w:val="00D5338C"/>
    <w:rsid w:val="00D606B2"/>
    <w:rsid w:val="00D625A7"/>
    <w:rsid w:val="00D64074"/>
    <w:rsid w:val="00D65777"/>
    <w:rsid w:val="00D67A01"/>
    <w:rsid w:val="00D70ADF"/>
    <w:rsid w:val="00D728A0"/>
    <w:rsid w:val="00D83661"/>
    <w:rsid w:val="00D95C60"/>
    <w:rsid w:val="00D97E7D"/>
    <w:rsid w:val="00DB1CDF"/>
    <w:rsid w:val="00DB20E5"/>
    <w:rsid w:val="00DB3439"/>
    <w:rsid w:val="00DB3618"/>
    <w:rsid w:val="00DB468A"/>
    <w:rsid w:val="00DC2946"/>
    <w:rsid w:val="00DC550F"/>
    <w:rsid w:val="00DC6087"/>
    <w:rsid w:val="00DC64FD"/>
    <w:rsid w:val="00DC6883"/>
    <w:rsid w:val="00DD53C3"/>
    <w:rsid w:val="00DD6D15"/>
    <w:rsid w:val="00DE127F"/>
    <w:rsid w:val="00DE424A"/>
    <w:rsid w:val="00DE4419"/>
    <w:rsid w:val="00DE4EF8"/>
    <w:rsid w:val="00DE67C4"/>
    <w:rsid w:val="00DF0ACA"/>
    <w:rsid w:val="00DF2245"/>
    <w:rsid w:val="00DF22D3"/>
    <w:rsid w:val="00DF4CE9"/>
    <w:rsid w:val="00DF77CF"/>
    <w:rsid w:val="00E026E8"/>
    <w:rsid w:val="00E060F7"/>
    <w:rsid w:val="00E07FA1"/>
    <w:rsid w:val="00E14261"/>
    <w:rsid w:val="00E14C47"/>
    <w:rsid w:val="00E22698"/>
    <w:rsid w:val="00E25B7C"/>
    <w:rsid w:val="00E262BD"/>
    <w:rsid w:val="00E3076B"/>
    <w:rsid w:val="00E33224"/>
    <w:rsid w:val="00E3725B"/>
    <w:rsid w:val="00E434D1"/>
    <w:rsid w:val="00E47151"/>
    <w:rsid w:val="00E56CBB"/>
    <w:rsid w:val="00E6096F"/>
    <w:rsid w:val="00E61950"/>
    <w:rsid w:val="00E61E51"/>
    <w:rsid w:val="00E644A3"/>
    <w:rsid w:val="00E6552A"/>
    <w:rsid w:val="00E6707D"/>
    <w:rsid w:val="00E70337"/>
    <w:rsid w:val="00E70E7C"/>
    <w:rsid w:val="00E71313"/>
    <w:rsid w:val="00E72606"/>
    <w:rsid w:val="00E73C3E"/>
    <w:rsid w:val="00E74050"/>
    <w:rsid w:val="00E745AC"/>
    <w:rsid w:val="00E749BA"/>
    <w:rsid w:val="00E75BB6"/>
    <w:rsid w:val="00E809A7"/>
    <w:rsid w:val="00E82496"/>
    <w:rsid w:val="00E834CD"/>
    <w:rsid w:val="00E846DC"/>
    <w:rsid w:val="00E84E9D"/>
    <w:rsid w:val="00E85548"/>
    <w:rsid w:val="00E86CEE"/>
    <w:rsid w:val="00E935AF"/>
    <w:rsid w:val="00E95993"/>
    <w:rsid w:val="00E96731"/>
    <w:rsid w:val="00EA7031"/>
    <w:rsid w:val="00EB0E20"/>
    <w:rsid w:val="00EB1A80"/>
    <w:rsid w:val="00EB457B"/>
    <w:rsid w:val="00EC1AD8"/>
    <w:rsid w:val="00EC47C4"/>
    <w:rsid w:val="00EC4F3A"/>
    <w:rsid w:val="00EC5E74"/>
    <w:rsid w:val="00ED5527"/>
    <w:rsid w:val="00ED594D"/>
    <w:rsid w:val="00EE36E1"/>
    <w:rsid w:val="00EE53EF"/>
    <w:rsid w:val="00EE6228"/>
    <w:rsid w:val="00EE7AC7"/>
    <w:rsid w:val="00EE7B3F"/>
    <w:rsid w:val="00EF3A8A"/>
    <w:rsid w:val="00F0054D"/>
    <w:rsid w:val="00F02467"/>
    <w:rsid w:val="00F04D0E"/>
    <w:rsid w:val="00F05E15"/>
    <w:rsid w:val="00F06FFA"/>
    <w:rsid w:val="00F12214"/>
    <w:rsid w:val="00F12565"/>
    <w:rsid w:val="00F1379F"/>
    <w:rsid w:val="00F144BE"/>
    <w:rsid w:val="00F14ACA"/>
    <w:rsid w:val="00F17A0C"/>
    <w:rsid w:val="00F21B72"/>
    <w:rsid w:val="00F23927"/>
    <w:rsid w:val="00F2396E"/>
    <w:rsid w:val="00F26A05"/>
    <w:rsid w:val="00F307CE"/>
    <w:rsid w:val="00F354C5"/>
    <w:rsid w:val="00F37108"/>
    <w:rsid w:val="00F40449"/>
    <w:rsid w:val="00F4159D"/>
    <w:rsid w:val="00F44E14"/>
    <w:rsid w:val="00F45B8E"/>
    <w:rsid w:val="00F47BAA"/>
    <w:rsid w:val="00F520FE"/>
    <w:rsid w:val="00F52EAB"/>
    <w:rsid w:val="00F5375B"/>
    <w:rsid w:val="00F55A04"/>
    <w:rsid w:val="00F61A31"/>
    <w:rsid w:val="00F66F00"/>
    <w:rsid w:val="00F67A2D"/>
    <w:rsid w:val="00F70A1B"/>
    <w:rsid w:val="00F72FDF"/>
    <w:rsid w:val="00F75960"/>
    <w:rsid w:val="00F82526"/>
    <w:rsid w:val="00F84672"/>
    <w:rsid w:val="00F84802"/>
    <w:rsid w:val="00F849F4"/>
    <w:rsid w:val="00F90B01"/>
    <w:rsid w:val="00F91262"/>
    <w:rsid w:val="00F940B2"/>
    <w:rsid w:val="00F95A8C"/>
    <w:rsid w:val="00F97D2B"/>
    <w:rsid w:val="00FA06FD"/>
    <w:rsid w:val="00FA4EE2"/>
    <w:rsid w:val="00FA515B"/>
    <w:rsid w:val="00FA6B90"/>
    <w:rsid w:val="00FA70F9"/>
    <w:rsid w:val="00FA74CB"/>
    <w:rsid w:val="00FB207A"/>
    <w:rsid w:val="00FB2886"/>
    <w:rsid w:val="00FB466E"/>
    <w:rsid w:val="00FC02F3"/>
    <w:rsid w:val="00FC3DF4"/>
    <w:rsid w:val="00FC752C"/>
    <w:rsid w:val="00FD0492"/>
    <w:rsid w:val="00FD13EC"/>
    <w:rsid w:val="00FD1E45"/>
    <w:rsid w:val="00FD4DA8"/>
    <w:rsid w:val="00FD4EEF"/>
    <w:rsid w:val="00FD503A"/>
    <w:rsid w:val="00FD5461"/>
    <w:rsid w:val="00FD6BDB"/>
    <w:rsid w:val="00FD6F00"/>
    <w:rsid w:val="00FD7B98"/>
    <w:rsid w:val="00FF0D6C"/>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909E8"/>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Odstavecseseznamem">
    <w:name w:val="List Paragraph"/>
    <w:basedOn w:val="Normln"/>
    <w:uiPriority w:val="34"/>
    <w:qFormat/>
    <w:rsid w:val="00B43F45"/>
    <w:pPr>
      <w:ind w:left="720"/>
      <w:contextualSpacing/>
    </w:pPr>
  </w:style>
  <w:style w:type="character" w:styleId="Nevyeenzmnka">
    <w:name w:val="Unresolved Mention"/>
    <w:basedOn w:val="Standardnpsmoodstavce"/>
    <w:rsid w:val="00527914"/>
    <w:rPr>
      <w:color w:val="605E5C"/>
      <w:shd w:val="clear" w:color="auto" w:fill="E1DFDD"/>
    </w:rPr>
  </w:style>
  <w:style w:type="character" w:customStyle="1" w:styleId="ZhlavChar">
    <w:name w:val="Záhlaví Char"/>
    <w:basedOn w:val="Standardnpsmoodstavce"/>
    <w:link w:val="Zhlav"/>
    <w:rsid w:val="006B2989"/>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87787">
      <w:bodyDiv w:val="1"/>
      <w:marLeft w:val="0"/>
      <w:marRight w:val="0"/>
      <w:marTop w:val="0"/>
      <w:marBottom w:val="0"/>
      <w:divBdr>
        <w:top w:val="none" w:sz="0" w:space="0" w:color="auto"/>
        <w:left w:val="none" w:sz="0" w:space="0" w:color="auto"/>
        <w:bottom w:val="none" w:sz="0" w:space="0" w:color="auto"/>
        <w:right w:val="none" w:sz="0" w:space="0" w:color="auto"/>
      </w:divBdr>
    </w:div>
    <w:div w:id="971208942">
      <w:bodyDiv w:val="1"/>
      <w:marLeft w:val="0"/>
      <w:marRight w:val="0"/>
      <w:marTop w:val="0"/>
      <w:marBottom w:val="0"/>
      <w:divBdr>
        <w:top w:val="none" w:sz="0" w:space="0" w:color="auto"/>
        <w:left w:val="none" w:sz="0" w:space="0" w:color="auto"/>
        <w:bottom w:val="none" w:sz="0" w:space="0" w:color="auto"/>
        <w:right w:val="none" w:sz="0" w:space="0" w:color="auto"/>
      </w:divBdr>
    </w:div>
    <w:div w:id="181714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regulatory@sevaro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uskvbl.cz" TargetMode="External"/><Relationship Id="rId2" Type="http://schemas.openxmlformats.org/officeDocument/2006/relationships/customXml" Target="../customXml/item2.xml"/><Relationship Id="rId16" Type="http://schemas.openxmlformats.org/officeDocument/2006/relationships/hyperlink" Target="https://medicines.health.europa.eu/veterin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kvbl.cz/cs/farmakovigil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uskvbl.cz"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xsi:nil="true"/>
    <Notities xmlns="54c22511-638e-4273-9837-ffa84345baa4" xsi:nil="true"/>
    <Datum xmlns="54c22511-638e-4273-9837-ffa84345ba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20" ma:contentTypeDescription="Een nieuw document maken." ma:contentTypeScope="" ma:versionID="c81d57a5a80d726f54498afc89d248ff">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971f6c72c72e1c58849ce40bea122074"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ities" ma:index="26" nillable="true" ma:displayName="Notities" ma:format="Dropdown" ma:internalName="Notiti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9A9D-21D6-42EB-A7AA-A2DC4137A9D7}">
  <ds:schemaRefs>
    <ds:schemaRef ds:uri="http://schemas.microsoft.com/sharepoint/v3/contenttype/forms"/>
  </ds:schemaRefs>
</ds:datastoreItem>
</file>

<file path=customXml/itemProps2.xml><?xml version="1.0" encoding="utf-8"?>
<ds:datastoreItem xmlns:ds="http://schemas.openxmlformats.org/officeDocument/2006/customXml" ds:itemID="{E946491D-A15A-4B4D-A55E-25BB868C6F1B}">
  <ds:schemaRefs>
    <ds:schemaRef ds:uri="http://schemas.microsoft.com/office/2006/metadata/properties"/>
    <ds:schemaRef ds:uri="http://schemas.microsoft.com/office/infopath/2007/PartnerControls"/>
    <ds:schemaRef ds:uri="54c22511-638e-4273-9837-ffa84345baa4"/>
    <ds:schemaRef ds:uri="090c5233-a5c5-42a4-ac9f-bfbebbdb39dc"/>
  </ds:schemaRefs>
</ds:datastoreItem>
</file>

<file path=customXml/itemProps3.xml><?xml version="1.0" encoding="utf-8"?>
<ds:datastoreItem xmlns:ds="http://schemas.openxmlformats.org/officeDocument/2006/customXml" ds:itemID="{248E7610-DF8A-48F8-9678-C651662C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48F5F-1D2A-46B8-9782-CEBA37D7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2248</Words>
  <Characters>13268</Characters>
  <Application>Microsoft Office Word</Application>
  <DocSecurity>0</DocSecurity>
  <Lines>110</Lines>
  <Paragraphs>30</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qrd-veterinary-product-information-template-english-version-90_en corr.2 - tracked</vt:lpstr>
    </vt:vector>
  </TitlesOfParts>
  <Company>EMEA</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21</cp:revision>
  <cp:lastPrinted>2026-05-11T12:29:00Z</cp:lastPrinted>
  <dcterms:created xsi:type="dcterms:W3CDTF">2026-03-19T13:45:00Z</dcterms:created>
  <dcterms:modified xsi:type="dcterms:W3CDTF">2026-05-11T12:29:00Z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0x010100402D3DC32CFF4A4485D9CC3DE50D0ECF</vt:lpwstr>
  </property>
  <property fmtid="{D5CDD505-2E9C-101B-9397-08002B2CF9AE}" pid="74" name="MediaServiceImageTags">
    <vt:lpwstr/>
  </property>
  <property fmtid="{D5CDD505-2E9C-101B-9397-08002B2CF9AE}" pid="75" name="Order">
    <vt:r8>24980800</vt:r8>
  </property>
</Properties>
</file>