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BEC9C" w14:textId="77777777" w:rsidR="008075C1" w:rsidRPr="001725AB" w:rsidRDefault="008075C1" w:rsidP="0023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bookmarkStart w:id="0" w:name="_Toc146275198"/>
      <w:bookmarkStart w:id="1" w:name="_Toc213922061"/>
      <w:bookmarkStart w:id="2" w:name="_Hlk138925402"/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>PODROBNÉ ÚDAJE UVÁDĚNÉ NA VNITŘNÍM OBALU</w:t>
      </w: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– </w:t>
      </w: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  <w:t>KOMBINOVANÁ ETIKETA A PŘÍBALOVÁ INFORMACE</w:t>
      </w:r>
    </w:p>
    <w:p w14:paraId="2D2D1296" w14:textId="352ED4BE" w:rsidR="008075C1" w:rsidRPr="001725AB" w:rsidRDefault="008075C1" w:rsidP="0023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60A4451A" w14:textId="77777777" w:rsidR="008075C1" w:rsidRPr="001725AB" w:rsidRDefault="008075C1" w:rsidP="008075C1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6FE15ADF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1.</w:t>
      </w: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Název veterinárního léčivého přípravku</w:t>
      </w:r>
    </w:p>
    <w:bookmarkEnd w:id="0"/>
    <w:bookmarkEnd w:id="1"/>
    <w:bookmarkEnd w:id="2"/>
    <w:p w14:paraId="71A322C4" w14:textId="77777777" w:rsidR="00B904E8" w:rsidRPr="001725AB" w:rsidRDefault="00B904E8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1B810679" w14:textId="70FE54F6" w:rsidR="00D85EDF" w:rsidRPr="001725AB" w:rsidRDefault="00D85EDF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MEDITEK COLIS 1 200 000 IU/g prášek pro perorální roztok</w:t>
      </w:r>
    </w:p>
    <w:p w14:paraId="680E5AD3" w14:textId="77777777" w:rsidR="00D16AA1" w:rsidRPr="001725AB" w:rsidRDefault="00D16AA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85B6B0A" w14:textId="46263ED7" w:rsidR="008075C1" w:rsidRPr="001725AB" w:rsidRDefault="008075C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E306196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2.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Složení</w:t>
      </w:r>
    </w:p>
    <w:p w14:paraId="4445A0A3" w14:textId="77777777" w:rsidR="008075C1" w:rsidRPr="001725AB" w:rsidRDefault="008075C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0F6878A" w14:textId="1FEE0643" w:rsidR="00FE3ADF" w:rsidRPr="001725AB" w:rsidRDefault="00C867C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Každý </w:t>
      </w:r>
      <w:r w:rsidR="00FE3ADF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g přípravku obsahuje:</w:t>
      </w:r>
    </w:p>
    <w:p w14:paraId="6CBAAC72" w14:textId="77777777" w:rsidR="00FE3ADF" w:rsidRPr="001725AB" w:rsidRDefault="00FE3ADF" w:rsidP="008075C1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50768028" w14:textId="1CC9F4B0" w:rsidR="00FE3ADF" w:rsidRPr="001725AB" w:rsidRDefault="00FE3ADF" w:rsidP="008075C1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Léčiv</w:t>
      </w:r>
      <w:r w:rsidR="00C867C9"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é</w:t>
      </w: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látk</w:t>
      </w:r>
      <w:r w:rsidR="00C867C9"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y</w:t>
      </w: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:</w:t>
      </w:r>
    </w:p>
    <w:p w14:paraId="6D1F6A5A" w14:textId="77777777" w:rsidR="00FE3ADF" w:rsidRPr="001725AB" w:rsidRDefault="00FE3ADF" w:rsidP="00CF155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  <w:t>Colistini sulfas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ab/>
        <w:t>1 200 000 IU</w:t>
      </w:r>
    </w:p>
    <w:p w14:paraId="693FE725" w14:textId="77777777" w:rsidR="00FE3ADF" w:rsidRPr="001725AB" w:rsidRDefault="00FE3ADF" w:rsidP="00D1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393585F" w14:textId="23776B18" w:rsidR="00FE3ADF" w:rsidRPr="001725AB" w:rsidRDefault="00FE3ADF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Bílý krystalický prášek</w:t>
      </w:r>
    </w:p>
    <w:p w14:paraId="37544DE3" w14:textId="77777777" w:rsidR="00D16AA1" w:rsidRPr="001725AB" w:rsidRDefault="00D16AA1" w:rsidP="00D1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223E7B5" w14:textId="77777777" w:rsidR="00FE3ADF" w:rsidRPr="001725AB" w:rsidRDefault="00FE3ADF" w:rsidP="00D1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431A931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3.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Velikost balení</w:t>
      </w:r>
    </w:p>
    <w:p w14:paraId="05695013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78020EEC" w14:textId="383CD2F5" w:rsidR="008D4FD9" w:rsidRPr="001725AB" w:rsidRDefault="008D4FD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lightGray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250 g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lightGray"/>
          <w:lang w:val="cs-CZ" w:eastAsia="sv-SE"/>
        </w:rPr>
        <w:t>/ 500 g / 1 kg / 5 kg / 10 kg / 15 kg / 20 kg / 25 kg</w:t>
      </w:r>
    </w:p>
    <w:p w14:paraId="1075E483" w14:textId="77777777" w:rsidR="00D16AA1" w:rsidRPr="001725AB" w:rsidRDefault="00D16AA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13D305E" w14:textId="77777777" w:rsidR="00D85EDF" w:rsidRPr="001725AB" w:rsidRDefault="00D85EDF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BA3AD57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4.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Cílové druhy zvířat</w:t>
      </w:r>
    </w:p>
    <w:p w14:paraId="1C8F88FD" w14:textId="77777777" w:rsidR="00D85EDF" w:rsidRPr="001725AB" w:rsidRDefault="00D85EDF" w:rsidP="00CF155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E892B80" w14:textId="3501567D" w:rsidR="008D4FD9" w:rsidRPr="001725AB" w:rsidRDefault="008D4FD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Prasata, </w:t>
      </w:r>
      <w:r w:rsidR="000868B6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kur domácí (brojleři)</w:t>
      </w:r>
    </w:p>
    <w:p w14:paraId="3985E5E8" w14:textId="77777777" w:rsidR="00D16AA1" w:rsidRPr="001725AB" w:rsidRDefault="00D16AA1" w:rsidP="00D16AA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6EE52B15" w14:textId="77777777" w:rsidR="008D4FD9" w:rsidRPr="001725AB" w:rsidRDefault="008D4FD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4CFDCFC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5.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Indikace pro použití</w:t>
      </w:r>
    </w:p>
    <w:p w14:paraId="69EDAE24" w14:textId="77777777" w:rsidR="008D4FD9" w:rsidRPr="001725AB" w:rsidRDefault="008D4FD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4D8EA2A" w14:textId="69C51518" w:rsidR="00F83EA6" w:rsidRPr="001725AB" w:rsidRDefault="00F83EA6" w:rsidP="00D8481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Indikace pro použití</w:t>
      </w:r>
    </w:p>
    <w:p w14:paraId="61BBBFD7" w14:textId="77777777" w:rsidR="00D8481E" w:rsidRPr="001725AB" w:rsidRDefault="00D8481E" w:rsidP="00237E8C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10A066C0" w14:textId="48C71E7F" w:rsidR="00F83EA6" w:rsidRPr="001725AB" w:rsidRDefault="00F83EA6" w:rsidP="00D8481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Léčba a metafylaxe střevních infekcí </w:t>
      </w:r>
      <w:r w:rsidR="009B059F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vyvolaných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neinvazivními kmeny </w:t>
      </w:r>
      <w:r w:rsidRPr="001725AB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cs-CZ" w:eastAsia="cs-CZ"/>
        </w:rPr>
        <w:t>E. coli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citlivými ke kolistinu.</w:t>
      </w:r>
    </w:p>
    <w:p w14:paraId="69F79DD9" w14:textId="3123AFB2" w:rsidR="00F83EA6" w:rsidRPr="001725AB" w:rsidRDefault="00F83EA6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Před použitím </w:t>
      </w:r>
      <w:r w:rsidR="009B059F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veterinárního léčivého 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přípravku musí být ve stádě potvrzena přítomnost onemocnění</w:t>
      </w:r>
      <w:r w:rsidRPr="001725AB">
        <w:rPr>
          <w:rFonts w:ascii="Times New Roman" w:hAnsi="Times New Roman" w:cs="Times New Roman"/>
          <w:i/>
          <w:color w:val="000000" w:themeColor="text1"/>
          <w:sz w:val="22"/>
          <w:szCs w:val="22"/>
          <w:lang w:val="cs-CZ"/>
        </w:rPr>
        <w:t>.</w:t>
      </w:r>
    </w:p>
    <w:p w14:paraId="5B6F8AD0" w14:textId="77777777" w:rsidR="00F83EA6" w:rsidRPr="001725AB" w:rsidRDefault="00F83EA6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Indikace je omezena na střevní infekce vyvolané neinvazivní bakterií </w:t>
      </w:r>
      <w:r w:rsidRPr="001725AB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val="cs-CZ"/>
        </w:rPr>
        <w:t>E. coli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citlivou ke kolistinu.</w:t>
      </w:r>
    </w:p>
    <w:p w14:paraId="0EC2BE62" w14:textId="3A6CDF30" w:rsidR="00F83EA6" w:rsidRPr="001725AB" w:rsidRDefault="00F83EA6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6224FF8F" w14:textId="54FB7834" w:rsidR="008D3E64" w:rsidRPr="001725AB" w:rsidRDefault="008D3E64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6E3CDEBF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6.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Kontraindikace</w:t>
      </w:r>
    </w:p>
    <w:p w14:paraId="4E3F5215" w14:textId="77777777" w:rsidR="008075C1" w:rsidRPr="001725AB" w:rsidRDefault="008075C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04D2B5F8" w14:textId="0CD4A352" w:rsidR="00D8481E" w:rsidRPr="001725AB" w:rsidRDefault="008D3E64" w:rsidP="00237E8C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Kontraindikace</w:t>
      </w:r>
    </w:p>
    <w:p w14:paraId="66004175" w14:textId="77777777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32DC20FD" w14:textId="548A3CCE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Nepoužívat u koní, zejména u hříbat, protože použití kolistinu může v důsledku posunu rovnováhy gastrointestinální mikroflóry vést k rozvoji kolitidy spojené s antimikrobní léčbou (kolitidy X), v typickém případě ve spojitosti s </w:t>
      </w:r>
      <w:r w:rsidRPr="001725AB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cs-CZ" w:eastAsia="cs-CZ"/>
        </w:rPr>
        <w:t>Clostridium difficile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, která může být fatální.</w:t>
      </w:r>
    </w:p>
    <w:p w14:paraId="41EA4A93" w14:textId="77777777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Nepoužívat v případě přecitlivělosti na kolistin nebo na některou z pomocných látek.</w:t>
      </w:r>
    </w:p>
    <w:p w14:paraId="543BB9E0" w14:textId="77777777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Nepoužívat v případě rezistence k polymyxinům.</w:t>
      </w:r>
    </w:p>
    <w:p w14:paraId="470819BF" w14:textId="77777777" w:rsidR="00D8481E" w:rsidRPr="001725AB" w:rsidRDefault="00D8481E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6AF8B79D" w14:textId="77777777" w:rsidR="008D3E64" w:rsidRPr="001725AB" w:rsidRDefault="008D3E64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6FFD23D" w14:textId="77777777" w:rsidR="008075C1" w:rsidRPr="001725AB" w:rsidRDefault="008075C1" w:rsidP="00D848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7.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Zvláštní upozornění</w:t>
      </w:r>
    </w:p>
    <w:p w14:paraId="5159A445" w14:textId="77777777" w:rsidR="008075C1" w:rsidRPr="001725AB" w:rsidRDefault="008075C1" w:rsidP="00D8481E">
      <w:pPr>
        <w:keepNext/>
        <w:jc w:val="both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5528D121" w14:textId="62627437" w:rsidR="00D8481E" w:rsidRPr="001725AB" w:rsidRDefault="008D3E64" w:rsidP="00D8481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Zvláštní </w:t>
      </w:r>
      <w:r w:rsidR="00D8481E"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upozornění</w:t>
      </w:r>
    </w:p>
    <w:p w14:paraId="39E1CA23" w14:textId="76115824" w:rsidR="008D3E64" w:rsidRPr="001725AB" w:rsidRDefault="008D3E64" w:rsidP="00237E8C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 w:rsidDel="008D3E64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</w:t>
      </w:r>
    </w:p>
    <w:p w14:paraId="7F3797CA" w14:textId="522CE96D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lastRenderedPageBreak/>
        <w:t xml:space="preserve">Kromě léčby je třeba </w:t>
      </w:r>
      <w:r w:rsidR="009B05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uplatňovat zásady správné chovatelské a hygienické praxe, aby se snížilo riziko výskytu infekce a selekce kmenů s rezistencí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.</w:t>
      </w:r>
    </w:p>
    <w:p w14:paraId="12C70EC1" w14:textId="5035A49F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Kolistin vykazuje proti gramnegativním bakteriím účinnost závislou na koncentraci. Po perorálním podání je v gastrointestinálním traktu, tj. v cílovém místě, dosahováno vysokých koncentrací v důsledku špatné absorpce látky. Tyto faktory naznačují, že doba trvání léčby delší, než je doba indikovaná v </w:t>
      </w:r>
      <w:r w:rsidR="005E0B32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bodě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  <w:r w:rsidRPr="001725AB">
        <w:rPr>
          <w:rFonts w:ascii="Times New Roman" w:eastAsia="Times New Roman" w:hAnsi="Times New Roman" w:cs="Times New Roman"/>
          <w:bCs/>
          <w:i/>
          <w:color w:val="000000" w:themeColor="text1"/>
          <w:sz w:val="22"/>
          <w:szCs w:val="22"/>
          <w:lang w:val="cs-CZ" w:eastAsia="cs-CZ"/>
        </w:rPr>
        <w:t>Dávkování</w:t>
      </w:r>
      <w:r w:rsidR="009B05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  <w:r w:rsidR="009B059F" w:rsidRPr="001725AB">
        <w:rPr>
          <w:rFonts w:ascii="Times New Roman" w:eastAsia="Times New Roman" w:hAnsi="Times New Roman" w:cs="Times New Roman"/>
          <w:bCs/>
          <w:i/>
          <w:color w:val="000000" w:themeColor="text1"/>
          <w:sz w:val="22"/>
          <w:szCs w:val="22"/>
          <w:lang w:val="cs-CZ" w:eastAsia="cs-CZ"/>
        </w:rPr>
        <w:t>pro každý druh</w:t>
      </w:r>
      <w:r w:rsidR="009B05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,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vede ke zbytečné expozici a z tohoto důvodu se nedoporučuje.</w:t>
      </w:r>
    </w:p>
    <w:p w14:paraId="798DCB04" w14:textId="77777777" w:rsidR="008D3E64" w:rsidRPr="001725AB" w:rsidRDefault="008D3E64" w:rsidP="00D8481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</w:p>
    <w:p w14:paraId="4FB24E8A" w14:textId="2C309C50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Zvláštní opatření pro </w:t>
      </w:r>
      <w:r w:rsidR="008C5A9F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  <w:lang w:val="cs-CZ"/>
        </w:rPr>
        <w:t xml:space="preserve">bezpečné 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použití u </w:t>
      </w:r>
      <w:r w:rsidR="008C5A9F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  <w:lang w:val="cs-CZ"/>
        </w:rPr>
        <w:t xml:space="preserve">cílových druhů 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zvířat:</w:t>
      </w:r>
    </w:p>
    <w:p w14:paraId="0061777D" w14:textId="086E2011" w:rsidR="004574D6" w:rsidRPr="001725AB" w:rsidRDefault="004574D6" w:rsidP="0002047D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Veterinární léčivý přípravek je určen pro cílové kategorie zvířat ve výkrmu.</w:t>
      </w:r>
    </w:p>
    <w:p w14:paraId="067BE82A" w14:textId="551421CC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U těžce nemocných zvířat může docházet ke snížení příjmu krmiva i spotřeby vody. V případě potřeby by proto měla být koncentrace</w:t>
      </w:r>
      <w:r w:rsidR="007A7BA4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veterinárního léčivého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přípravku v pitné vodě upravena tak, aby bylo zajištěno podání doporučené denní dávky.</w:t>
      </w:r>
    </w:p>
    <w:p w14:paraId="6F25EB81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U druhů zvířat, kde je to relevantní, by v případě nedostatečného příjmu vody a tím i dostatečné dávky léčiva měla být léčba přehodnocena a zvážena možnost parenterální léčby.</w:t>
      </w:r>
    </w:p>
    <w:p w14:paraId="7CCEB4AF" w14:textId="5CDA3A23" w:rsidR="008C5A9F" w:rsidRPr="001725AB" w:rsidRDefault="008C5A9F" w:rsidP="00237E8C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Použití kolistinu by mělo být vždy, kdy je to možné, založeno na výsledku </w:t>
      </w:r>
      <w:r w:rsidR="006A69DE"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>stanovení</w:t>
      </w: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 citlivosti.</w:t>
      </w:r>
    </w:p>
    <w:p w14:paraId="4FCFC4C6" w14:textId="3AF53891" w:rsidR="006A69DE" w:rsidRPr="001725AB" w:rsidRDefault="006A69DE" w:rsidP="0002047D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>Je třeba postupovat v souladu s oficiálními a národními zásadami pro používání antimikrobních látek</w:t>
      </w:r>
      <w:r w:rsidR="008C5A9F"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. </w:t>
      </w:r>
    </w:p>
    <w:p w14:paraId="13C8BC67" w14:textId="29FE964B" w:rsidR="008C5A9F" w:rsidRPr="001725AB" w:rsidRDefault="008C5A9F" w:rsidP="00237E8C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Použití </w:t>
      </w:r>
      <w:r w:rsidR="006A69DE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veterinárního léčivého 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přípravku, které je odlišné od pokynů uvedených v</w:t>
      </w:r>
      <w:r w:rsidR="006A69DE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 této příbalové informaci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 může vést k selhání léčby a zvýšit prevalenci bakterií rezistentních ke kolistinu.</w:t>
      </w:r>
    </w:p>
    <w:p w14:paraId="13A91A92" w14:textId="275C33ED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Použití </w:t>
      </w:r>
      <w:r w:rsidR="006A69DE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veterinárního léčivého 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přípravku by mělo </w:t>
      </w:r>
      <w:r w:rsidR="006A69DE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být vždy doprovázeno zavedením zásad správné chovatelské praxe, např. dobrou hygienou, zajištěním náležité ventilace a zamezením ustájení nadměrného počtu kusů. Kolistin by neměl být používán jako náhrada správné ošetřovatelské praxe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. </w:t>
      </w:r>
    </w:p>
    <w:p w14:paraId="0111D7CE" w14:textId="1740C8EB" w:rsidR="008C5A9F" w:rsidRPr="001725AB" w:rsidRDefault="008C5A9F" w:rsidP="00237E8C">
      <w:pPr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>Kolistin je v humánní medicíně</w:t>
      </w:r>
      <w:r w:rsidR="001218A9"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 považován za</w:t>
      </w: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 rezervní antibiotikum určené pro léčbu infekcí vyvolaných multirezistentními kmeny bakterií. Aby se minimalizovalo jakékoli potenciální riziko spojené s širším používáním kolistinu, mělo by být používání omezeno na léčbu, nebo na léčbu a metafylaxi nemocí a neměl by být používán </w:t>
      </w:r>
      <w:r w:rsidR="001218A9"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>k</w:t>
      </w:r>
      <w:r w:rsidRPr="001725AB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cs-CZ" w:eastAsia="cs-CZ"/>
        </w:rPr>
        <w:t xml:space="preserve"> profylaxi.</w:t>
      </w:r>
    </w:p>
    <w:p w14:paraId="596D175F" w14:textId="1DA00875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</w:p>
    <w:p w14:paraId="669D2FE9" w14:textId="080263DB" w:rsidR="008D3E64" w:rsidRPr="001725AB" w:rsidRDefault="008D3E64" w:rsidP="00237E8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Zvláštní opatření </w:t>
      </w:r>
      <w:r w:rsidR="008C5A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pro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osob</w:t>
      </w:r>
      <w:r w:rsidR="008C5A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u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, kter</w:t>
      </w:r>
      <w:r w:rsidR="008C5A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á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podáv</w:t>
      </w:r>
      <w:r w:rsidR="008C5A9F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á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veterinární léčivý přípravek zvířatům:</w:t>
      </w:r>
    </w:p>
    <w:p w14:paraId="3743F9CD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Lidé se známou přecitlivělostí na polymyxiny (mezi které patří i kolistin sulfát) by se měli vyhnout kontaktu s veterinárním léčivým přípravkem.</w:t>
      </w:r>
    </w:p>
    <w:p w14:paraId="45D3067D" w14:textId="531C8F93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Zabraňte kontaktu </w:t>
      </w:r>
      <w:r w:rsidR="00C15D28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veterinárního léčivého 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přípravku s kůží, očima a sliznicemi a inhalaci prachových částí. Při nakládání s veterinárním léčivým přípravkem by se měly používat osobní ochranné prostředky skládající se z ochranného oděvu, nepropustných gumových nebo latexových rukavic, ochranných brýlí a buď z jednorázového respirátoru s polomaskou vyhovující evropské normě EN149 nebo z respirátoru pro opakované použití podle evropské normy EN140 s filtrem podle normy EN143.</w:t>
      </w:r>
    </w:p>
    <w:p w14:paraId="4BACBB28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 případě zasažení pokožky či sliznice opláchněte exponovanou část ihned mýdlem a velkým množstvím vody. </w:t>
      </w:r>
    </w:p>
    <w:p w14:paraId="3C94CDE4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 případě zasažení očí vypláchněte oko velkým množstvím čisté vody. </w:t>
      </w:r>
    </w:p>
    <w:p w14:paraId="33AB6DEF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Pokud se u vás objeví postexpoziční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52A535F3" w14:textId="27EFE410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Při </w:t>
      </w:r>
      <w:r w:rsidR="00C15D28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nakládání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s</w:t>
      </w:r>
      <w:r w:rsidR="00C15D28"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 veterinárním léčivým </w:t>
      </w: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přípravkem nejezte, nepijte a nekuřte.</w:t>
      </w:r>
    </w:p>
    <w:p w14:paraId="27139A19" w14:textId="77777777" w:rsidR="008D3E64" w:rsidRPr="001725AB" w:rsidRDefault="008D3E64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Po použití si umyjte ruce.</w:t>
      </w:r>
    </w:p>
    <w:p w14:paraId="077271DD" w14:textId="77777777" w:rsidR="00837EBE" w:rsidRPr="001725AB" w:rsidRDefault="00837EBE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5C2641D5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Březost a laktace:</w:t>
      </w:r>
    </w:p>
    <w:p w14:paraId="42B87181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Nebyla stanovena bezpečnost veterinárního léčivého přípravku pro použití během březosti a laktace. </w:t>
      </w:r>
    </w:p>
    <w:p w14:paraId="38E735A2" w14:textId="7D8655EF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Nepoužívat v průběhu březost</w:t>
      </w:r>
      <w:r w:rsidR="00862801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i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a laktace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.</w:t>
      </w:r>
      <w:r w:rsidRPr="001725AB" w:rsidDel="00AA1566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</w:t>
      </w:r>
    </w:p>
    <w:p w14:paraId="1901648A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</w:p>
    <w:p w14:paraId="657AD00E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Nosnice:</w:t>
      </w:r>
    </w:p>
    <w:p w14:paraId="338CA5B1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Nebyla stanovena bezpečnost veterinárního léčivého přípravku pro použití během snášky.</w:t>
      </w:r>
    </w:p>
    <w:p w14:paraId="35BD53C3" w14:textId="77777777" w:rsidR="00945D62" w:rsidRPr="001725AB" w:rsidRDefault="00945D62" w:rsidP="00945D6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Nepoužívat u ptáků snášejících nebo určených ke snášce vajec pro lidskou spotřebu.</w:t>
      </w:r>
    </w:p>
    <w:p w14:paraId="11168BF0" w14:textId="75998A89" w:rsidR="004574D6" w:rsidRPr="001725AB" w:rsidRDefault="004574D6" w:rsidP="00237E8C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</w:p>
    <w:p w14:paraId="082B936D" w14:textId="1E64B1C4" w:rsidR="008D3E64" w:rsidRPr="001725AB" w:rsidRDefault="008D3E64" w:rsidP="00237E8C">
      <w:pPr>
        <w:keepNext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Interakce s </w:t>
      </w:r>
      <w:r w:rsidR="00837EBE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jiný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mi léčivými přípravky a další formy interakce:</w:t>
      </w:r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</w:p>
    <w:p w14:paraId="27D01E4B" w14:textId="1C711472" w:rsidR="001218A9" w:rsidRPr="001725AB" w:rsidRDefault="00837EBE" w:rsidP="00D8481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epodávat </w:t>
      </w:r>
      <w:r w:rsidR="001218A9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současně </w:t>
      </w:r>
      <w:r w:rsidR="00680A6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s erythromycinem</w:t>
      </w:r>
      <w:r w:rsidR="001218A9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ani</w:t>
      </w:r>
      <w:r w:rsidR="00680A6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kanamycinem</w:t>
      </w:r>
      <w:r w:rsidR="001218A9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442C0331" w14:textId="1DCD1209" w:rsidR="00680A6E" w:rsidRPr="001725AB" w:rsidRDefault="001218A9" w:rsidP="00D8481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Nepodávat současně</w:t>
      </w:r>
      <w:r w:rsidR="00680A6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s dvojmocnými kationty (železo, vápník, hořčík) a nenasycenými mastnými kyselinami, kvarterními sloučeninami amonia a polyfosfáty, které mohou působit jako antagonisté účink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u</w:t>
      </w:r>
      <w:r w:rsidR="00680A6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kolistin sulfátu.</w:t>
      </w:r>
    </w:p>
    <w:p w14:paraId="67833E39" w14:textId="77777777" w:rsidR="00680A6E" w:rsidRPr="001725AB" w:rsidRDefault="00680A6E" w:rsidP="00D8481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</w:p>
    <w:p w14:paraId="79F0BD4E" w14:textId="5DF8CBAB" w:rsidR="00837EBE" w:rsidRPr="001725AB" w:rsidRDefault="00837EBE" w:rsidP="00237E8C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u w:val="single"/>
          <w:lang w:val="cs-CZ" w:eastAsia="cs-CZ"/>
        </w:rPr>
      </w:pPr>
      <w:bookmarkStart w:id="3" w:name="_Toc213406841"/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Zvláštní omezení pro použití a zvláštní podmínky pro použití</w:t>
      </w:r>
      <w:bookmarkEnd w:id="3"/>
      <w:r w:rsidR="00862801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:</w:t>
      </w:r>
    </w:p>
    <w:p w14:paraId="239B5C63" w14:textId="57E9123C" w:rsidR="00837EBE" w:rsidRPr="001725AB" w:rsidRDefault="00141632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bookmarkStart w:id="4" w:name="_Hlk212556620"/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Nepoužívejte pro profylaxi</w:t>
      </w:r>
      <w:r w:rsidR="00837EBE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.</w:t>
      </w:r>
      <w:bookmarkEnd w:id="4"/>
    </w:p>
    <w:p w14:paraId="05EEE9DC" w14:textId="77777777" w:rsidR="00837EBE" w:rsidRPr="001725AB" w:rsidRDefault="00837EBE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6EAC7B10" w14:textId="259B9D93" w:rsidR="00837EBE" w:rsidRPr="001725AB" w:rsidRDefault="003A623E" w:rsidP="00237E8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cs-CZ"/>
        </w:rPr>
      </w:pPr>
      <w:bookmarkStart w:id="5" w:name="_Toc213406855"/>
      <w:r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Hlavní i</w:t>
      </w:r>
      <w:r w:rsidR="00837EBE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nkompatibility</w:t>
      </w:r>
      <w:bookmarkEnd w:id="5"/>
      <w:r w:rsidR="00862801" w:rsidRPr="001725AB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:</w:t>
      </w:r>
    </w:p>
    <w:p w14:paraId="69F9F70B" w14:textId="5C6F604E" w:rsidR="00837EBE" w:rsidRPr="001725AB" w:rsidRDefault="00837EBE" w:rsidP="00D8481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37CE8380" w14:textId="77777777" w:rsidR="00D8481E" w:rsidRPr="001725AB" w:rsidRDefault="00D8481E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764A3D9D" w14:textId="77777777" w:rsidR="00837EBE" w:rsidRPr="001725AB" w:rsidRDefault="00837EBE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1C3327CA" w14:textId="77777777" w:rsidR="008075C1" w:rsidRPr="001725AB" w:rsidRDefault="008075C1" w:rsidP="00D8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8.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Nežádoucí účinky</w:t>
      </w:r>
    </w:p>
    <w:p w14:paraId="71491839" w14:textId="77777777" w:rsidR="008075C1" w:rsidRPr="001725AB" w:rsidRDefault="008075C1" w:rsidP="00D8481E">
      <w:pPr>
        <w:jc w:val="both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337B3CCA" w14:textId="7B4E59A9" w:rsidR="003A623E" w:rsidRPr="001725AB" w:rsidRDefault="003A623E" w:rsidP="00D8481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Nežádoucí účinky</w:t>
      </w:r>
    </w:p>
    <w:p w14:paraId="776278FF" w14:textId="77777777" w:rsidR="007D3BEC" w:rsidRPr="001725AB" w:rsidRDefault="007D3BEC" w:rsidP="007D3BE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Prasata, kur domácí (brojleři)</w:t>
      </w:r>
    </w:p>
    <w:p w14:paraId="110D7329" w14:textId="77777777" w:rsidR="00D8481E" w:rsidRPr="001725AB" w:rsidRDefault="00D8481E" w:rsidP="00237E8C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0BC976FC" w14:textId="77777777" w:rsidR="003A623E" w:rsidRPr="001725AB" w:rsidRDefault="003A623E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Kolistin po perorálním podání nevyvolává systémové vedlejší účinky, protože nedochází k jeho vstřebávání z trávicího ústrojí a je cílovými druhy zvířat dobře tolerován.</w:t>
      </w:r>
    </w:p>
    <w:p w14:paraId="4AE661E9" w14:textId="77777777" w:rsidR="003A623E" w:rsidRPr="001725AB" w:rsidRDefault="003A623E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C1953CD" w14:textId="39249589" w:rsidR="0034196F" w:rsidRPr="001725AB" w:rsidRDefault="0034196F" w:rsidP="00D8481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852DA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i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rozhodnutí o registraci s využitím kontaktních údajů uvedených na konci této příbalové informace</w:t>
      </w:r>
      <w:r w:rsidR="000852DA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nebo prostřednictvím národního systému hlášení nežádoucích účinků: </w:t>
      </w:r>
    </w:p>
    <w:p w14:paraId="5B02832C" w14:textId="77777777" w:rsidR="00B6330C" w:rsidRPr="001725AB" w:rsidRDefault="00B6330C" w:rsidP="00B6330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1A65ED12" w14:textId="77777777" w:rsidR="003A623E" w:rsidRPr="001725AB" w:rsidRDefault="003A623E" w:rsidP="00B6330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Ústav pro státní kontrolu veterinárních biopreparátů a léčiv </w:t>
      </w:r>
    </w:p>
    <w:p w14:paraId="53447FC3" w14:textId="775F7D6B" w:rsidR="003A623E" w:rsidRPr="001725AB" w:rsidRDefault="003A623E" w:rsidP="00300C9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Hudcova 56</w:t>
      </w:r>
      <w:r w:rsidR="000852DA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a</w:t>
      </w:r>
    </w:p>
    <w:p w14:paraId="05E64CD6" w14:textId="77777777" w:rsidR="003A623E" w:rsidRPr="001725AB" w:rsidRDefault="003A623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621 00 Brno </w:t>
      </w:r>
    </w:p>
    <w:p w14:paraId="6F1E5DEB" w14:textId="7922C392" w:rsidR="003A623E" w:rsidRPr="001725AB" w:rsidRDefault="000852DA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E</w:t>
      </w:r>
      <w:r w:rsidR="0034196F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-m</w:t>
      </w:r>
      <w:r w:rsidR="003A623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ail: </w:t>
      </w:r>
      <w:hyperlink r:id="rId8" w:history="1">
        <w:r w:rsidR="0034196F" w:rsidRPr="001725AB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 w:eastAsia="cs-CZ"/>
          </w:rPr>
          <w:t>adr@uskvbl.cz</w:t>
        </w:r>
      </w:hyperlink>
    </w:p>
    <w:p w14:paraId="54BAFA23" w14:textId="45B59EC4" w:rsidR="0034196F" w:rsidRPr="001725AB" w:rsidRDefault="000852DA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</w:t>
      </w:r>
      <w:r w:rsidR="0034196F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el.: +420 720 940 693</w:t>
      </w:r>
    </w:p>
    <w:p w14:paraId="7B05F8B4" w14:textId="77777777" w:rsidR="003A623E" w:rsidRPr="001725AB" w:rsidRDefault="003A623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Webové stránky: </w:t>
      </w:r>
      <w:hyperlink r:id="rId9" w:history="1">
        <w:r w:rsidRPr="001725AB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 w:eastAsia="cs-CZ"/>
          </w:rPr>
          <w:t>http://www.uskvbl.cz/cs/farmakovigilance</w:t>
        </w:r>
      </w:hyperlink>
    </w:p>
    <w:p w14:paraId="62F46DE7" w14:textId="77777777" w:rsidR="00837EBE" w:rsidRPr="001725AB" w:rsidRDefault="00837EBE" w:rsidP="00237E8C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</w:p>
    <w:p w14:paraId="45DB92A4" w14:textId="77777777" w:rsidR="008075C1" w:rsidRPr="001725AB" w:rsidRDefault="008075C1" w:rsidP="00D8481E">
      <w:pPr>
        <w:jc w:val="both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3F4D6BFE" w14:textId="77777777" w:rsidR="008075C1" w:rsidRPr="001725AB" w:rsidRDefault="008075C1" w:rsidP="00D8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9.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Dávkování pro každý druh, cesty a způsob podání</w:t>
      </w:r>
    </w:p>
    <w:p w14:paraId="67583DF2" w14:textId="77777777" w:rsidR="008075C1" w:rsidRPr="001725AB" w:rsidRDefault="008075C1" w:rsidP="00D8481E">
      <w:pPr>
        <w:jc w:val="both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7B4F612D" w14:textId="71483899" w:rsidR="00371977" w:rsidRPr="001725AB" w:rsidRDefault="00371977" w:rsidP="00D8481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Dávkování pro každý druh, cesty a způsob podání</w:t>
      </w:r>
    </w:p>
    <w:p w14:paraId="75360B6A" w14:textId="413557A9" w:rsidR="00395AE8" w:rsidRPr="001725AB" w:rsidRDefault="00395AE8" w:rsidP="00237E8C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2BA89401" w14:textId="7AB029C2" w:rsidR="00371977" w:rsidRPr="001725AB" w:rsidRDefault="006F06E5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</w:t>
      </w:r>
      <w:r w:rsidR="00371977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odání v pitné vodě.</w:t>
      </w:r>
    </w:p>
    <w:p w14:paraId="7D42B3A4" w14:textId="77777777" w:rsidR="00371977" w:rsidRPr="001725AB" w:rsidRDefault="00371977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02F28D26" w14:textId="30DBE987" w:rsidR="00371977" w:rsidRPr="001725AB" w:rsidRDefault="00371977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  <w:t xml:space="preserve">Prasata a </w:t>
      </w:r>
      <w:r w:rsidR="00C011F8" w:rsidRPr="001725AB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  <w:t>kur domácí (brojleři)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  <w:t>:</w:t>
      </w:r>
    </w:p>
    <w:p w14:paraId="2E1D93F1" w14:textId="7F9ABE73" w:rsidR="00371977" w:rsidRPr="001725AB" w:rsidRDefault="00371977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60 000–96 000 IU kolistin sulfátu/kg ž.hm./den, což odpovídá 0,05–0,08 g </w:t>
      </w:r>
      <w:r w:rsidR="00C011F8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veterinárního léčivého 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přípravku na kg ž.hm a den</w:t>
      </w:r>
      <w:r w:rsidR="00C011F8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po dobu 3 po sobě jdoucích dnů.</w:t>
      </w:r>
    </w:p>
    <w:p w14:paraId="3FC153AE" w14:textId="77777777" w:rsidR="00371977" w:rsidRPr="001725AB" w:rsidRDefault="00371977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796E6760" w14:textId="6E893CE2" w:rsidR="00AD5A15" w:rsidRPr="001725AB" w:rsidRDefault="00AD5A15" w:rsidP="00237E8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Na základě doporučené dávky a počtu a hmotnosti zvířat, která je třeba </w:t>
      </w:r>
      <w:r w:rsidR="00C011F8"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léčit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, se přesná denní koncentrace veterinárního léčivého přípravku vypočítá podle následujícího vzorce:</w:t>
      </w:r>
    </w:p>
    <w:p w14:paraId="7210CF52" w14:textId="77777777" w:rsidR="00371977" w:rsidRPr="001725AB" w:rsidRDefault="00371977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345"/>
        <w:gridCol w:w="2635"/>
        <w:gridCol w:w="345"/>
        <w:gridCol w:w="2915"/>
      </w:tblGrid>
      <w:tr w:rsidR="000D1954" w:rsidRPr="001725AB" w14:paraId="2FFC2A84" w14:textId="77777777" w:rsidTr="008937CF"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09EE6312" w14:textId="77777777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>... g přípravku na kg živé hmotnosti a den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36B04BF0" w14:textId="68F77B03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>×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195B5AC5" w14:textId="0A1529F6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>průměrná živá hmotnost (kg) léčených zvířat</w:t>
            </w:r>
          </w:p>
        </w:tc>
        <w:tc>
          <w:tcPr>
            <w:tcW w:w="345" w:type="dxa"/>
            <w:vMerge w:val="restart"/>
            <w:vAlign w:val="center"/>
          </w:tcPr>
          <w:p w14:paraId="3FF8204B" w14:textId="00C06833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>=</w:t>
            </w:r>
          </w:p>
        </w:tc>
        <w:tc>
          <w:tcPr>
            <w:tcW w:w="2915" w:type="dxa"/>
            <w:vMerge w:val="restart"/>
            <w:vAlign w:val="center"/>
          </w:tcPr>
          <w:p w14:paraId="51FE9DE5" w14:textId="77777777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>... g přípravku na litr pitné vody</w:t>
            </w:r>
          </w:p>
        </w:tc>
      </w:tr>
      <w:tr w:rsidR="000D1954" w:rsidRPr="001725AB" w14:paraId="4164E92F" w14:textId="77777777" w:rsidTr="008937CF">
        <w:tc>
          <w:tcPr>
            <w:tcW w:w="5949" w:type="dxa"/>
            <w:gridSpan w:val="3"/>
            <w:tcBorders>
              <w:top w:val="single" w:sz="4" w:space="0" w:color="auto"/>
            </w:tcBorders>
          </w:tcPr>
          <w:p w14:paraId="77F7D900" w14:textId="245DFC06" w:rsidR="00AD168E" w:rsidRPr="001725AB" w:rsidRDefault="00AD168E" w:rsidP="00237E8C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1725AB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průměrná denní spotřeba vody (l) </w:t>
            </w:r>
            <w:r w:rsidRPr="001725AB">
              <w:rPr>
                <w:rFonts w:ascii="Times New Roman" w:eastAsia="Arial" w:hAnsi="Times New Roman" w:cs="Times New Roman"/>
                <w:i/>
                <w:color w:val="000000" w:themeColor="text1"/>
                <w:sz w:val="22"/>
                <w:szCs w:val="22"/>
                <w:lang w:val="cs-CZ"/>
              </w:rPr>
              <w:t>pro toto</w:t>
            </w:r>
          </w:p>
        </w:tc>
        <w:tc>
          <w:tcPr>
            <w:tcW w:w="345" w:type="dxa"/>
            <w:vMerge/>
          </w:tcPr>
          <w:p w14:paraId="7A4CC70A" w14:textId="77777777" w:rsidR="00AD168E" w:rsidRPr="001725AB" w:rsidRDefault="00AD168E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915" w:type="dxa"/>
            <w:vMerge/>
          </w:tcPr>
          <w:p w14:paraId="6E7CB627" w14:textId="77777777" w:rsidR="00AD168E" w:rsidRPr="001725AB" w:rsidRDefault="00AD168E">
            <w:pP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57528305" w14:textId="77777777" w:rsidR="00371977" w:rsidRPr="001725AB" w:rsidRDefault="00371977" w:rsidP="008075C1">
      <w:pPr>
        <w:rPr>
          <w:rFonts w:ascii="Times New Roman" w:eastAsia="Arial" w:hAnsi="Times New Roman" w:cs="Times New Roman"/>
          <w:color w:val="000000" w:themeColor="text1"/>
          <w:sz w:val="22"/>
          <w:szCs w:val="22"/>
          <w:lang w:val="cs-CZ"/>
        </w:rPr>
      </w:pPr>
    </w:p>
    <w:p w14:paraId="006F2019" w14:textId="77777777" w:rsidR="00371977" w:rsidRPr="001725AB" w:rsidRDefault="00371977" w:rsidP="00237E8C">
      <w:pP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</w:p>
    <w:p w14:paraId="14C4D7A8" w14:textId="77777777" w:rsidR="008075C1" w:rsidRPr="001725AB" w:rsidRDefault="008075C1" w:rsidP="00395C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bookmarkStart w:id="6" w:name="_Toc213922073"/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10.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Informace o správném podáVÁní</w:t>
      </w:r>
    </w:p>
    <w:p w14:paraId="36311A25" w14:textId="77777777" w:rsidR="008075C1" w:rsidRPr="001725AB" w:rsidRDefault="008075C1" w:rsidP="00B6330C">
      <w:pPr>
        <w:keepNext/>
        <w:jc w:val="both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1085E6D3" w14:textId="21F194BA" w:rsidR="00AD168E" w:rsidRPr="001725AB" w:rsidRDefault="00AD168E" w:rsidP="00B6330C">
      <w:pPr>
        <w:keepNext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Informace o správném podá</w:t>
      </w:r>
      <w:r w:rsidR="00395AE8"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vá</w:t>
      </w: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ní</w:t>
      </w:r>
      <w:bookmarkEnd w:id="6"/>
    </w:p>
    <w:p w14:paraId="0DBF3B5E" w14:textId="1F483C60" w:rsidR="00395AE8" w:rsidRPr="001725AB" w:rsidRDefault="00395AE8" w:rsidP="00237E8C">
      <w:pPr>
        <w:keepNext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</w:pPr>
    </w:p>
    <w:p w14:paraId="7B308417" w14:textId="40AA8C71" w:rsidR="0099591B" w:rsidRPr="001725AB" w:rsidRDefault="0099591B" w:rsidP="00237E8C">
      <w:p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</w:pPr>
      <w:bookmarkStart w:id="7" w:name="_Hlk221881132"/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>Pro zajištění správného dávkování by měla být co nejpřesněji stanovena živá hmotnost</w:t>
      </w:r>
      <w:bookmarkEnd w:id="7"/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 xml:space="preserve">. </w:t>
      </w:r>
    </w:p>
    <w:p w14:paraId="24E0900E" w14:textId="613FC062" w:rsidR="00AD168E" w:rsidRPr="001725AB" w:rsidRDefault="00C011F8" w:rsidP="00237E8C">
      <w:p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</w:pPr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lastRenderedPageBreak/>
        <w:t>Spotřeba medikované pitné vody závisí na klinickém stavu zvířat. Pro dosažení správné dávky může být nutné upravit koncentraci veterinárního léčivého přípravku v pitné vodě tak, aby bylo dosaženo požadované denní dávky</w:t>
      </w:r>
      <w:r w:rsidR="0099591B"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>.</w:t>
      </w:r>
      <w:r w:rsidR="00AD168E"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 xml:space="preserve"> </w:t>
      </w:r>
    </w:p>
    <w:p w14:paraId="50BEEE3C" w14:textId="65C45966" w:rsidR="00AD168E" w:rsidRPr="001725AB" w:rsidRDefault="00C011F8" w:rsidP="00237E8C">
      <w:p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</w:pPr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>Je doporučeno</w:t>
      </w:r>
      <w:r w:rsidR="00AD168E"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 xml:space="preserve"> používat správně kalibrované váhy v případě, pokud jsou používány pouze části balení.</w:t>
      </w:r>
    </w:p>
    <w:p w14:paraId="47C648C4" w14:textId="680FBE4E" w:rsidR="00AD168E" w:rsidRPr="001725AB" w:rsidRDefault="00C011F8" w:rsidP="00237E8C">
      <w:p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</w:pPr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>Vypočtené denní množství veterinárního léčivého přípravku má být přidáno do pitné vody tak, aby byla medikovaná voda spotřebována do 24 hodin. Medikovanou pitnou</w:t>
      </w:r>
      <w:r w:rsidR="007A0C22"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 xml:space="preserve"> vodu </w:t>
      </w:r>
      <w:r w:rsidR="00AD168E"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 xml:space="preserve">je nutno připravovat každých 24 hodin čerstvou. </w:t>
      </w:r>
    </w:p>
    <w:p w14:paraId="1CE2604C" w14:textId="77777777" w:rsidR="00AD168E" w:rsidRPr="001725AB" w:rsidRDefault="00AD168E" w:rsidP="00237E8C">
      <w:p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</w:pPr>
      <w:r w:rsidRPr="001725A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cs-CZ" w:eastAsia="hu-HU"/>
        </w:rPr>
        <w:t>Doba trvání léčby by měla být omezena na minimální dobu nutnou k vyléčení onemocnění.</w:t>
      </w:r>
    </w:p>
    <w:p w14:paraId="19350E1B" w14:textId="77777777" w:rsidR="00680A6E" w:rsidRPr="001725AB" w:rsidRDefault="00680A6E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36AE339" w14:textId="12E699B1" w:rsidR="00680A6E" w:rsidRPr="001725AB" w:rsidRDefault="00680A6E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41C64F0D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11.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Ochranné lhůty</w:t>
      </w:r>
    </w:p>
    <w:p w14:paraId="1184D472" w14:textId="77777777" w:rsidR="00945D62" w:rsidRPr="001725AB" w:rsidRDefault="00945D62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5FE66855" w14:textId="77777777" w:rsidR="00945D62" w:rsidRPr="001725AB" w:rsidRDefault="0037494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Ochranné lhůty:</w:t>
      </w:r>
    </w:p>
    <w:p w14:paraId="3D4C69A4" w14:textId="77777777" w:rsidR="0026227D" w:rsidRPr="001725AB" w:rsidRDefault="0026227D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8A790CE" w14:textId="77777777" w:rsidR="00EA5BEE" w:rsidRPr="001725AB" w:rsidRDefault="00EA5BEE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Prasata: Maso: 2 dny</w:t>
      </w:r>
    </w:p>
    <w:p w14:paraId="3F6AF083" w14:textId="77777777" w:rsidR="00EA5BEE" w:rsidRPr="001725AB" w:rsidRDefault="00EA5BEE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Kur domácí (brojleři): Maso: 2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dny</w:t>
      </w:r>
    </w:p>
    <w:p w14:paraId="0499A03B" w14:textId="38C73BC0" w:rsidR="00EA5BEE" w:rsidRPr="001725AB" w:rsidRDefault="00945D62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Nepoužívat u ptáků snášejících nebo určených ke snášce vajec pro lidskou spotřebu</w:t>
      </w:r>
      <w:r w:rsidR="00EA5BEE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04CD2597" w14:textId="77777777" w:rsidR="00EA5BEE" w:rsidRPr="001725AB" w:rsidRDefault="00EA5BEE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3713136" w14:textId="4879AC66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3108C817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12.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Zvláštní podmínky pro uchovávání</w:t>
      </w:r>
    </w:p>
    <w:p w14:paraId="7ED79F57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385313B2" w14:textId="416CC4CA" w:rsidR="00211BF2" w:rsidRPr="001725AB" w:rsidRDefault="00211BF2" w:rsidP="008075C1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Zvláštní podmínky pro uchovávání</w:t>
      </w:r>
    </w:p>
    <w:p w14:paraId="04C64C43" w14:textId="77777777" w:rsidR="00B6330C" w:rsidRPr="001725AB" w:rsidRDefault="00B6330C" w:rsidP="00237E8C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354DCAC9" w14:textId="19402908" w:rsidR="005353C1" w:rsidRPr="001725AB" w:rsidRDefault="005353C1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Uchovávejte mimo dohled a dosah dětí.</w:t>
      </w:r>
    </w:p>
    <w:p w14:paraId="0E706444" w14:textId="77777777" w:rsidR="00211BF2" w:rsidRPr="001725AB" w:rsidRDefault="00211BF2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Uchovávejte při teplotě do 25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sym w:font="Symbol" w:char="F0B0"/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C.</w:t>
      </w:r>
    </w:p>
    <w:p w14:paraId="08C34B37" w14:textId="77777777" w:rsidR="00211BF2" w:rsidRPr="001725AB" w:rsidRDefault="00211BF2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Uchovávejte v suchu. </w:t>
      </w:r>
    </w:p>
    <w:p w14:paraId="47292D89" w14:textId="77777777" w:rsidR="00211BF2" w:rsidRPr="001725AB" w:rsidRDefault="00211BF2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Chraňte před přímým slunečním zářením.</w:t>
      </w:r>
    </w:p>
    <w:p w14:paraId="506072E4" w14:textId="77777777" w:rsidR="00074EE7" w:rsidRPr="001725AB" w:rsidRDefault="00211BF2" w:rsidP="00074EE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Nepoužívejte tento veterinární léčivý přípravek po uplynutí doby použitelnosti uvedené na etiketě po EXP. </w:t>
      </w:r>
    </w:p>
    <w:p w14:paraId="472C9313" w14:textId="77777777" w:rsidR="00074EE7" w:rsidRPr="001725AB" w:rsidRDefault="00074EE7" w:rsidP="00074EE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Doba použitelnosti po prvním otevření vnitřního obalu: spotřebujte ihned.</w:t>
      </w:r>
    </w:p>
    <w:p w14:paraId="14132A4E" w14:textId="77777777" w:rsidR="00074EE7" w:rsidRPr="001725AB" w:rsidRDefault="00074EE7" w:rsidP="00074EE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Doba použitelnosti po rozpuštění v pitné vodě: 24 hodin.</w:t>
      </w:r>
    </w:p>
    <w:p w14:paraId="3E4AA31D" w14:textId="77777777" w:rsidR="00074EE7" w:rsidRPr="001725AB" w:rsidRDefault="00074EE7" w:rsidP="00074EE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182D800" w14:textId="77777777" w:rsidR="00211BF2" w:rsidRPr="001725AB" w:rsidRDefault="00211BF2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0B0F1F4B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13.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  <w:t>ZVLÁŠTNÍ OPATŘENÍ PRO LIKVIDACI</w:t>
      </w:r>
    </w:p>
    <w:p w14:paraId="2BE50CF9" w14:textId="77777777" w:rsidR="00211BF2" w:rsidRPr="001725AB" w:rsidRDefault="00211BF2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50245D4" w14:textId="6EA527DA" w:rsidR="008A5ECF" w:rsidRPr="001725AB" w:rsidRDefault="008A5ECF" w:rsidP="00B6330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Zvláštní opatření pro likvidaci</w:t>
      </w:r>
    </w:p>
    <w:p w14:paraId="50F6CCE2" w14:textId="77777777" w:rsidR="00B6330C" w:rsidRPr="001725AB" w:rsidRDefault="00B6330C" w:rsidP="00237E8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</w:p>
    <w:p w14:paraId="10AD01E8" w14:textId="77777777" w:rsidR="005E373E" w:rsidRPr="001725AB" w:rsidRDefault="005E373E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Léčivé přípravky se nesmí likvidovat prostřednictvím odpadní vody či domovního odpadu.</w:t>
      </w:r>
    </w:p>
    <w:p w14:paraId="2DE5DA7A" w14:textId="3AB914BB" w:rsidR="008A5ECF" w:rsidRPr="001725AB" w:rsidRDefault="005E373E" w:rsidP="00B6330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6040F079" w14:textId="271EC927" w:rsidR="008A5ECF" w:rsidRPr="001725AB" w:rsidRDefault="008A5ECF" w:rsidP="00B6330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O možnostech likvidace nepotřebných léčivých přípravků se poraďte s vaším veterinárním lékařem.</w:t>
      </w:r>
    </w:p>
    <w:p w14:paraId="6317A8D8" w14:textId="77777777" w:rsidR="00B6330C" w:rsidRPr="001725AB" w:rsidRDefault="00B6330C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975B471" w14:textId="77777777" w:rsidR="003967B7" w:rsidRPr="001725AB" w:rsidRDefault="003967B7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AB5CC72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14.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Klasifikace veterinárních léčivých přípravků</w:t>
      </w:r>
    </w:p>
    <w:p w14:paraId="6F8FB13E" w14:textId="77777777" w:rsidR="00F83EA6" w:rsidRPr="001725AB" w:rsidRDefault="00F83EA6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F350009" w14:textId="0483B762" w:rsidR="00211BF2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Veterinární léčivý přípravek je vydáván pouze na předpis.</w:t>
      </w:r>
    </w:p>
    <w:p w14:paraId="4C1ED982" w14:textId="77777777" w:rsidR="00B6330C" w:rsidRPr="001725AB" w:rsidRDefault="00B6330C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95D6E89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D86EECE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15.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Registrační čísla a velikosti balení</w:t>
      </w:r>
    </w:p>
    <w:p w14:paraId="65C3173C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58E4F4BD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96/055/03-C</w:t>
      </w:r>
    </w:p>
    <w:p w14:paraId="48C5AB6A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4ADBBC6" w14:textId="77777777" w:rsidR="003967B7" w:rsidRPr="001725AB" w:rsidRDefault="003967B7" w:rsidP="00237E8C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Velikosti balení</w:t>
      </w:r>
    </w:p>
    <w:p w14:paraId="6FD124E4" w14:textId="64CE251F" w:rsidR="003967B7" w:rsidRPr="001725AB" w:rsidRDefault="003967B7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Třívrstvý metalizovaný vak - 5 kg, 10 kg; třívrstvý papírový vak - 15 kg, 20 kg, 25 kg; PE dóza - 250 g, 500 g, 1 kg; PE kyblík - 1 kg, 5 kg; sáček z dvouvrstvé fólie - 0,5 kg, 1 kg, 5 kg a 10 kg.</w:t>
      </w:r>
    </w:p>
    <w:p w14:paraId="45814433" w14:textId="7A445CBC" w:rsidR="003967B7" w:rsidRPr="001725AB" w:rsidRDefault="003967B7" w:rsidP="008075C1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lastRenderedPageBreak/>
        <w:t>Na trhu nemusí být všechny velikosti balení.</w:t>
      </w:r>
    </w:p>
    <w:p w14:paraId="2BA68D56" w14:textId="77777777" w:rsidR="00B6330C" w:rsidRPr="001725AB" w:rsidRDefault="00B6330C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708CB39D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88DB8B9" w14:textId="5372F2A6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16.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 xml:space="preserve">Datum poslední revize </w:t>
      </w:r>
      <w:r w:rsidR="005E0B32"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pŘÍBALOVÉ INFORMACE</w:t>
      </w:r>
    </w:p>
    <w:p w14:paraId="2436925A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0B57C67" w14:textId="5E9EAD3F" w:rsidR="003967B7" w:rsidRPr="001725AB" w:rsidRDefault="005E0B32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0</w:t>
      </w:r>
      <w:r w:rsidR="0002047D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4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/2026</w:t>
      </w:r>
    </w:p>
    <w:p w14:paraId="2C595C8D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65B4525" w14:textId="77777777" w:rsidR="00061FD6" w:rsidRPr="001725AB" w:rsidRDefault="00061FD6" w:rsidP="00300C9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Podrobné informace o tomto veterinárním léčivém přípravku jsou k dispozici v databázi přípravků Unie </w:t>
      </w:r>
      <w:r w:rsidRPr="001725AB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(</w:t>
      </w:r>
      <w:hyperlink r:id="rId10" w:history="1">
        <w:r w:rsidRPr="001725AB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  <w:lang w:val="cs-CZ"/>
          </w:rPr>
          <w:t>https://medicines.health.europa.eu/veterinary</w:t>
        </w:r>
      </w:hyperlink>
      <w:r w:rsidRPr="001725AB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)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16786473" w14:textId="77777777" w:rsidR="00061FD6" w:rsidRPr="001725AB" w:rsidRDefault="00061FD6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3B2589C" w14:textId="5F0A46F8" w:rsidR="00061FD6" w:rsidRPr="001725AB" w:rsidRDefault="00061FD6" w:rsidP="00B6330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Podrobné informace o tomto veterinárním léčivém přípravku naleznete také v národní databázi (</w:t>
      </w:r>
      <w:hyperlink r:id="rId11" w:history="1">
        <w:r w:rsidRPr="001725AB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/>
          </w:rPr>
          <w:t>https://www.uskvbl.cz</w:t>
        </w:r>
      </w:hyperlink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).</w:t>
      </w:r>
    </w:p>
    <w:p w14:paraId="285173CF" w14:textId="77777777" w:rsidR="00B6330C" w:rsidRPr="001725AB" w:rsidRDefault="00B6330C" w:rsidP="00237E8C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635A5285" w14:textId="77777777" w:rsidR="003967B7" w:rsidRPr="001725AB" w:rsidRDefault="003967B7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C34BA21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17.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2"/>
          <w:szCs w:val="22"/>
          <w:lang w:val="cs-CZ" w:eastAsia="sv-SE"/>
        </w:rPr>
        <w:t>Kontaktní údaje</w:t>
      </w:r>
    </w:p>
    <w:p w14:paraId="3D7E9F46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1071FB6" w14:textId="57D48C43" w:rsidR="009E1453" w:rsidRPr="001725AB" w:rsidRDefault="009E1453" w:rsidP="008075C1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bookmarkStart w:id="8" w:name="_Toc213922080"/>
      <w:r w:rsidRPr="001725AB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Kontaktní údaje</w:t>
      </w:r>
      <w:bookmarkEnd w:id="8"/>
    </w:p>
    <w:p w14:paraId="1015CBCC" w14:textId="77777777" w:rsidR="00B6330C" w:rsidRPr="001725AB" w:rsidRDefault="00B6330C" w:rsidP="00237E8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</w:pPr>
    </w:p>
    <w:p w14:paraId="60FCE358" w14:textId="2A4209D2" w:rsidR="009E1453" w:rsidRPr="001725AB" w:rsidRDefault="009E1453" w:rsidP="00237E8C">
      <w:pPr>
        <w:rPr>
          <w:rFonts w:ascii="Times New Roman" w:hAnsi="Times New Roman" w:cs="Times New Roman"/>
          <w:i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iCs/>
          <w:color w:val="000000" w:themeColor="text1"/>
          <w:sz w:val="22"/>
          <w:szCs w:val="22"/>
          <w:u w:val="single"/>
          <w:lang w:val="cs-CZ"/>
        </w:rPr>
        <w:t>Držitel rozhodnutí o registraci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:</w:t>
      </w:r>
    </w:p>
    <w:p w14:paraId="1905D129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Tekro, spol. s r.o.</w:t>
      </w:r>
    </w:p>
    <w:p w14:paraId="0F35D3AF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Višňová 484/2</w:t>
      </w:r>
    </w:p>
    <w:p w14:paraId="1F06A67C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140 00 Praha 4</w:t>
      </w:r>
    </w:p>
    <w:p w14:paraId="07B4DB88" w14:textId="77777777" w:rsidR="009E1453" w:rsidRPr="001725AB" w:rsidRDefault="009E1453" w:rsidP="00237E8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0569E56" w14:textId="67D43EC7" w:rsidR="009E1453" w:rsidRPr="001725AB" w:rsidRDefault="009E1453" w:rsidP="00237E8C">
      <w:pP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  <w:lang w:val="cs-CZ"/>
        </w:rPr>
        <w:t xml:space="preserve">Výrobce odpovědný za uvolnění šarže </w:t>
      </w:r>
      <w:r w:rsidRPr="001725AB">
        <w:rPr>
          <w:rFonts w:ascii="Times New Roman" w:hAnsi="Times New Roman" w:cs="Times New Roman"/>
          <w:iCs/>
          <w:color w:val="000000" w:themeColor="text1"/>
          <w:sz w:val="22"/>
          <w:szCs w:val="22"/>
          <w:u w:val="single"/>
          <w:lang w:val="cs-CZ"/>
        </w:rPr>
        <w:t>a kontaktní údaje pro hlášení podezření na nežádoucí účinky</w:t>
      </w: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:</w:t>
      </w:r>
    </w:p>
    <w:p w14:paraId="09928239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Tekro, spol. s r.o.</w:t>
      </w:r>
    </w:p>
    <w:p w14:paraId="549A8718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provoz Nová Dědina</w:t>
      </w:r>
    </w:p>
    <w:p w14:paraId="473D7B03" w14:textId="77777777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783 91 Uničov</w:t>
      </w:r>
    </w:p>
    <w:p w14:paraId="0BC9A73B" w14:textId="77777777" w:rsidR="00E363DF" w:rsidRPr="001725AB" w:rsidRDefault="00E363DF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Česká republika</w:t>
      </w:r>
    </w:p>
    <w:p w14:paraId="52214AF7" w14:textId="77777777" w:rsidR="00E363DF" w:rsidRPr="001725AB" w:rsidRDefault="00E363DF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Tel.: +420 585 004 366</w:t>
      </w:r>
    </w:p>
    <w:p w14:paraId="27D62118" w14:textId="55C20105" w:rsidR="00E363DF" w:rsidRPr="001725AB" w:rsidRDefault="00E363DF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E-mail: </w:t>
      </w:r>
      <w:hyperlink r:id="rId12" w:history="1">
        <w:r w:rsidR="00DD460F" w:rsidRPr="001725AB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  <w:lang w:val="cs-CZ"/>
          </w:rPr>
          <w:t>leciva@tekro.cz</w:t>
        </w:r>
      </w:hyperlink>
    </w:p>
    <w:p w14:paraId="3D81A430" w14:textId="77777777" w:rsidR="00DD460F" w:rsidRPr="001725AB" w:rsidRDefault="00DD460F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6D61B9B2" w14:textId="77777777" w:rsidR="005353C1" w:rsidRPr="001725AB" w:rsidRDefault="005353C1" w:rsidP="00237E8C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04BAE2A" w14:textId="4CC3160A" w:rsidR="009E1453" w:rsidRPr="001725AB" w:rsidRDefault="009E1453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331681A" w14:textId="77777777" w:rsidR="00636F84" w:rsidRPr="001725AB" w:rsidRDefault="00636F84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0D3615F" w14:textId="77777777" w:rsidR="008075C1" w:rsidRPr="001725AB" w:rsidRDefault="008075C1" w:rsidP="008075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bookmarkStart w:id="9" w:name="_Toc213922081"/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18.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  <w:t>DALŠÍ INFORMACE</w:t>
      </w:r>
    </w:p>
    <w:p w14:paraId="105AA75D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bookmarkEnd w:id="9"/>
    <w:p w14:paraId="326C226C" w14:textId="77777777" w:rsidR="00DD460F" w:rsidRPr="001725AB" w:rsidRDefault="00DD460F" w:rsidP="00237E8C">
      <w:pPr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cs-CZ"/>
        </w:rPr>
        <w:t xml:space="preserve">Environmentální vlastnosti: </w:t>
      </w:r>
    </w:p>
    <w:p w14:paraId="7971694A" w14:textId="1A64AC64" w:rsidR="00DD460F" w:rsidRPr="001725AB" w:rsidRDefault="00DD460F" w:rsidP="008075C1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1725AB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Léčivá látka kolistin sulfát je velmi perzistentní v půdách.</w:t>
      </w:r>
    </w:p>
    <w:p w14:paraId="2336443C" w14:textId="77777777" w:rsidR="00636F84" w:rsidRPr="001725AB" w:rsidRDefault="00636F84" w:rsidP="00636F84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377BB63A" w14:textId="77777777" w:rsidR="00DE3CF6" w:rsidRPr="001725AB" w:rsidRDefault="00DE3CF6" w:rsidP="00237E8C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1F227BB5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bookmarkStart w:id="10" w:name="_Toc213922082"/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19.</w:t>
      </w:r>
      <w:r w:rsidRPr="001725A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 xml:space="preserve">Označení “Pouze pro zvířata” </w:t>
      </w:r>
    </w:p>
    <w:p w14:paraId="5DAF0A14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bookmarkEnd w:id="10"/>
    <w:p w14:paraId="2AFCF6A8" w14:textId="7676F652" w:rsidR="000701A5" w:rsidRPr="001725AB" w:rsidRDefault="000701A5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Pouze pro zvířata. </w:t>
      </w:r>
    </w:p>
    <w:p w14:paraId="458F5DE7" w14:textId="3D9272D5" w:rsidR="000701A5" w:rsidRPr="001725AB" w:rsidRDefault="000701A5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64C3D75" w14:textId="77777777" w:rsidR="00636F84" w:rsidRPr="001725AB" w:rsidRDefault="00636F84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18E967B2" w14:textId="77777777" w:rsidR="008075C1" w:rsidRPr="001725AB" w:rsidRDefault="008075C1" w:rsidP="00B633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20.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Datum exspirace</w:t>
      </w:r>
    </w:p>
    <w:p w14:paraId="37AA3CC0" w14:textId="77777777" w:rsidR="008075C1" w:rsidRPr="001725AB" w:rsidRDefault="008075C1" w:rsidP="00B6330C">
      <w:pPr>
        <w:keepNext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8883071" w14:textId="1B4A9B20" w:rsidR="005353C1" w:rsidRPr="001725AB" w:rsidRDefault="005353C1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</w:t>
      </w:r>
      <w:r w:rsidR="00C867C9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xp. 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{</w:t>
      </w:r>
      <w:r w:rsidR="00C867C9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mm/rrrr</w:t>
      </w: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}</w:t>
      </w:r>
    </w:p>
    <w:p w14:paraId="0BF280DA" w14:textId="25DE7072" w:rsidR="005353C1" w:rsidRPr="001725AB" w:rsidRDefault="005353C1" w:rsidP="00636F84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618C8F11" w14:textId="77777777" w:rsidR="00636F84" w:rsidRPr="001725AB" w:rsidRDefault="00636F84" w:rsidP="00CF155C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6EE326C9" w14:textId="77777777" w:rsidR="008075C1" w:rsidRPr="001725AB" w:rsidRDefault="008075C1" w:rsidP="00807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>21.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1725A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Číslo šarže</w:t>
      </w:r>
      <w:r w:rsidRPr="001725A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 xml:space="preserve"> </w:t>
      </w:r>
    </w:p>
    <w:p w14:paraId="44BF0301" w14:textId="77777777" w:rsidR="008075C1" w:rsidRPr="001725AB" w:rsidRDefault="008075C1" w:rsidP="008075C1">
      <w:pPr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</w:pPr>
    </w:p>
    <w:p w14:paraId="3D07CE42" w14:textId="781CAF33" w:rsidR="00050D71" w:rsidRPr="001725AB" w:rsidRDefault="00C867C9" w:rsidP="008075C1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Lot</w:t>
      </w:r>
      <w:r w:rsidR="007750E5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:</w:t>
      </w:r>
      <w:r w:rsidR="00A2114A" w:rsidRPr="001725A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{číslo}</w:t>
      </w:r>
      <w:bookmarkStart w:id="11" w:name="_GoBack"/>
      <w:bookmarkEnd w:id="11"/>
    </w:p>
    <w:sectPr w:rsidR="00050D71" w:rsidRPr="001725AB" w:rsidSect="00DE3CF6">
      <w:headerReference w:type="first" r:id="rId13"/>
      <w:pgSz w:w="11907" w:h="16839" w:code="9"/>
      <w:pgMar w:top="1134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2409" w14:textId="77777777" w:rsidR="005530D1" w:rsidRDefault="005530D1">
      <w:r>
        <w:separator/>
      </w:r>
    </w:p>
  </w:endnote>
  <w:endnote w:type="continuationSeparator" w:id="0">
    <w:p w14:paraId="4C6FAB8E" w14:textId="77777777" w:rsidR="005530D1" w:rsidRDefault="0055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C26F" w14:textId="77777777" w:rsidR="005530D1" w:rsidRDefault="005530D1">
      <w:r>
        <w:separator/>
      </w:r>
    </w:p>
  </w:footnote>
  <w:footnote w:type="continuationSeparator" w:id="0">
    <w:p w14:paraId="59E2386F" w14:textId="77777777" w:rsidR="005530D1" w:rsidRDefault="0055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C83A" w14:textId="467011F3" w:rsidR="00863967" w:rsidRDefault="00863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802CAD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0F03622"/>
    <w:multiLevelType w:val="multilevel"/>
    <w:tmpl w:val="8CD40D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5" w15:restartNumberingAfterBreak="0">
    <w:nsid w:val="09496C82"/>
    <w:multiLevelType w:val="hybridMultilevel"/>
    <w:tmpl w:val="EDCC5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0A9579C"/>
    <w:multiLevelType w:val="multilevel"/>
    <w:tmpl w:val="A02E932A"/>
    <w:numStyleLink w:val="BulletsAgency"/>
  </w:abstractNum>
  <w:abstractNum w:abstractNumId="19" w15:restartNumberingAfterBreak="0">
    <w:nsid w:val="14622366"/>
    <w:multiLevelType w:val="hybridMultilevel"/>
    <w:tmpl w:val="A2F8AB72"/>
    <w:lvl w:ilvl="0" w:tplc="B756CC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46E7C64"/>
    <w:multiLevelType w:val="hybridMultilevel"/>
    <w:tmpl w:val="A69C4A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F688B"/>
    <w:multiLevelType w:val="hybridMultilevel"/>
    <w:tmpl w:val="768C34F4"/>
    <w:lvl w:ilvl="0" w:tplc="432C5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DD5C0A"/>
    <w:multiLevelType w:val="hybridMultilevel"/>
    <w:tmpl w:val="585655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E4E4797"/>
    <w:multiLevelType w:val="hybridMultilevel"/>
    <w:tmpl w:val="41745554"/>
    <w:lvl w:ilvl="0" w:tplc="64A451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6" w15:restartNumberingAfterBreak="0">
    <w:nsid w:val="1ED46B3A"/>
    <w:multiLevelType w:val="hybridMultilevel"/>
    <w:tmpl w:val="A5B82B36"/>
    <w:lvl w:ilvl="0" w:tplc="0BF0501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A0997"/>
    <w:multiLevelType w:val="hybridMultilevel"/>
    <w:tmpl w:val="3EE403EE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8" w15:restartNumberingAfterBreak="0">
    <w:nsid w:val="21ED3D0A"/>
    <w:multiLevelType w:val="hybridMultilevel"/>
    <w:tmpl w:val="E190DA20"/>
    <w:lvl w:ilvl="0" w:tplc="DB62F8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0A631D"/>
    <w:multiLevelType w:val="hybridMultilevel"/>
    <w:tmpl w:val="88CC9D14"/>
    <w:lvl w:ilvl="0" w:tplc="34AC33A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DA47A6"/>
    <w:multiLevelType w:val="hybridMultilevel"/>
    <w:tmpl w:val="B8564FDA"/>
    <w:lvl w:ilvl="0" w:tplc="023029D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174B44"/>
    <w:multiLevelType w:val="multilevel"/>
    <w:tmpl w:val="A02E932A"/>
    <w:numStyleLink w:val="BulletsAgency"/>
  </w:abstractNum>
  <w:abstractNum w:abstractNumId="32" w15:restartNumberingAfterBreak="0">
    <w:nsid w:val="2F476450"/>
    <w:multiLevelType w:val="hybridMultilevel"/>
    <w:tmpl w:val="B3240B9E"/>
    <w:lvl w:ilvl="0" w:tplc="B4F00BB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A154DE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66CD9"/>
    <w:multiLevelType w:val="hybridMultilevel"/>
    <w:tmpl w:val="06D0AF9E"/>
    <w:lvl w:ilvl="0" w:tplc="3F5E798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BD53B5"/>
    <w:multiLevelType w:val="hybridMultilevel"/>
    <w:tmpl w:val="27B4A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8" w15:restartNumberingAfterBreak="0">
    <w:nsid w:val="47EF503C"/>
    <w:multiLevelType w:val="multilevel"/>
    <w:tmpl w:val="1A36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/>
        <w:bCs w:val="0"/>
        <w:i w:val="0"/>
        <w:iCs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40A465C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33C62"/>
    <w:multiLevelType w:val="hybridMultilevel"/>
    <w:tmpl w:val="711C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80B1E"/>
    <w:multiLevelType w:val="multilevel"/>
    <w:tmpl w:val="A02E932A"/>
    <w:numStyleLink w:val="BulletsAgency"/>
  </w:abstractNum>
  <w:abstractNum w:abstractNumId="43" w15:restartNumberingAfterBreak="0">
    <w:nsid w:val="66965116"/>
    <w:multiLevelType w:val="hybridMultilevel"/>
    <w:tmpl w:val="97A8A6C4"/>
    <w:lvl w:ilvl="0" w:tplc="684ED1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677A6D6D"/>
    <w:multiLevelType w:val="hybridMultilevel"/>
    <w:tmpl w:val="56D20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F828DE"/>
    <w:multiLevelType w:val="hybridMultilevel"/>
    <w:tmpl w:val="F75063C6"/>
    <w:lvl w:ilvl="0" w:tplc="E652939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6A755221"/>
    <w:multiLevelType w:val="hybridMultilevel"/>
    <w:tmpl w:val="2656F6AE"/>
    <w:lvl w:ilvl="0" w:tplc="E652939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8575D"/>
    <w:multiLevelType w:val="hybridMultilevel"/>
    <w:tmpl w:val="11FEA472"/>
    <w:lvl w:ilvl="0" w:tplc="52DAD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B05FA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358E2"/>
    <w:multiLevelType w:val="hybridMultilevel"/>
    <w:tmpl w:val="611A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186438"/>
    <w:multiLevelType w:val="hybridMultilevel"/>
    <w:tmpl w:val="F64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39"/>
  </w:num>
  <w:num w:numId="17">
    <w:abstractNumId w:val="25"/>
  </w:num>
  <w:num w:numId="18">
    <w:abstractNumId w:val="16"/>
  </w:num>
  <w:num w:numId="19">
    <w:abstractNumId w:val="34"/>
  </w:num>
  <w:num w:numId="20">
    <w:abstractNumId w:val="47"/>
  </w:num>
  <w:num w:numId="21">
    <w:abstractNumId w:val="48"/>
  </w:num>
  <w:num w:numId="22">
    <w:abstractNumId w:val="44"/>
  </w:num>
  <w:num w:numId="23">
    <w:abstractNumId w:val="42"/>
  </w:num>
  <w:num w:numId="24">
    <w:abstractNumId w:val="31"/>
  </w:num>
  <w:num w:numId="25">
    <w:abstractNumId w:val="32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6"/>
  </w:num>
  <w:num w:numId="28">
    <w:abstractNumId w:val="21"/>
  </w:num>
  <w:num w:numId="29">
    <w:abstractNumId w:val="45"/>
  </w:num>
  <w:num w:numId="30">
    <w:abstractNumId w:val="43"/>
  </w:num>
  <w:num w:numId="31">
    <w:abstractNumId w:val="28"/>
  </w:num>
  <w:num w:numId="32">
    <w:abstractNumId w:val="37"/>
  </w:num>
  <w:num w:numId="33">
    <w:abstractNumId w:val="41"/>
  </w:num>
  <w:num w:numId="34">
    <w:abstractNumId w:val="50"/>
  </w:num>
  <w:num w:numId="35">
    <w:abstractNumId w:val="22"/>
  </w:num>
  <w:num w:numId="36">
    <w:abstractNumId w:val="11"/>
  </w:num>
  <w:num w:numId="37">
    <w:abstractNumId w:val="18"/>
  </w:num>
  <w:num w:numId="38">
    <w:abstractNumId w:val="26"/>
  </w:num>
  <w:num w:numId="39">
    <w:abstractNumId w:val="27"/>
  </w:num>
  <w:num w:numId="40">
    <w:abstractNumId w:val="20"/>
  </w:num>
  <w:num w:numId="41">
    <w:abstractNumId w:val="29"/>
  </w:num>
  <w:num w:numId="42">
    <w:abstractNumId w:val="35"/>
  </w:num>
  <w:num w:numId="43">
    <w:abstractNumId w:val="51"/>
  </w:num>
  <w:num w:numId="44">
    <w:abstractNumId w:val="33"/>
  </w:num>
  <w:num w:numId="45">
    <w:abstractNumId w:val="24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49"/>
  </w:num>
  <w:num w:numId="49">
    <w:abstractNumId w:val="30"/>
  </w:num>
  <w:num w:numId="50">
    <w:abstractNumId w:val="15"/>
  </w:num>
  <w:num w:numId="51">
    <w:abstractNumId w:val="38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4280"/>
    <w:rsid w:val="000043DD"/>
    <w:rsid w:val="0000515A"/>
    <w:rsid w:val="000106FD"/>
    <w:rsid w:val="0001501F"/>
    <w:rsid w:val="000159F3"/>
    <w:rsid w:val="00015F33"/>
    <w:rsid w:val="00016B6D"/>
    <w:rsid w:val="00020350"/>
    <w:rsid w:val="0002047D"/>
    <w:rsid w:val="00021BE0"/>
    <w:rsid w:val="0002393C"/>
    <w:rsid w:val="00023F83"/>
    <w:rsid w:val="00026C02"/>
    <w:rsid w:val="00031780"/>
    <w:rsid w:val="00032D11"/>
    <w:rsid w:val="00033CCB"/>
    <w:rsid w:val="00034D16"/>
    <w:rsid w:val="00034F95"/>
    <w:rsid w:val="00036A31"/>
    <w:rsid w:val="0003746E"/>
    <w:rsid w:val="0004358B"/>
    <w:rsid w:val="00043792"/>
    <w:rsid w:val="00044BCE"/>
    <w:rsid w:val="000463A2"/>
    <w:rsid w:val="00046AC8"/>
    <w:rsid w:val="000502BF"/>
    <w:rsid w:val="00050D71"/>
    <w:rsid w:val="00056AED"/>
    <w:rsid w:val="00060308"/>
    <w:rsid w:val="00061FD6"/>
    <w:rsid w:val="000625E1"/>
    <w:rsid w:val="000701A5"/>
    <w:rsid w:val="000711CA"/>
    <w:rsid w:val="000730FA"/>
    <w:rsid w:val="00073265"/>
    <w:rsid w:val="000746CC"/>
    <w:rsid w:val="00074EE7"/>
    <w:rsid w:val="0007733B"/>
    <w:rsid w:val="00081ED9"/>
    <w:rsid w:val="00082078"/>
    <w:rsid w:val="000852DA"/>
    <w:rsid w:val="000868B6"/>
    <w:rsid w:val="00087566"/>
    <w:rsid w:val="00093ECF"/>
    <w:rsid w:val="00095ED0"/>
    <w:rsid w:val="00097705"/>
    <w:rsid w:val="000A0CB1"/>
    <w:rsid w:val="000A1DD4"/>
    <w:rsid w:val="000A479A"/>
    <w:rsid w:val="000A4EB2"/>
    <w:rsid w:val="000A761A"/>
    <w:rsid w:val="000B022D"/>
    <w:rsid w:val="000B1870"/>
    <w:rsid w:val="000B2CC5"/>
    <w:rsid w:val="000B3EA5"/>
    <w:rsid w:val="000B4983"/>
    <w:rsid w:val="000B4EA8"/>
    <w:rsid w:val="000C4DBD"/>
    <w:rsid w:val="000D0A2E"/>
    <w:rsid w:val="000D1954"/>
    <w:rsid w:val="000D25CF"/>
    <w:rsid w:val="000D4C0B"/>
    <w:rsid w:val="000D7D7C"/>
    <w:rsid w:val="000E017B"/>
    <w:rsid w:val="000E0380"/>
    <w:rsid w:val="000E30A8"/>
    <w:rsid w:val="000E48BA"/>
    <w:rsid w:val="000E573A"/>
    <w:rsid w:val="000E5BB4"/>
    <w:rsid w:val="000E5D76"/>
    <w:rsid w:val="000F0A9D"/>
    <w:rsid w:val="000F1837"/>
    <w:rsid w:val="000F1F9C"/>
    <w:rsid w:val="000F21F3"/>
    <w:rsid w:val="000F27EA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037DD"/>
    <w:rsid w:val="0011079E"/>
    <w:rsid w:val="00110DA1"/>
    <w:rsid w:val="001114E5"/>
    <w:rsid w:val="00112884"/>
    <w:rsid w:val="0011653E"/>
    <w:rsid w:val="00117E68"/>
    <w:rsid w:val="0012163E"/>
    <w:rsid w:val="00121731"/>
    <w:rsid w:val="001218A9"/>
    <w:rsid w:val="001270F3"/>
    <w:rsid w:val="00127E88"/>
    <w:rsid w:val="00130032"/>
    <w:rsid w:val="0013257C"/>
    <w:rsid w:val="00135FF7"/>
    <w:rsid w:val="00140993"/>
    <w:rsid w:val="00141632"/>
    <w:rsid w:val="00141FB8"/>
    <w:rsid w:val="00142C0E"/>
    <w:rsid w:val="0014391F"/>
    <w:rsid w:val="001452B5"/>
    <w:rsid w:val="001455BC"/>
    <w:rsid w:val="00146056"/>
    <w:rsid w:val="0014614E"/>
    <w:rsid w:val="00150231"/>
    <w:rsid w:val="0015158D"/>
    <w:rsid w:val="001524CC"/>
    <w:rsid w:val="00152896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5AB"/>
    <w:rsid w:val="0017275E"/>
    <w:rsid w:val="00175EB2"/>
    <w:rsid w:val="0017699A"/>
    <w:rsid w:val="00177C3B"/>
    <w:rsid w:val="00177D9A"/>
    <w:rsid w:val="00180CCE"/>
    <w:rsid w:val="001812A7"/>
    <w:rsid w:val="00181C6F"/>
    <w:rsid w:val="00181F88"/>
    <w:rsid w:val="001842A6"/>
    <w:rsid w:val="001842EE"/>
    <w:rsid w:val="00185AFE"/>
    <w:rsid w:val="0018759E"/>
    <w:rsid w:val="00191E86"/>
    <w:rsid w:val="00191EA6"/>
    <w:rsid w:val="00195A62"/>
    <w:rsid w:val="00195ECD"/>
    <w:rsid w:val="001A1186"/>
    <w:rsid w:val="001A3DF9"/>
    <w:rsid w:val="001A4785"/>
    <w:rsid w:val="001A7CEB"/>
    <w:rsid w:val="001B140D"/>
    <w:rsid w:val="001B1946"/>
    <w:rsid w:val="001B225E"/>
    <w:rsid w:val="001B3355"/>
    <w:rsid w:val="001B5A5D"/>
    <w:rsid w:val="001B6CC9"/>
    <w:rsid w:val="001B7694"/>
    <w:rsid w:val="001C0BFD"/>
    <w:rsid w:val="001C5EAE"/>
    <w:rsid w:val="001C6687"/>
    <w:rsid w:val="001C74D6"/>
    <w:rsid w:val="001D3A86"/>
    <w:rsid w:val="001D50AE"/>
    <w:rsid w:val="001D5CA1"/>
    <w:rsid w:val="001E16A7"/>
    <w:rsid w:val="001E2D5F"/>
    <w:rsid w:val="001E4845"/>
    <w:rsid w:val="001E744C"/>
    <w:rsid w:val="001F038C"/>
    <w:rsid w:val="001F0C4D"/>
    <w:rsid w:val="001F207B"/>
    <w:rsid w:val="001F2246"/>
    <w:rsid w:val="001F231E"/>
    <w:rsid w:val="001F28C1"/>
    <w:rsid w:val="001F6611"/>
    <w:rsid w:val="001F714A"/>
    <w:rsid w:val="001F77AF"/>
    <w:rsid w:val="0020016A"/>
    <w:rsid w:val="00200CDD"/>
    <w:rsid w:val="00200EC8"/>
    <w:rsid w:val="002023D8"/>
    <w:rsid w:val="00204CF4"/>
    <w:rsid w:val="00205214"/>
    <w:rsid w:val="00206017"/>
    <w:rsid w:val="00206A41"/>
    <w:rsid w:val="002073ED"/>
    <w:rsid w:val="002078A1"/>
    <w:rsid w:val="00207D06"/>
    <w:rsid w:val="002102C5"/>
    <w:rsid w:val="002110E3"/>
    <w:rsid w:val="00211653"/>
    <w:rsid w:val="00211BF2"/>
    <w:rsid w:val="00214B6B"/>
    <w:rsid w:val="0021571D"/>
    <w:rsid w:val="00216E24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A59"/>
    <w:rsid w:val="00236FEE"/>
    <w:rsid w:val="00237E8C"/>
    <w:rsid w:val="00240E28"/>
    <w:rsid w:val="00240F88"/>
    <w:rsid w:val="002412EB"/>
    <w:rsid w:val="00241A45"/>
    <w:rsid w:val="002422F9"/>
    <w:rsid w:val="002447E0"/>
    <w:rsid w:val="002466E2"/>
    <w:rsid w:val="002477C4"/>
    <w:rsid w:val="00247928"/>
    <w:rsid w:val="0025098D"/>
    <w:rsid w:val="00252B4E"/>
    <w:rsid w:val="00253065"/>
    <w:rsid w:val="00253239"/>
    <w:rsid w:val="00253241"/>
    <w:rsid w:val="00254707"/>
    <w:rsid w:val="00255730"/>
    <w:rsid w:val="0026227D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3EA4"/>
    <w:rsid w:val="00274C83"/>
    <w:rsid w:val="0027640C"/>
    <w:rsid w:val="00276B96"/>
    <w:rsid w:val="00277CEE"/>
    <w:rsid w:val="00280786"/>
    <w:rsid w:val="00281365"/>
    <w:rsid w:val="00281B72"/>
    <w:rsid w:val="0028300A"/>
    <w:rsid w:val="002838DD"/>
    <w:rsid w:val="00283D91"/>
    <w:rsid w:val="00287B06"/>
    <w:rsid w:val="0029136D"/>
    <w:rsid w:val="00291D83"/>
    <w:rsid w:val="0029299C"/>
    <w:rsid w:val="00292D44"/>
    <w:rsid w:val="00293DB2"/>
    <w:rsid w:val="0029407C"/>
    <w:rsid w:val="00294B58"/>
    <w:rsid w:val="00297C6E"/>
    <w:rsid w:val="002A0629"/>
    <w:rsid w:val="002A07D5"/>
    <w:rsid w:val="002A1F85"/>
    <w:rsid w:val="002A6E26"/>
    <w:rsid w:val="002B0217"/>
    <w:rsid w:val="002B02EB"/>
    <w:rsid w:val="002B0B38"/>
    <w:rsid w:val="002B1D1F"/>
    <w:rsid w:val="002B34DD"/>
    <w:rsid w:val="002B6460"/>
    <w:rsid w:val="002B7FA4"/>
    <w:rsid w:val="002C28FE"/>
    <w:rsid w:val="002C400D"/>
    <w:rsid w:val="002C60E4"/>
    <w:rsid w:val="002D57C7"/>
    <w:rsid w:val="002D5D1C"/>
    <w:rsid w:val="002D6CCD"/>
    <w:rsid w:val="002D7502"/>
    <w:rsid w:val="002E1091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1F4A"/>
    <w:rsid w:val="002F2558"/>
    <w:rsid w:val="002F32DD"/>
    <w:rsid w:val="002F5DE6"/>
    <w:rsid w:val="002F6699"/>
    <w:rsid w:val="00300271"/>
    <w:rsid w:val="003008F5"/>
    <w:rsid w:val="00300C9E"/>
    <w:rsid w:val="00300CD2"/>
    <w:rsid w:val="00301208"/>
    <w:rsid w:val="00303F64"/>
    <w:rsid w:val="003068AC"/>
    <w:rsid w:val="0031057D"/>
    <w:rsid w:val="00312B7A"/>
    <w:rsid w:val="00312BE5"/>
    <w:rsid w:val="00313ADD"/>
    <w:rsid w:val="0031435C"/>
    <w:rsid w:val="003148F6"/>
    <w:rsid w:val="00315DEB"/>
    <w:rsid w:val="00317592"/>
    <w:rsid w:val="00317857"/>
    <w:rsid w:val="003208FD"/>
    <w:rsid w:val="00321518"/>
    <w:rsid w:val="00322D0A"/>
    <w:rsid w:val="0032324A"/>
    <w:rsid w:val="0032680D"/>
    <w:rsid w:val="00327791"/>
    <w:rsid w:val="003302FC"/>
    <w:rsid w:val="00331CE5"/>
    <w:rsid w:val="003331D9"/>
    <w:rsid w:val="00333D04"/>
    <w:rsid w:val="0033598D"/>
    <w:rsid w:val="00335C37"/>
    <w:rsid w:val="00335FAE"/>
    <w:rsid w:val="0033619C"/>
    <w:rsid w:val="00336733"/>
    <w:rsid w:val="003369A3"/>
    <w:rsid w:val="00336A8E"/>
    <w:rsid w:val="0033709E"/>
    <w:rsid w:val="00337392"/>
    <w:rsid w:val="00337A6A"/>
    <w:rsid w:val="00340828"/>
    <w:rsid w:val="0034196F"/>
    <w:rsid w:val="00345BAA"/>
    <w:rsid w:val="00345F21"/>
    <w:rsid w:val="00351269"/>
    <w:rsid w:val="00354BC7"/>
    <w:rsid w:val="00356014"/>
    <w:rsid w:val="003614B5"/>
    <w:rsid w:val="00361677"/>
    <w:rsid w:val="0036365A"/>
    <w:rsid w:val="00363FBB"/>
    <w:rsid w:val="00364755"/>
    <w:rsid w:val="0036514E"/>
    <w:rsid w:val="003670E3"/>
    <w:rsid w:val="00367E5C"/>
    <w:rsid w:val="00370066"/>
    <w:rsid w:val="003703E4"/>
    <w:rsid w:val="00371669"/>
    <w:rsid w:val="00371977"/>
    <w:rsid w:val="00372F8F"/>
    <w:rsid w:val="0037494F"/>
    <w:rsid w:val="00376410"/>
    <w:rsid w:val="003775C4"/>
    <w:rsid w:val="00380A29"/>
    <w:rsid w:val="003834A9"/>
    <w:rsid w:val="00384F50"/>
    <w:rsid w:val="00386B66"/>
    <w:rsid w:val="00392745"/>
    <w:rsid w:val="00393233"/>
    <w:rsid w:val="00395133"/>
    <w:rsid w:val="00395AE8"/>
    <w:rsid w:val="00395C5F"/>
    <w:rsid w:val="003960DB"/>
    <w:rsid w:val="003967B7"/>
    <w:rsid w:val="003A2DA2"/>
    <w:rsid w:val="003A5D5D"/>
    <w:rsid w:val="003A623E"/>
    <w:rsid w:val="003B0A05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5FAE"/>
    <w:rsid w:val="003C73B0"/>
    <w:rsid w:val="003C7B41"/>
    <w:rsid w:val="003C7EB3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33D"/>
    <w:rsid w:val="003E26B1"/>
    <w:rsid w:val="003E6CB0"/>
    <w:rsid w:val="003E6F38"/>
    <w:rsid w:val="003F18A7"/>
    <w:rsid w:val="003F3024"/>
    <w:rsid w:val="003F4F6B"/>
    <w:rsid w:val="003F613E"/>
    <w:rsid w:val="003F7233"/>
    <w:rsid w:val="003F7B4A"/>
    <w:rsid w:val="00401155"/>
    <w:rsid w:val="004039F5"/>
    <w:rsid w:val="004055B3"/>
    <w:rsid w:val="00406190"/>
    <w:rsid w:val="00407926"/>
    <w:rsid w:val="00410C95"/>
    <w:rsid w:val="00411107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41746"/>
    <w:rsid w:val="00442B94"/>
    <w:rsid w:val="004452DF"/>
    <w:rsid w:val="004476B8"/>
    <w:rsid w:val="0045171B"/>
    <w:rsid w:val="00452396"/>
    <w:rsid w:val="00455ED6"/>
    <w:rsid w:val="0045674D"/>
    <w:rsid w:val="004574D6"/>
    <w:rsid w:val="004612CA"/>
    <w:rsid w:val="004624F3"/>
    <w:rsid w:val="00462F6A"/>
    <w:rsid w:val="00463C2A"/>
    <w:rsid w:val="0047039B"/>
    <w:rsid w:val="00471F57"/>
    <w:rsid w:val="004752D4"/>
    <w:rsid w:val="004773A1"/>
    <w:rsid w:val="0048155A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0FDE"/>
    <w:rsid w:val="004B1AAE"/>
    <w:rsid w:val="004B1D29"/>
    <w:rsid w:val="004B76F5"/>
    <w:rsid w:val="004C031C"/>
    <w:rsid w:val="004C2B2F"/>
    <w:rsid w:val="004C49D6"/>
    <w:rsid w:val="004C5ADA"/>
    <w:rsid w:val="004C6DE3"/>
    <w:rsid w:val="004D1528"/>
    <w:rsid w:val="004D1746"/>
    <w:rsid w:val="004D19E8"/>
    <w:rsid w:val="004D28EC"/>
    <w:rsid w:val="004D3267"/>
    <w:rsid w:val="004D520C"/>
    <w:rsid w:val="004E0853"/>
    <w:rsid w:val="004E1076"/>
    <w:rsid w:val="004E2D35"/>
    <w:rsid w:val="004E3735"/>
    <w:rsid w:val="004E427D"/>
    <w:rsid w:val="004E5D12"/>
    <w:rsid w:val="004E6768"/>
    <w:rsid w:val="004E6C51"/>
    <w:rsid w:val="004F2278"/>
    <w:rsid w:val="004F4657"/>
    <w:rsid w:val="004F476E"/>
    <w:rsid w:val="004F4A5A"/>
    <w:rsid w:val="004F600E"/>
    <w:rsid w:val="004F6153"/>
    <w:rsid w:val="004F7116"/>
    <w:rsid w:val="005011E1"/>
    <w:rsid w:val="005015A0"/>
    <w:rsid w:val="0050278E"/>
    <w:rsid w:val="00503152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5C04"/>
    <w:rsid w:val="0052654E"/>
    <w:rsid w:val="0052694B"/>
    <w:rsid w:val="00531715"/>
    <w:rsid w:val="00532BB1"/>
    <w:rsid w:val="005333EB"/>
    <w:rsid w:val="005353C1"/>
    <w:rsid w:val="0053540C"/>
    <w:rsid w:val="00535783"/>
    <w:rsid w:val="00535C0A"/>
    <w:rsid w:val="005378C8"/>
    <w:rsid w:val="00542D01"/>
    <w:rsid w:val="00545627"/>
    <w:rsid w:val="00546038"/>
    <w:rsid w:val="00546FE9"/>
    <w:rsid w:val="005472D4"/>
    <w:rsid w:val="005476BD"/>
    <w:rsid w:val="00547B0E"/>
    <w:rsid w:val="00547B66"/>
    <w:rsid w:val="005500E6"/>
    <w:rsid w:val="005530D1"/>
    <w:rsid w:val="00555225"/>
    <w:rsid w:val="00557758"/>
    <w:rsid w:val="00557953"/>
    <w:rsid w:val="0056120E"/>
    <w:rsid w:val="0056263F"/>
    <w:rsid w:val="0056469E"/>
    <w:rsid w:val="005664DC"/>
    <w:rsid w:val="005701FE"/>
    <w:rsid w:val="00570634"/>
    <w:rsid w:val="005717ED"/>
    <w:rsid w:val="0057458F"/>
    <w:rsid w:val="00577C50"/>
    <w:rsid w:val="00580766"/>
    <w:rsid w:val="00580B9E"/>
    <w:rsid w:val="00582A54"/>
    <w:rsid w:val="00583767"/>
    <w:rsid w:val="005837A4"/>
    <w:rsid w:val="00583A1B"/>
    <w:rsid w:val="00585874"/>
    <w:rsid w:val="0058611C"/>
    <w:rsid w:val="00586E19"/>
    <w:rsid w:val="00587D1F"/>
    <w:rsid w:val="005901CC"/>
    <w:rsid w:val="00595295"/>
    <w:rsid w:val="005A3E1C"/>
    <w:rsid w:val="005A5DBE"/>
    <w:rsid w:val="005A66DF"/>
    <w:rsid w:val="005A7528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3893"/>
    <w:rsid w:val="005C79D7"/>
    <w:rsid w:val="005D01C0"/>
    <w:rsid w:val="005D0F14"/>
    <w:rsid w:val="005D1F0C"/>
    <w:rsid w:val="005D32F3"/>
    <w:rsid w:val="005D3A1B"/>
    <w:rsid w:val="005D4C93"/>
    <w:rsid w:val="005D4D27"/>
    <w:rsid w:val="005E0B32"/>
    <w:rsid w:val="005E26C5"/>
    <w:rsid w:val="005E373E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6DC5"/>
    <w:rsid w:val="00600AC5"/>
    <w:rsid w:val="00600C28"/>
    <w:rsid w:val="00603282"/>
    <w:rsid w:val="00603F21"/>
    <w:rsid w:val="00605C6F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3AE"/>
    <w:rsid w:val="0063252D"/>
    <w:rsid w:val="00635511"/>
    <w:rsid w:val="006366FD"/>
    <w:rsid w:val="00636A3E"/>
    <w:rsid w:val="00636F84"/>
    <w:rsid w:val="00640804"/>
    <w:rsid w:val="00640CCC"/>
    <w:rsid w:val="00641E4D"/>
    <w:rsid w:val="00642DAE"/>
    <w:rsid w:val="00645CE3"/>
    <w:rsid w:val="00645FEC"/>
    <w:rsid w:val="00652DBB"/>
    <w:rsid w:val="00655488"/>
    <w:rsid w:val="006557B1"/>
    <w:rsid w:val="006569CB"/>
    <w:rsid w:val="00657384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0A6E"/>
    <w:rsid w:val="00682179"/>
    <w:rsid w:val="00684269"/>
    <w:rsid w:val="00685DC9"/>
    <w:rsid w:val="006863CB"/>
    <w:rsid w:val="00687FCC"/>
    <w:rsid w:val="006902FE"/>
    <w:rsid w:val="006910FB"/>
    <w:rsid w:val="006927CF"/>
    <w:rsid w:val="006933E1"/>
    <w:rsid w:val="006951F3"/>
    <w:rsid w:val="00695D9F"/>
    <w:rsid w:val="006A0AD7"/>
    <w:rsid w:val="006A2573"/>
    <w:rsid w:val="006A26ED"/>
    <w:rsid w:val="006A3553"/>
    <w:rsid w:val="006A69DE"/>
    <w:rsid w:val="006A6F10"/>
    <w:rsid w:val="006B104F"/>
    <w:rsid w:val="006B3956"/>
    <w:rsid w:val="006B542A"/>
    <w:rsid w:val="006B71A7"/>
    <w:rsid w:val="006B7B10"/>
    <w:rsid w:val="006C3993"/>
    <w:rsid w:val="006C4422"/>
    <w:rsid w:val="006C6400"/>
    <w:rsid w:val="006C6627"/>
    <w:rsid w:val="006C7AEA"/>
    <w:rsid w:val="006C7D75"/>
    <w:rsid w:val="006C7E73"/>
    <w:rsid w:val="006D103F"/>
    <w:rsid w:val="006D1D7E"/>
    <w:rsid w:val="006D315C"/>
    <w:rsid w:val="006D3324"/>
    <w:rsid w:val="006D5E71"/>
    <w:rsid w:val="006D630E"/>
    <w:rsid w:val="006D7097"/>
    <w:rsid w:val="006E09A4"/>
    <w:rsid w:val="006E2603"/>
    <w:rsid w:val="006E5114"/>
    <w:rsid w:val="006E5EA5"/>
    <w:rsid w:val="006E6E09"/>
    <w:rsid w:val="006E7811"/>
    <w:rsid w:val="006F06E5"/>
    <w:rsid w:val="006F3343"/>
    <w:rsid w:val="006F3484"/>
    <w:rsid w:val="006F3D21"/>
    <w:rsid w:val="006F46EB"/>
    <w:rsid w:val="006F5A9E"/>
    <w:rsid w:val="006F6350"/>
    <w:rsid w:val="00701422"/>
    <w:rsid w:val="0070383D"/>
    <w:rsid w:val="00704E98"/>
    <w:rsid w:val="007057AF"/>
    <w:rsid w:val="007070F4"/>
    <w:rsid w:val="00707193"/>
    <w:rsid w:val="0070736C"/>
    <w:rsid w:val="00707BD7"/>
    <w:rsid w:val="00710963"/>
    <w:rsid w:val="00714108"/>
    <w:rsid w:val="00714C01"/>
    <w:rsid w:val="00715845"/>
    <w:rsid w:val="0071605B"/>
    <w:rsid w:val="007168AD"/>
    <w:rsid w:val="00716BEC"/>
    <w:rsid w:val="00724D06"/>
    <w:rsid w:val="00725038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784"/>
    <w:rsid w:val="00754DB3"/>
    <w:rsid w:val="0075575F"/>
    <w:rsid w:val="00760504"/>
    <w:rsid w:val="00767CEC"/>
    <w:rsid w:val="007707F6"/>
    <w:rsid w:val="007709AD"/>
    <w:rsid w:val="007750E5"/>
    <w:rsid w:val="007751D4"/>
    <w:rsid w:val="0078028B"/>
    <w:rsid w:val="00780B76"/>
    <w:rsid w:val="00781313"/>
    <w:rsid w:val="00783DA4"/>
    <w:rsid w:val="00784282"/>
    <w:rsid w:val="00792B58"/>
    <w:rsid w:val="00793418"/>
    <w:rsid w:val="00793D41"/>
    <w:rsid w:val="00795899"/>
    <w:rsid w:val="007A0C22"/>
    <w:rsid w:val="007A2D05"/>
    <w:rsid w:val="007A2DA4"/>
    <w:rsid w:val="007A3C8B"/>
    <w:rsid w:val="007A497A"/>
    <w:rsid w:val="007A4D88"/>
    <w:rsid w:val="007A4FC2"/>
    <w:rsid w:val="007A547F"/>
    <w:rsid w:val="007A67E8"/>
    <w:rsid w:val="007A6B96"/>
    <w:rsid w:val="007A7443"/>
    <w:rsid w:val="007A7BA4"/>
    <w:rsid w:val="007B1864"/>
    <w:rsid w:val="007B665A"/>
    <w:rsid w:val="007B7DB5"/>
    <w:rsid w:val="007C16DB"/>
    <w:rsid w:val="007C23FE"/>
    <w:rsid w:val="007C2FD7"/>
    <w:rsid w:val="007C7336"/>
    <w:rsid w:val="007C7A16"/>
    <w:rsid w:val="007D051B"/>
    <w:rsid w:val="007D142D"/>
    <w:rsid w:val="007D3BEC"/>
    <w:rsid w:val="007D3EA6"/>
    <w:rsid w:val="007D4C73"/>
    <w:rsid w:val="007D6B8F"/>
    <w:rsid w:val="007D6D4D"/>
    <w:rsid w:val="007D6FC6"/>
    <w:rsid w:val="007E176C"/>
    <w:rsid w:val="007E499B"/>
    <w:rsid w:val="007E5D9B"/>
    <w:rsid w:val="007E7634"/>
    <w:rsid w:val="007F175F"/>
    <w:rsid w:val="007F3861"/>
    <w:rsid w:val="007F49C3"/>
    <w:rsid w:val="007F4F9E"/>
    <w:rsid w:val="007F7968"/>
    <w:rsid w:val="00801B4A"/>
    <w:rsid w:val="00803E5E"/>
    <w:rsid w:val="008041D0"/>
    <w:rsid w:val="00806FAF"/>
    <w:rsid w:val="008075C1"/>
    <w:rsid w:val="00807AF9"/>
    <w:rsid w:val="00810B51"/>
    <w:rsid w:val="008116F8"/>
    <w:rsid w:val="00812A75"/>
    <w:rsid w:val="00814F0E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37EBE"/>
    <w:rsid w:val="00841C30"/>
    <w:rsid w:val="008429AB"/>
    <w:rsid w:val="00842BE0"/>
    <w:rsid w:val="008430F6"/>
    <w:rsid w:val="00845AAD"/>
    <w:rsid w:val="00852C13"/>
    <w:rsid w:val="00853C65"/>
    <w:rsid w:val="008553F3"/>
    <w:rsid w:val="00856568"/>
    <w:rsid w:val="00856BD3"/>
    <w:rsid w:val="00860593"/>
    <w:rsid w:val="008610A8"/>
    <w:rsid w:val="00861499"/>
    <w:rsid w:val="00862801"/>
    <w:rsid w:val="00863967"/>
    <w:rsid w:val="00870AA8"/>
    <w:rsid w:val="008711B4"/>
    <w:rsid w:val="008730DC"/>
    <w:rsid w:val="00874E0F"/>
    <w:rsid w:val="00875504"/>
    <w:rsid w:val="00875EA4"/>
    <w:rsid w:val="0088026B"/>
    <w:rsid w:val="00880D5F"/>
    <w:rsid w:val="0088128A"/>
    <w:rsid w:val="0088166F"/>
    <w:rsid w:val="00881BD6"/>
    <w:rsid w:val="00881FA3"/>
    <w:rsid w:val="00882C60"/>
    <w:rsid w:val="0088417E"/>
    <w:rsid w:val="00884773"/>
    <w:rsid w:val="0088577E"/>
    <w:rsid w:val="0089028B"/>
    <w:rsid w:val="008922BE"/>
    <w:rsid w:val="00892942"/>
    <w:rsid w:val="00893441"/>
    <w:rsid w:val="008937CF"/>
    <w:rsid w:val="0089522E"/>
    <w:rsid w:val="008A0033"/>
    <w:rsid w:val="008A2E59"/>
    <w:rsid w:val="008A4E26"/>
    <w:rsid w:val="008A5ECF"/>
    <w:rsid w:val="008B0A09"/>
    <w:rsid w:val="008B1BF2"/>
    <w:rsid w:val="008B2B14"/>
    <w:rsid w:val="008B36F7"/>
    <w:rsid w:val="008B4A63"/>
    <w:rsid w:val="008C0D59"/>
    <w:rsid w:val="008C277D"/>
    <w:rsid w:val="008C291F"/>
    <w:rsid w:val="008C4D56"/>
    <w:rsid w:val="008C5A9F"/>
    <w:rsid w:val="008D203A"/>
    <w:rsid w:val="008D2B36"/>
    <w:rsid w:val="008D2DAA"/>
    <w:rsid w:val="008D3E64"/>
    <w:rsid w:val="008D461F"/>
    <w:rsid w:val="008D4FD9"/>
    <w:rsid w:val="008D5997"/>
    <w:rsid w:val="008E054D"/>
    <w:rsid w:val="008E090D"/>
    <w:rsid w:val="008E1F07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5CB"/>
    <w:rsid w:val="00915B19"/>
    <w:rsid w:val="00915C12"/>
    <w:rsid w:val="00917180"/>
    <w:rsid w:val="009178AA"/>
    <w:rsid w:val="00921C18"/>
    <w:rsid w:val="00921DD1"/>
    <w:rsid w:val="00922697"/>
    <w:rsid w:val="00922799"/>
    <w:rsid w:val="00923047"/>
    <w:rsid w:val="009242F5"/>
    <w:rsid w:val="00925D2C"/>
    <w:rsid w:val="00932F25"/>
    <w:rsid w:val="009334CF"/>
    <w:rsid w:val="00936869"/>
    <w:rsid w:val="00937F58"/>
    <w:rsid w:val="00941857"/>
    <w:rsid w:val="00943CB4"/>
    <w:rsid w:val="00944287"/>
    <w:rsid w:val="00945D62"/>
    <w:rsid w:val="00946A66"/>
    <w:rsid w:val="00955E9A"/>
    <w:rsid w:val="00961BEF"/>
    <w:rsid w:val="00961E0B"/>
    <w:rsid w:val="00962425"/>
    <w:rsid w:val="00963D61"/>
    <w:rsid w:val="0096586C"/>
    <w:rsid w:val="00966064"/>
    <w:rsid w:val="009663A3"/>
    <w:rsid w:val="00967129"/>
    <w:rsid w:val="00967BAD"/>
    <w:rsid w:val="009758B4"/>
    <w:rsid w:val="00976799"/>
    <w:rsid w:val="009818AD"/>
    <w:rsid w:val="009821DC"/>
    <w:rsid w:val="00984B59"/>
    <w:rsid w:val="009855E6"/>
    <w:rsid w:val="00985774"/>
    <w:rsid w:val="00985C97"/>
    <w:rsid w:val="00986272"/>
    <w:rsid w:val="0099038F"/>
    <w:rsid w:val="00992C31"/>
    <w:rsid w:val="00994032"/>
    <w:rsid w:val="00994E83"/>
    <w:rsid w:val="0099591B"/>
    <w:rsid w:val="0099721A"/>
    <w:rsid w:val="009A02EF"/>
    <w:rsid w:val="009A1B57"/>
    <w:rsid w:val="009A281C"/>
    <w:rsid w:val="009A3D18"/>
    <w:rsid w:val="009A678C"/>
    <w:rsid w:val="009A7C48"/>
    <w:rsid w:val="009B059F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2BF3"/>
    <w:rsid w:val="009C4147"/>
    <w:rsid w:val="009C6E7A"/>
    <w:rsid w:val="009D1F45"/>
    <w:rsid w:val="009D3C4B"/>
    <w:rsid w:val="009E0F9F"/>
    <w:rsid w:val="009E1175"/>
    <w:rsid w:val="009E1453"/>
    <w:rsid w:val="009E2C59"/>
    <w:rsid w:val="009E4BCB"/>
    <w:rsid w:val="009E54EE"/>
    <w:rsid w:val="009F01E8"/>
    <w:rsid w:val="009F100A"/>
    <w:rsid w:val="009F1385"/>
    <w:rsid w:val="009F18FB"/>
    <w:rsid w:val="009F3BD7"/>
    <w:rsid w:val="009F4CE6"/>
    <w:rsid w:val="009F4DC0"/>
    <w:rsid w:val="009F70BF"/>
    <w:rsid w:val="00A00631"/>
    <w:rsid w:val="00A0195B"/>
    <w:rsid w:val="00A03AE4"/>
    <w:rsid w:val="00A03C5E"/>
    <w:rsid w:val="00A057DA"/>
    <w:rsid w:val="00A05974"/>
    <w:rsid w:val="00A10C78"/>
    <w:rsid w:val="00A10DAF"/>
    <w:rsid w:val="00A113FA"/>
    <w:rsid w:val="00A12584"/>
    <w:rsid w:val="00A15D8E"/>
    <w:rsid w:val="00A20844"/>
    <w:rsid w:val="00A2114A"/>
    <w:rsid w:val="00A22111"/>
    <w:rsid w:val="00A24212"/>
    <w:rsid w:val="00A24BFF"/>
    <w:rsid w:val="00A261D9"/>
    <w:rsid w:val="00A261EA"/>
    <w:rsid w:val="00A26C05"/>
    <w:rsid w:val="00A270BC"/>
    <w:rsid w:val="00A3057D"/>
    <w:rsid w:val="00A30B18"/>
    <w:rsid w:val="00A30C3E"/>
    <w:rsid w:val="00A31A67"/>
    <w:rsid w:val="00A33273"/>
    <w:rsid w:val="00A33AF1"/>
    <w:rsid w:val="00A410B3"/>
    <w:rsid w:val="00A42BEE"/>
    <w:rsid w:val="00A44681"/>
    <w:rsid w:val="00A46C02"/>
    <w:rsid w:val="00A52726"/>
    <w:rsid w:val="00A534B8"/>
    <w:rsid w:val="00A543EB"/>
    <w:rsid w:val="00A54BCD"/>
    <w:rsid w:val="00A60AA0"/>
    <w:rsid w:val="00A6203F"/>
    <w:rsid w:val="00A65D27"/>
    <w:rsid w:val="00A660FC"/>
    <w:rsid w:val="00A66B66"/>
    <w:rsid w:val="00A6729D"/>
    <w:rsid w:val="00A67892"/>
    <w:rsid w:val="00A702C1"/>
    <w:rsid w:val="00A70D50"/>
    <w:rsid w:val="00A71628"/>
    <w:rsid w:val="00A71EBE"/>
    <w:rsid w:val="00A72D42"/>
    <w:rsid w:val="00A7468A"/>
    <w:rsid w:val="00A75CBE"/>
    <w:rsid w:val="00A83149"/>
    <w:rsid w:val="00A834B6"/>
    <w:rsid w:val="00A836B3"/>
    <w:rsid w:val="00A84483"/>
    <w:rsid w:val="00A85903"/>
    <w:rsid w:val="00A879AF"/>
    <w:rsid w:val="00A90929"/>
    <w:rsid w:val="00A910DE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4594"/>
    <w:rsid w:val="00AA5882"/>
    <w:rsid w:val="00AA5E34"/>
    <w:rsid w:val="00AA7709"/>
    <w:rsid w:val="00AB3457"/>
    <w:rsid w:val="00AB66EA"/>
    <w:rsid w:val="00AB7CFB"/>
    <w:rsid w:val="00AC1F27"/>
    <w:rsid w:val="00AC2A14"/>
    <w:rsid w:val="00AC42D5"/>
    <w:rsid w:val="00AC4494"/>
    <w:rsid w:val="00AC60DF"/>
    <w:rsid w:val="00AD074B"/>
    <w:rsid w:val="00AD168E"/>
    <w:rsid w:val="00AD294E"/>
    <w:rsid w:val="00AD315F"/>
    <w:rsid w:val="00AD36C9"/>
    <w:rsid w:val="00AD5A15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285E"/>
    <w:rsid w:val="00B03B87"/>
    <w:rsid w:val="00B05717"/>
    <w:rsid w:val="00B11125"/>
    <w:rsid w:val="00B13D0E"/>
    <w:rsid w:val="00B1519A"/>
    <w:rsid w:val="00B166BC"/>
    <w:rsid w:val="00B16C53"/>
    <w:rsid w:val="00B212E4"/>
    <w:rsid w:val="00B2148C"/>
    <w:rsid w:val="00B216E9"/>
    <w:rsid w:val="00B2206B"/>
    <w:rsid w:val="00B23244"/>
    <w:rsid w:val="00B233A1"/>
    <w:rsid w:val="00B27C9F"/>
    <w:rsid w:val="00B31EF3"/>
    <w:rsid w:val="00B33248"/>
    <w:rsid w:val="00B33DAE"/>
    <w:rsid w:val="00B36076"/>
    <w:rsid w:val="00B3774E"/>
    <w:rsid w:val="00B37944"/>
    <w:rsid w:val="00B405D2"/>
    <w:rsid w:val="00B47092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330C"/>
    <w:rsid w:val="00B6333C"/>
    <w:rsid w:val="00B64017"/>
    <w:rsid w:val="00B64EAA"/>
    <w:rsid w:val="00B64F9A"/>
    <w:rsid w:val="00B667DD"/>
    <w:rsid w:val="00B671A5"/>
    <w:rsid w:val="00B67222"/>
    <w:rsid w:val="00B71345"/>
    <w:rsid w:val="00B72059"/>
    <w:rsid w:val="00B7507E"/>
    <w:rsid w:val="00B7531D"/>
    <w:rsid w:val="00B7587B"/>
    <w:rsid w:val="00B75D7E"/>
    <w:rsid w:val="00B77BC9"/>
    <w:rsid w:val="00B823A0"/>
    <w:rsid w:val="00B8259C"/>
    <w:rsid w:val="00B835F9"/>
    <w:rsid w:val="00B84188"/>
    <w:rsid w:val="00B85504"/>
    <w:rsid w:val="00B862AB"/>
    <w:rsid w:val="00B8781C"/>
    <w:rsid w:val="00B904E8"/>
    <w:rsid w:val="00B90923"/>
    <w:rsid w:val="00B91AA1"/>
    <w:rsid w:val="00B938FB"/>
    <w:rsid w:val="00B93E04"/>
    <w:rsid w:val="00B96F07"/>
    <w:rsid w:val="00B97D5C"/>
    <w:rsid w:val="00B97DD8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8EF"/>
    <w:rsid w:val="00BC1AA2"/>
    <w:rsid w:val="00BC2290"/>
    <w:rsid w:val="00BC5DC1"/>
    <w:rsid w:val="00BC649C"/>
    <w:rsid w:val="00BC7193"/>
    <w:rsid w:val="00BC73A3"/>
    <w:rsid w:val="00BC7B11"/>
    <w:rsid w:val="00BD0538"/>
    <w:rsid w:val="00BD1942"/>
    <w:rsid w:val="00BD2E6E"/>
    <w:rsid w:val="00BD4A7A"/>
    <w:rsid w:val="00BD7F8E"/>
    <w:rsid w:val="00BE1185"/>
    <w:rsid w:val="00BE17D5"/>
    <w:rsid w:val="00BE36C8"/>
    <w:rsid w:val="00BE458A"/>
    <w:rsid w:val="00BE4B4B"/>
    <w:rsid w:val="00BE6614"/>
    <w:rsid w:val="00BE74A9"/>
    <w:rsid w:val="00BF0B38"/>
    <w:rsid w:val="00BF4E0E"/>
    <w:rsid w:val="00BF7087"/>
    <w:rsid w:val="00BF7976"/>
    <w:rsid w:val="00BF7CC5"/>
    <w:rsid w:val="00C011F8"/>
    <w:rsid w:val="00C0131A"/>
    <w:rsid w:val="00C01502"/>
    <w:rsid w:val="00C02782"/>
    <w:rsid w:val="00C05843"/>
    <w:rsid w:val="00C0721D"/>
    <w:rsid w:val="00C1047D"/>
    <w:rsid w:val="00C11C81"/>
    <w:rsid w:val="00C12E06"/>
    <w:rsid w:val="00C13F15"/>
    <w:rsid w:val="00C149A7"/>
    <w:rsid w:val="00C15D28"/>
    <w:rsid w:val="00C163C9"/>
    <w:rsid w:val="00C20CBB"/>
    <w:rsid w:val="00C20F7F"/>
    <w:rsid w:val="00C304D4"/>
    <w:rsid w:val="00C30A56"/>
    <w:rsid w:val="00C31EC0"/>
    <w:rsid w:val="00C32E32"/>
    <w:rsid w:val="00C337B7"/>
    <w:rsid w:val="00C33CE6"/>
    <w:rsid w:val="00C36673"/>
    <w:rsid w:val="00C36817"/>
    <w:rsid w:val="00C409F4"/>
    <w:rsid w:val="00C419E3"/>
    <w:rsid w:val="00C46047"/>
    <w:rsid w:val="00C46F79"/>
    <w:rsid w:val="00C47FA7"/>
    <w:rsid w:val="00C50927"/>
    <w:rsid w:val="00C50B87"/>
    <w:rsid w:val="00C553C7"/>
    <w:rsid w:val="00C5793A"/>
    <w:rsid w:val="00C6117E"/>
    <w:rsid w:val="00C61882"/>
    <w:rsid w:val="00C643A4"/>
    <w:rsid w:val="00C6496C"/>
    <w:rsid w:val="00C64A43"/>
    <w:rsid w:val="00C66DD2"/>
    <w:rsid w:val="00C71C51"/>
    <w:rsid w:val="00C72884"/>
    <w:rsid w:val="00C74D72"/>
    <w:rsid w:val="00C7501D"/>
    <w:rsid w:val="00C7541E"/>
    <w:rsid w:val="00C75A93"/>
    <w:rsid w:val="00C7681C"/>
    <w:rsid w:val="00C76A2F"/>
    <w:rsid w:val="00C77839"/>
    <w:rsid w:val="00C77CD7"/>
    <w:rsid w:val="00C80B10"/>
    <w:rsid w:val="00C81915"/>
    <w:rsid w:val="00C81F30"/>
    <w:rsid w:val="00C83324"/>
    <w:rsid w:val="00C83712"/>
    <w:rsid w:val="00C861A0"/>
    <w:rsid w:val="00C867C9"/>
    <w:rsid w:val="00C91A17"/>
    <w:rsid w:val="00C91BD4"/>
    <w:rsid w:val="00C91C9E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A6430"/>
    <w:rsid w:val="00CB03A8"/>
    <w:rsid w:val="00CB0784"/>
    <w:rsid w:val="00CB19CD"/>
    <w:rsid w:val="00CB4200"/>
    <w:rsid w:val="00CB4E23"/>
    <w:rsid w:val="00CB5F6C"/>
    <w:rsid w:val="00CB7E34"/>
    <w:rsid w:val="00CC0761"/>
    <w:rsid w:val="00CC3A7E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13D2"/>
    <w:rsid w:val="00CF155C"/>
    <w:rsid w:val="00CF208B"/>
    <w:rsid w:val="00CF2167"/>
    <w:rsid w:val="00CF3067"/>
    <w:rsid w:val="00CF4965"/>
    <w:rsid w:val="00D0581B"/>
    <w:rsid w:val="00D06A2C"/>
    <w:rsid w:val="00D06C86"/>
    <w:rsid w:val="00D12DCE"/>
    <w:rsid w:val="00D12E02"/>
    <w:rsid w:val="00D1351A"/>
    <w:rsid w:val="00D135DE"/>
    <w:rsid w:val="00D14DFF"/>
    <w:rsid w:val="00D1596B"/>
    <w:rsid w:val="00D16AA1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4DD4"/>
    <w:rsid w:val="00D376F8"/>
    <w:rsid w:val="00D37D72"/>
    <w:rsid w:val="00D4018D"/>
    <w:rsid w:val="00D45CEF"/>
    <w:rsid w:val="00D521B7"/>
    <w:rsid w:val="00D521EC"/>
    <w:rsid w:val="00D52B80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830C5"/>
    <w:rsid w:val="00D83955"/>
    <w:rsid w:val="00D83C7F"/>
    <w:rsid w:val="00D83CDF"/>
    <w:rsid w:val="00D8481E"/>
    <w:rsid w:val="00D85EDF"/>
    <w:rsid w:val="00D865A1"/>
    <w:rsid w:val="00D90335"/>
    <w:rsid w:val="00D92A80"/>
    <w:rsid w:val="00D94661"/>
    <w:rsid w:val="00D94D22"/>
    <w:rsid w:val="00D95CB6"/>
    <w:rsid w:val="00DA1E10"/>
    <w:rsid w:val="00DA3890"/>
    <w:rsid w:val="00DA7A1B"/>
    <w:rsid w:val="00DB0591"/>
    <w:rsid w:val="00DB15EA"/>
    <w:rsid w:val="00DB3FDF"/>
    <w:rsid w:val="00DB60BD"/>
    <w:rsid w:val="00DB65B1"/>
    <w:rsid w:val="00DB7EF4"/>
    <w:rsid w:val="00DC2FA8"/>
    <w:rsid w:val="00DC42BA"/>
    <w:rsid w:val="00DC4374"/>
    <w:rsid w:val="00DC4ADA"/>
    <w:rsid w:val="00DC5433"/>
    <w:rsid w:val="00DC6AAE"/>
    <w:rsid w:val="00DC74C5"/>
    <w:rsid w:val="00DD307D"/>
    <w:rsid w:val="00DD368C"/>
    <w:rsid w:val="00DD384B"/>
    <w:rsid w:val="00DD443B"/>
    <w:rsid w:val="00DD460F"/>
    <w:rsid w:val="00DD7B69"/>
    <w:rsid w:val="00DE3CF6"/>
    <w:rsid w:val="00DE4457"/>
    <w:rsid w:val="00DE61B7"/>
    <w:rsid w:val="00DF0A33"/>
    <w:rsid w:val="00DF0DCA"/>
    <w:rsid w:val="00DF1B19"/>
    <w:rsid w:val="00DF26F8"/>
    <w:rsid w:val="00DF306A"/>
    <w:rsid w:val="00DF3393"/>
    <w:rsid w:val="00DF4497"/>
    <w:rsid w:val="00E0009F"/>
    <w:rsid w:val="00E0064B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0F6"/>
    <w:rsid w:val="00E22B9D"/>
    <w:rsid w:val="00E24F37"/>
    <w:rsid w:val="00E265BC"/>
    <w:rsid w:val="00E279D3"/>
    <w:rsid w:val="00E27CE7"/>
    <w:rsid w:val="00E31176"/>
    <w:rsid w:val="00E358B6"/>
    <w:rsid w:val="00E363DF"/>
    <w:rsid w:val="00E37C4F"/>
    <w:rsid w:val="00E40944"/>
    <w:rsid w:val="00E42008"/>
    <w:rsid w:val="00E42EF1"/>
    <w:rsid w:val="00E439A6"/>
    <w:rsid w:val="00E473E4"/>
    <w:rsid w:val="00E47BC4"/>
    <w:rsid w:val="00E51159"/>
    <w:rsid w:val="00E561BC"/>
    <w:rsid w:val="00E60BE1"/>
    <w:rsid w:val="00E62C60"/>
    <w:rsid w:val="00E64D34"/>
    <w:rsid w:val="00E663EF"/>
    <w:rsid w:val="00E66FB7"/>
    <w:rsid w:val="00E70329"/>
    <w:rsid w:val="00E74E0F"/>
    <w:rsid w:val="00E75026"/>
    <w:rsid w:val="00E80230"/>
    <w:rsid w:val="00E82047"/>
    <w:rsid w:val="00E83753"/>
    <w:rsid w:val="00E856DA"/>
    <w:rsid w:val="00E86317"/>
    <w:rsid w:val="00E87B7E"/>
    <w:rsid w:val="00E90974"/>
    <w:rsid w:val="00E92FA0"/>
    <w:rsid w:val="00E93F13"/>
    <w:rsid w:val="00E94BD7"/>
    <w:rsid w:val="00E9501F"/>
    <w:rsid w:val="00E95A36"/>
    <w:rsid w:val="00E9688F"/>
    <w:rsid w:val="00E97F00"/>
    <w:rsid w:val="00EA00AC"/>
    <w:rsid w:val="00EA1E78"/>
    <w:rsid w:val="00EA2A48"/>
    <w:rsid w:val="00EA2C59"/>
    <w:rsid w:val="00EA4432"/>
    <w:rsid w:val="00EA5BEE"/>
    <w:rsid w:val="00EA7201"/>
    <w:rsid w:val="00EA737D"/>
    <w:rsid w:val="00EA7BFB"/>
    <w:rsid w:val="00EB0AFC"/>
    <w:rsid w:val="00EB1134"/>
    <w:rsid w:val="00EB343B"/>
    <w:rsid w:val="00EB3EAD"/>
    <w:rsid w:val="00EB46BC"/>
    <w:rsid w:val="00EB4E3A"/>
    <w:rsid w:val="00EB69E3"/>
    <w:rsid w:val="00EC1816"/>
    <w:rsid w:val="00EC2098"/>
    <w:rsid w:val="00EC24E8"/>
    <w:rsid w:val="00EC2611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1082"/>
    <w:rsid w:val="00F02292"/>
    <w:rsid w:val="00F02D02"/>
    <w:rsid w:val="00F0467D"/>
    <w:rsid w:val="00F049F1"/>
    <w:rsid w:val="00F060AF"/>
    <w:rsid w:val="00F1000D"/>
    <w:rsid w:val="00F10126"/>
    <w:rsid w:val="00F116F7"/>
    <w:rsid w:val="00F139B2"/>
    <w:rsid w:val="00F14DE1"/>
    <w:rsid w:val="00F1544B"/>
    <w:rsid w:val="00F24686"/>
    <w:rsid w:val="00F274DE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2A74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1E29"/>
    <w:rsid w:val="00F83997"/>
    <w:rsid w:val="00F83EA6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0897"/>
    <w:rsid w:val="00FB1837"/>
    <w:rsid w:val="00FB4465"/>
    <w:rsid w:val="00FB6A93"/>
    <w:rsid w:val="00FC027F"/>
    <w:rsid w:val="00FC0801"/>
    <w:rsid w:val="00FC0A7C"/>
    <w:rsid w:val="00FC198B"/>
    <w:rsid w:val="00FC20CE"/>
    <w:rsid w:val="00FC2147"/>
    <w:rsid w:val="00FC274A"/>
    <w:rsid w:val="00FC304C"/>
    <w:rsid w:val="00FD0404"/>
    <w:rsid w:val="00FD16EB"/>
    <w:rsid w:val="00FD1791"/>
    <w:rsid w:val="00FD270E"/>
    <w:rsid w:val="00FD5AB7"/>
    <w:rsid w:val="00FD6488"/>
    <w:rsid w:val="00FE16FB"/>
    <w:rsid w:val="00FE3ADF"/>
    <w:rsid w:val="00FE45C4"/>
    <w:rsid w:val="00FE51FD"/>
    <w:rsid w:val="00FE529B"/>
    <w:rsid w:val="00FE6428"/>
    <w:rsid w:val="00FE7AB6"/>
    <w:rsid w:val="00FF14BA"/>
    <w:rsid w:val="00FF27A7"/>
    <w:rsid w:val="00FF2BBE"/>
    <w:rsid w:val="00FF4185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8AEBE"/>
  <w15:docId w15:val="{0292FB72-243D-4CA8-8653-9403E6B5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Arial Black" w:hAnsi="Arial Black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tabs>
        <w:tab w:val="num" w:pos="4320"/>
      </w:tabs>
      <w:ind w:left="4320" w:hanging="180"/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Arial Black" w:hAnsi="Arial Black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uiPriority w:val="99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uiPriority w:val="99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val="en-GB" w:eastAsia="zh-CN"/>
    </w:rPr>
  </w:style>
  <w:style w:type="character" w:customStyle="1" w:styleId="ZhlavChar">
    <w:name w:val="Záhlaví Char"/>
    <w:link w:val="Zhlav"/>
    <w:uiPriority w:val="99"/>
    <w:rsid w:val="00CF208B"/>
    <w:rPr>
      <w:rFonts w:ascii="Arial" w:eastAsia="Times New Roman" w:hAnsi="Arial" w:cs="Verdana"/>
      <w:lang w:val="en-GB" w:eastAsia="en-US"/>
    </w:rPr>
  </w:style>
  <w:style w:type="paragraph" w:styleId="Bezmezer">
    <w:name w:val="No Spacing"/>
    <w:qFormat/>
    <w:rsid w:val="00E220F6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5ED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4196F"/>
    <w:rPr>
      <w:color w:val="605E5C"/>
      <w:shd w:val="clear" w:color="auto" w:fill="E1DFDD"/>
    </w:rPr>
  </w:style>
  <w:style w:type="character" w:customStyle="1" w:styleId="markedcontent">
    <w:name w:val="markedcontent"/>
    <w:rsid w:val="0006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21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5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6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35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098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civa@tekr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966A-1E0B-42A7-A275-3ABA57AD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5</Pages>
  <Words>1562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Navrh-PL-etik-M-Colis-plv-sol</vt:lpstr>
      <vt:lpstr>Combined label-leaflet_clean_cs</vt:lpstr>
    </vt:vector>
  </TitlesOfParts>
  <Company>Hewlett-Packard Company</Company>
  <LinksUpToDate>false</LinksUpToDate>
  <CharactersWithSpaces>10757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Navrh-PL-etik-M-Colis-plv-sol</dc:title>
  <dc:creator>Jan Peč</dc:creator>
  <cp:lastModifiedBy>Nepejchalová Leona</cp:lastModifiedBy>
  <cp:revision>48</cp:revision>
  <dcterms:created xsi:type="dcterms:W3CDTF">2025-11-24T11:08:00Z</dcterms:created>
  <dcterms:modified xsi:type="dcterms:W3CDTF">2026-05-11T15:15:00Z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CURRENT,1.1</vt:lpwstr>
  </property>
  <property fmtid="{D5CDD505-2E9C-101B-9397-08002B2CF9AE}" pid="3" name="DM_Name">
    <vt:lpwstr>Combined label-leaflet_clean_cs</vt:lpwstr>
  </property>
  <property fmtid="{D5CDD505-2E9C-101B-9397-08002B2CF9AE}" pid="4" name="DM_Creation_Date">
    <vt:lpwstr>24/03/2017 11:56:49</vt:lpwstr>
  </property>
  <property fmtid="{D5CDD505-2E9C-101B-9397-08002B2CF9AE}" pid="5" name="DM_Modify_Date">
    <vt:lpwstr>24/03/2017 11:56:49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EMA/197252/2017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templates/17 CMDv initiative - combined label-leaflet text template/01 Combined label-leaflet discus</vt:lpwstr>
  </property>
  <property fmtid="{D5CDD505-2E9C-101B-9397-08002B2CF9AE}" pid="12" name="DM_emea_doc_ref_id">
    <vt:lpwstr>EMA/197252/2017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24/03/2017 11:56:49</vt:lpwstr>
  </property>
</Properties>
</file>