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FA2C7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04B45E20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168B9D16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051615F5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3B551DFD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4B6C3F69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12C98A72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58D0EF16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6270F742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22CA77C5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4C617D68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5314EB80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649B7CD7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3C114129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7CFDA1CD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2935227F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767920B3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1FE86692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</w:p>
    <w:p w14:paraId="31B3A61D" w14:textId="77777777" w:rsidR="00AB63DF" w:rsidRPr="00127CE0" w:rsidRDefault="00AB63DF" w:rsidP="00AB63DF">
      <w:pPr>
        <w:spacing w:line="240" w:lineRule="auto"/>
        <w:jc w:val="center"/>
        <w:rPr>
          <w:b/>
          <w:bCs/>
          <w:szCs w:val="22"/>
        </w:rPr>
      </w:pPr>
      <w:r w:rsidRPr="00127CE0">
        <w:rPr>
          <w:b/>
          <w:bCs/>
          <w:szCs w:val="22"/>
        </w:rPr>
        <w:t>B. PŘÍBALOVÁ INFORMACE</w:t>
      </w:r>
    </w:p>
    <w:p w14:paraId="53F86D6B" w14:textId="77777777" w:rsidR="00AB63DF" w:rsidRPr="00127CE0" w:rsidRDefault="00AB63DF" w:rsidP="00AB63D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127CE0">
        <w:rPr>
          <w:b/>
          <w:bCs/>
          <w:szCs w:val="22"/>
        </w:rPr>
        <w:br w:type="page"/>
      </w:r>
    </w:p>
    <w:p w14:paraId="7C8A7543" w14:textId="77777777" w:rsidR="00AB63DF" w:rsidRDefault="00AB63DF">
      <w:pPr>
        <w:jc w:val="center"/>
        <w:rPr>
          <w:b/>
          <w:szCs w:val="22"/>
        </w:rPr>
      </w:pPr>
    </w:p>
    <w:p w14:paraId="66C191E9" w14:textId="77777777" w:rsidR="00741CCE" w:rsidRDefault="007A43A0" w:rsidP="00502D80">
      <w:pPr>
        <w:jc w:val="center"/>
        <w:rPr>
          <w:b/>
          <w:szCs w:val="22"/>
        </w:rPr>
      </w:pPr>
      <w:r>
        <w:rPr>
          <w:b/>
          <w:szCs w:val="22"/>
        </w:rPr>
        <w:t>PŘÍBALOVÁ INFORMACE</w:t>
      </w:r>
    </w:p>
    <w:p w14:paraId="2B077A2D" w14:textId="77777777" w:rsidR="00741CCE" w:rsidRDefault="00741CCE">
      <w:pPr>
        <w:rPr>
          <w:b/>
          <w:szCs w:val="22"/>
        </w:rPr>
      </w:pPr>
    </w:p>
    <w:p w14:paraId="58E6E4B7" w14:textId="77777777" w:rsidR="00741CCE" w:rsidRDefault="007A43A0" w:rsidP="00502D80">
      <w:pPr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Název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veterinárního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léčivého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přípravku</w:t>
      </w:r>
      <w:proofErr w:type="spellEnd"/>
      <w:r>
        <w:rPr>
          <w:b/>
          <w:szCs w:val="22"/>
        </w:rPr>
        <w:t xml:space="preserve"> </w:t>
      </w:r>
    </w:p>
    <w:p w14:paraId="2CE12E8D" w14:textId="77777777" w:rsidR="00741CCE" w:rsidRDefault="00741CCE" w:rsidP="00502D80">
      <w:pPr>
        <w:jc w:val="both"/>
        <w:rPr>
          <w:szCs w:val="22"/>
        </w:rPr>
      </w:pPr>
    </w:p>
    <w:p w14:paraId="55C3AA8B" w14:textId="77777777" w:rsidR="00741CCE" w:rsidRDefault="007A43A0" w:rsidP="00502D80">
      <w:pPr>
        <w:jc w:val="both"/>
        <w:rPr>
          <w:b/>
          <w:szCs w:val="22"/>
        </w:rPr>
      </w:pPr>
      <w:proofErr w:type="spellStart"/>
      <w:r>
        <w:rPr>
          <w:bCs/>
          <w:szCs w:val="22"/>
        </w:rPr>
        <w:t>Enroxil</w:t>
      </w:r>
      <w:proofErr w:type="spellEnd"/>
      <w:r>
        <w:rPr>
          <w:b/>
          <w:szCs w:val="22"/>
        </w:rPr>
        <w:t xml:space="preserve"> </w:t>
      </w:r>
      <w:r>
        <w:rPr>
          <w:szCs w:val="22"/>
        </w:rPr>
        <w:t xml:space="preserve">100 mg/ml </w:t>
      </w:r>
      <w:proofErr w:type="spellStart"/>
      <w:r>
        <w:rPr>
          <w:szCs w:val="22"/>
        </w:rPr>
        <w:t>perorální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roztok</w:t>
      </w:r>
      <w:proofErr w:type="spellEnd"/>
    </w:p>
    <w:p w14:paraId="4E726FBC" w14:textId="77777777" w:rsidR="00741CCE" w:rsidRDefault="00741CCE">
      <w:pPr>
        <w:rPr>
          <w:szCs w:val="22"/>
        </w:rPr>
      </w:pPr>
    </w:p>
    <w:p w14:paraId="173565F4" w14:textId="77777777" w:rsidR="00741CCE" w:rsidRDefault="00741CCE">
      <w:pPr>
        <w:rPr>
          <w:szCs w:val="22"/>
        </w:rPr>
      </w:pPr>
    </w:p>
    <w:p w14:paraId="7694EF45" w14:textId="77777777" w:rsidR="00741CCE" w:rsidRDefault="007A43A0">
      <w:pPr>
        <w:rPr>
          <w:b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Složení</w:t>
      </w:r>
      <w:proofErr w:type="spellEnd"/>
    </w:p>
    <w:p w14:paraId="4AAC1BA8" w14:textId="77777777" w:rsidR="00741CCE" w:rsidRDefault="00741CCE">
      <w:pPr>
        <w:rPr>
          <w:szCs w:val="22"/>
        </w:rPr>
      </w:pPr>
    </w:p>
    <w:p w14:paraId="47ADE3F5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Každý</w:t>
      </w:r>
      <w:proofErr w:type="spellEnd"/>
      <w:r>
        <w:rPr>
          <w:szCs w:val="22"/>
        </w:rPr>
        <w:t xml:space="preserve"> ml </w:t>
      </w:r>
      <w:proofErr w:type="spellStart"/>
      <w:r>
        <w:rPr>
          <w:szCs w:val="22"/>
        </w:rPr>
        <w:t>obsahuje</w:t>
      </w:r>
      <w:proofErr w:type="spellEnd"/>
      <w:r>
        <w:rPr>
          <w:szCs w:val="22"/>
        </w:rPr>
        <w:t>:</w:t>
      </w:r>
    </w:p>
    <w:p w14:paraId="750F055E" w14:textId="77777777" w:rsidR="00741CCE" w:rsidRDefault="00741CCE">
      <w:pPr>
        <w:rPr>
          <w:szCs w:val="22"/>
        </w:rPr>
      </w:pPr>
    </w:p>
    <w:p w14:paraId="5C4DDF68" w14:textId="77777777" w:rsidR="00741CCE" w:rsidRDefault="007A43A0">
      <w:pPr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Léčiv</w:t>
      </w:r>
      <w:r w:rsidR="007E396F">
        <w:rPr>
          <w:b/>
          <w:bCs/>
          <w:szCs w:val="22"/>
        </w:rPr>
        <w:t>é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látk</w:t>
      </w:r>
      <w:r w:rsidR="007E396F">
        <w:rPr>
          <w:b/>
          <w:bCs/>
          <w:szCs w:val="22"/>
        </w:rPr>
        <w:t>y</w:t>
      </w:r>
      <w:proofErr w:type="spellEnd"/>
      <w:r>
        <w:rPr>
          <w:b/>
          <w:bCs/>
          <w:szCs w:val="22"/>
        </w:rPr>
        <w:t>:</w:t>
      </w:r>
    </w:p>
    <w:p w14:paraId="32808727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Enrofloxacinum</w:t>
      </w:r>
      <w:proofErr w:type="spellEnd"/>
      <w:r>
        <w:rPr>
          <w:szCs w:val="22"/>
        </w:rPr>
        <w:tab/>
        <w:t>100 mg</w:t>
      </w:r>
    </w:p>
    <w:p w14:paraId="07CDAC01" w14:textId="77777777" w:rsidR="00741CCE" w:rsidRDefault="00741CCE">
      <w:pPr>
        <w:rPr>
          <w:iCs/>
          <w:szCs w:val="22"/>
        </w:rPr>
      </w:pPr>
    </w:p>
    <w:p w14:paraId="784C44C1" w14:textId="77777777" w:rsidR="00741CCE" w:rsidRDefault="007A43A0">
      <w:pPr>
        <w:rPr>
          <w:b/>
          <w:bCs/>
          <w:i/>
          <w:szCs w:val="22"/>
        </w:rPr>
      </w:pPr>
      <w:proofErr w:type="spellStart"/>
      <w:r>
        <w:rPr>
          <w:b/>
          <w:bCs/>
          <w:iCs/>
          <w:szCs w:val="22"/>
        </w:rPr>
        <w:t>Pomocné</w:t>
      </w:r>
      <w:proofErr w:type="spellEnd"/>
      <w:r>
        <w:rPr>
          <w:b/>
          <w:bCs/>
          <w:iCs/>
          <w:szCs w:val="22"/>
        </w:rPr>
        <w:t xml:space="preserve"> </w:t>
      </w:r>
      <w:proofErr w:type="spellStart"/>
      <w:r>
        <w:rPr>
          <w:b/>
          <w:bCs/>
          <w:iCs/>
          <w:szCs w:val="22"/>
        </w:rPr>
        <w:t>látky</w:t>
      </w:r>
      <w:proofErr w:type="spellEnd"/>
      <w:r>
        <w:rPr>
          <w:b/>
          <w:bCs/>
          <w:i/>
          <w:szCs w:val="22"/>
        </w:rPr>
        <w:t xml:space="preserve">: </w:t>
      </w:r>
    </w:p>
    <w:p w14:paraId="20F68844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Benzylalkohol</w:t>
      </w:r>
      <w:proofErr w:type="spellEnd"/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>14 mg</w:t>
      </w:r>
    </w:p>
    <w:p w14:paraId="2CD65EC3" w14:textId="77777777" w:rsidR="00741CCE" w:rsidRDefault="00741CCE">
      <w:pPr>
        <w:rPr>
          <w:szCs w:val="22"/>
        </w:rPr>
      </w:pPr>
    </w:p>
    <w:p w14:paraId="36FE3250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Čirý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žlutý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roztok</w:t>
      </w:r>
      <w:proofErr w:type="spellEnd"/>
    </w:p>
    <w:p w14:paraId="50DCE7E0" w14:textId="77777777" w:rsidR="00741CCE" w:rsidRDefault="00741CCE">
      <w:pPr>
        <w:rPr>
          <w:szCs w:val="22"/>
        </w:rPr>
      </w:pPr>
    </w:p>
    <w:p w14:paraId="45B85AC9" w14:textId="77777777" w:rsidR="00741CCE" w:rsidRDefault="00741CCE">
      <w:pPr>
        <w:rPr>
          <w:szCs w:val="22"/>
        </w:rPr>
      </w:pPr>
    </w:p>
    <w:p w14:paraId="4C7FA5C3" w14:textId="77777777" w:rsidR="00741CCE" w:rsidRDefault="007A43A0">
      <w:pPr>
        <w:rPr>
          <w:b/>
          <w:szCs w:val="22"/>
        </w:rPr>
      </w:pPr>
      <w:r>
        <w:rPr>
          <w:b/>
          <w:szCs w:val="22"/>
        </w:rPr>
        <w:t>3.</w:t>
      </w:r>
      <w:r>
        <w:rPr>
          <w:szCs w:val="22"/>
        </w:rPr>
        <w:tab/>
      </w:r>
      <w:proofErr w:type="spellStart"/>
      <w:r>
        <w:rPr>
          <w:b/>
          <w:szCs w:val="22"/>
        </w:rPr>
        <w:t>Cílové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druhy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zvířat</w:t>
      </w:r>
      <w:proofErr w:type="spellEnd"/>
    </w:p>
    <w:p w14:paraId="58071463" w14:textId="77777777" w:rsidR="00741CCE" w:rsidRDefault="00741CCE">
      <w:pPr>
        <w:rPr>
          <w:szCs w:val="22"/>
        </w:rPr>
      </w:pPr>
    </w:p>
    <w:p w14:paraId="22A5FF0C" w14:textId="77777777" w:rsidR="00741CCE" w:rsidRDefault="007A43A0">
      <w:pPr>
        <w:rPr>
          <w:szCs w:val="22"/>
        </w:rPr>
      </w:pPr>
      <w:r>
        <w:rPr>
          <w:szCs w:val="22"/>
        </w:rPr>
        <w:t xml:space="preserve">Kur </w:t>
      </w:r>
      <w:proofErr w:type="spellStart"/>
      <w:r>
        <w:rPr>
          <w:szCs w:val="22"/>
        </w:rPr>
        <w:t>domácí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krůty</w:t>
      </w:r>
      <w:proofErr w:type="spellEnd"/>
    </w:p>
    <w:p w14:paraId="5536241C" w14:textId="77777777" w:rsidR="00741CCE" w:rsidRDefault="00741CCE">
      <w:pPr>
        <w:rPr>
          <w:szCs w:val="22"/>
        </w:rPr>
      </w:pPr>
    </w:p>
    <w:p w14:paraId="19141B38" w14:textId="77777777" w:rsidR="00741CCE" w:rsidRDefault="00741CCE">
      <w:pPr>
        <w:rPr>
          <w:szCs w:val="22"/>
        </w:rPr>
      </w:pPr>
    </w:p>
    <w:p w14:paraId="3364ED0A" w14:textId="77777777" w:rsidR="00741CCE" w:rsidRDefault="007A43A0">
      <w:pPr>
        <w:rPr>
          <w:b/>
          <w:szCs w:val="22"/>
        </w:rPr>
      </w:pPr>
      <w:r>
        <w:rPr>
          <w:b/>
          <w:szCs w:val="22"/>
        </w:rPr>
        <w:t>4.</w:t>
      </w:r>
      <w:r>
        <w:rPr>
          <w:szCs w:val="22"/>
        </w:rPr>
        <w:tab/>
      </w:r>
      <w:proofErr w:type="spellStart"/>
      <w:r>
        <w:rPr>
          <w:b/>
          <w:szCs w:val="22"/>
        </w:rPr>
        <w:t>Indikace</w:t>
      </w:r>
      <w:proofErr w:type="spellEnd"/>
      <w:r>
        <w:rPr>
          <w:b/>
          <w:szCs w:val="22"/>
        </w:rPr>
        <w:t xml:space="preserve"> pro </w:t>
      </w:r>
      <w:proofErr w:type="spellStart"/>
      <w:r>
        <w:rPr>
          <w:b/>
          <w:szCs w:val="22"/>
        </w:rPr>
        <w:t>použití</w:t>
      </w:r>
      <w:proofErr w:type="spellEnd"/>
    </w:p>
    <w:p w14:paraId="41E66D3A" w14:textId="77777777" w:rsidR="00741CCE" w:rsidRDefault="00741CCE">
      <w:pPr>
        <w:rPr>
          <w:b/>
          <w:szCs w:val="22"/>
        </w:rPr>
      </w:pPr>
    </w:p>
    <w:p w14:paraId="3FF926AF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Léčba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infekcí</w:t>
      </w:r>
      <w:proofErr w:type="spellEnd"/>
      <w:r>
        <w:rPr>
          <w:szCs w:val="22"/>
        </w:rPr>
        <w:t xml:space="preserve"> </w:t>
      </w:r>
      <w:proofErr w:type="spellStart"/>
      <w:r w:rsidR="00190DB5">
        <w:rPr>
          <w:szCs w:val="22"/>
        </w:rPr>
        <w:t>vyvolaných</w:t>
      </w:r>
      <w:proofErr w:type="spellEnd"/>
      <w:r w:rsidR="00190DB5">
        <w:rPr>
          <w:szCs w:val="22"/>
        </w:rPr>
        <w:t xml:space="preserve"> </w:t>
      </w:r>
      <w:proofErr w:type="spellStart"/>
      <w:r w:rsidR="00190DB5">
        <w:rPr>
          <w:szCs w:val="22"/>
        </w:rPr>
        <w:t>níže</w:t>
      </w:r>
      <w:proofErr w:type="spellEnd"/>
      <w:r w:rsidR="00190DB5">
        <w:rPr>
          <w:szCs w:val="22"/>
        </w:rPr>
        <w:t xml:space="preserve"> </w:t>
      </w:r>
      <w:proofErr w:type="spellStart"/>
      <w:r w:rsidR="00190DB5">
        <w:rPr>
          <w:szCs w:val="22"/>
        </w:rPr>
        <w:t>uvedenými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bakteriemi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citlivými</w:t>
      </w:r>
      <w:proofErr w:type="spellEnd"/>
      <w:r>
        <w:rPr>
          <w:szCs w:val="22"/>
        </w:rPr>
        <w:t xml:space="preserve"> k enrofloxacinu: </w:t>
      </w:r>
    </w:p>
    <w:p w14:paraId="544DCE88" w14:textId="77777777" w:rsidR="00741CCE" w:rsidRDefault="00741CCE">
      <w:pPr>
        <w:rPr>
          <w:szCs w:val="22"/>
        </w:rPr>
      </w:pPr>
    </w:p>
    <w:p w14:paraId="47F911C5" w14:textId="77777777" w:rsidR="00741CCE" w:rsidRDefault="007A43A0">
      <w:pPr>
        <w:rPr>
          <w:szCs w:val="22"/>
        </w:rPr>
      </w:pPr>
      <w:r>
        <w:rPr>
          <w:b/>
          <w:bCs/>
          <w:szCs w:val="22"/>
        </w:rPr>
        <w:t xml:space="preserve">Kur </w:t>
      </w:r>
      <w:proofErr w:type="spellStart"/>
      <w:r>
        <w:rPr>
          <w:b/>
          <w:bCs/>
          <w:szCs w:val="22"/>
        </w:rPr>
        <w:t>domácí</w:t>
      </w:r>
      <w:proofErr w:type="spellEnd"/>
      <w:r>
        <w:rPr>
          <w:b/>
          <w:bCs/>
          <w:szCs w:val="22"/>
        </w:rPr>
        <w:t xml:space="preserve"> </w:t>
      </w:r>
    </w:p>
    <w:p w14:paraId="392B8EA7" w14:textId="77777777" w:rsidR="00741CCE" w:rsidRDefault="007A43A0">
      <w:pPr>
        <w:rPr>
          <w:szCs w:val="22"/>
          <w:lang w:val="it-IT"/>
        </w:rPr>
      </w:pPr>
      <w:r>
        <w:rPr>
          <w:i/>
          <w:iCs/>
          <w:szCs w:val="22"/>
        </w:rPr>
        <w:t xml:space="preserve">Mycoplasma </w:t>
      </w:r>
      <w:proofErr w:type="spellStart"/>
      <w:r>
        <w:rPr>
          <w:i/>
          <w:iCs/>
          <w:szCs w:val="22"/>
        </w:rPr>
        <w:t>gallisepticum</w:t>
      </w:r>
      <w:proofErr w:type="spellEnd"/>
      <w:r>
        <w:rPr>
          <w:i/>
          <w:iCs/>
          <w:szCs w:val="22"/>
        </w:rPr>
        <w:t xml:space="preserve">, Mycoplasma </w:t>
      </w:r>
      <w:proofErr w:type="spellStart"/>
      <w:r>
        <w:rPr>
          <w:i/>
          <w:iCs/>
          <w:szCs w:val="22"/>
        </w:rPr>
        <w:t>synoviae</w:t>
      </w:r>
      <w:proofErr w:type="spellEnd"/>
      <w:r>
        <w:rPr>
          <w:i/>
          <w:iCs/>
          <w:szCs w:val="22"/>
        </w:rPr>
        <w:t xml:space="preserve">, </w:t>
      </w:r>
      <w:r>
        <w:rPr>
          <w:i/>
          <w:iCs/>
          <w:szCs w:val="22"/>
          <w:lang w:val="it-IT"/>
        </w:rPr>
        <w:t>Avibacterium paragallinarum, Pasteurella multocida.</w:t>
      </w:r>
    </w:p>
    <w:p w14:paraId="570C7F92" w14:textId="77777777" w:rsidR="00741CCE" w:rsidRDefault="00741CCE">
      <w:pPr>
        <w:rPr>
          <w:szCs w:val="22"/>
          <w:lang w:val="it-IT"/>
        </w:rPr>
      </w:pPr>
    </w:p>
    <w:p w14:paraId="1586FB41" w14:textId="77777777" w:rsidR="00741CCE" w:rsidRDefault="007A43A0">
      <w:pPr>
        <w:rPr>
          <w:szCs w:val="22"/>
          <w:lang w:val="it-IT"/>
        </w:rPr>
      </w:pPr>
      <w:r>
        <w:rPr>
          <w:b/>
          <w:bCs/>
          <w:szCs w:val="22"/>
          <w:lang w:val="it-IT"/>
        </w:rPr>
        <w:t xml:space="preserve">Krůty </w:t>
      </w:r>
    </w:p>
    <w:p w14:paraId="76619FB6" w14:textId="77777777" w:rsidR="00741CCE" w:rsidRPr="00BE496F" w:rsidRDefault="007A43A0">
      <w:pPr>
        <w:rPr>
          <w:i/>
          <w:iCs/>
          <w:szCs w:val="22"/>
          <w:lang w:val="it-IT"/>
        </w:rPr>
      </w:pPr>
      <w:r>
        <w:rPr>
          <w:i/>
          <w:iCs/>
          <w:szCs w:val="22"/>
          <w:lang w:val="it-IT"/>
        </w:rPr>
        <w:t xml:space="preserve">Mycoplasma gallisepticum, Mycoplasma synoviae, </w:t>
      </w:r>
      <w:r w:rsidRPr="00BE496F">
        <w:rPr>
          <w:i/>
          <w:iCs/>
          <w:szCs w:val="22"/>
          <w:lang w:val="it-IT"/>
        </w:rPr>
        <w:t>Pasteurella multocida.</w:t>
      </w:r>
    </w:p>
    <w:p w14:paraId="1A3904AD" w14:textId="77777777" w:rsidR="00741CCE" w:rsidRPr="00BE496F" w:rsidRDefault="00741CCE">
      <w:pPr>
        <w:rPr>
          <w:i/>
          <w:iCs/>
          <w:szCs w:val="22"/>
          <w:lang w:val="it-IT"/>
        </w:rPr>
      </w:pPr>
    </w:p>
    <w:p w14:paraId="1875288F" w14:textId="77777777" w:rsidR="00741CCE" w:rsidRPr="00BE496F" w:rsidRDefault="007A43A0">
      <w:pPr>
        <w:rPr>
          <w:szCs w:val="22"/>
          <w:lang w:val="it-IT"/>
        </w:rPr>
      </w:pPr>
      <w:r w:rsidRPr="00BE496F">
        <w:rPr>
          <w:szCs w:val="22"/>
          <w:lang w:val="it-IT"/>
        </w:rPr>
        <w:t>Enrofloxacin by měl být použit v případech, kde klinická zkušenost podpořená vždy, kdy je to možné, stanovením citlivosti patogena</w:t>
      </w:r>
      <w:r w:rsidR="00C417F6" w:rsidRPr="00BE496F">
        <w:rPr>
          <w:szCs w:val="22"/>
          <w:lang w:val="it-IT"/>
        </w:rPr>
        <w:t xml:space="preserve">, </w:t>
      </w:r>
      <w:r w:rsidRPr="00BE496F">
        <w:rPr>
          <w:szCs w:val="22"/>
          <w:lang w:val="it-IT"/>
        </w:rPr>
        <w:t>indikuje enrofloxacin jako lék volby.</w:t>
      </w:r>
    </w:p>
    <w:p w14:paraId="61A1A2E8" w14:textId="77777777" w:rsidR="00741CCE" w:rsidRPr="00BE496F" w:rsidRDefault="00741CCE">
      <w:pPr>
        <w:rPr>
          <w:b/>
          <w:szCs w:val="22"/>
          <w:lang w:val="it-IT"/>
        </w:rPr>
      </w:pPr>
    </w:p>
    <w:p w14:paraId="10F37786" w14:textId="77777777" w:rsidR="00741CCE" w:rsidRPr="00BE496F" w:rsidRDefault="00741CCE">
      <w:pPr>
        <w:rPr>
          <w:b/>
          <w:szCs w:val="22"/>
          <w:lang w:val="it-IT"/>
        </w:rPr>
      </w:pPr>
    </w:p>
    <w:p w14:paraId="673D0FF7" w14:textId="77777777" w:rsidR="00741CCE" w:rsidRPr="00BE496F" w:rsidRDefault="007A43A0">
      <w:pPr>
        <w:rPr>
          <w:b/>
          <w:szCs w:val="22"/>
          <w:lang w:val="it-IT"/>
        </w:rPr>
      </w:pPr>
      <w:r w:rsidRPr="00BE496F">
        <w:rPr>
          <w:b/>
          <w:szCs w:val="22"/>
          <w:lang w:val="it-IT"/>
        </w:rPr>
        <w:t xml:space="preserve">5. </w:t>
      </w:r>
      <w:r w:rsidRPr="00BE496F">
        <w:rPr>
          <w:b/>
          <w:szCs w:val="22"/>
          <w:lang w:val="it-IT"/>
        </w:rPr>
        <w:tab/>
        <w:t>Kontraindikace</w:t>
      </w:r>
    </w:p>
    <w:p w14:paraId="2C9A7117" w14:textId="77777777" w:rsidR="00741CCE" w:rsidRPr="00BE496F" w:rsidRDefault="00741CCE">
      <w:pPr>
        <w:rPr>
          <w:b/>
          <w:szCs w:val="22"/>
          <w:lang w:val="it-IT"/>
        </w:rPr>
      </w:pPr>
    </w:p>
    <w:p w14:paraId="3BF14A96" w14:textId="77777777" w:rsidR="00741CCE" w:rsidRPr="00BE496F" w:rsidRDefault="007A43A0">
      <w:pPr>
        <w:rPr>
          <w:b/>
          <w:szCs w:val="22"/>
          <w:lang w:val="it-IT"/>
        </w:rPr>
      </w:pPr>
      <w:r w:rsidRPr="00BE496F">
        <w:rPr>
          <w:szCs w:val="22"/>
          <w:lang w:val="it-IT"/>
        </w:rPr>
        <w:t>Nepoužívat jako prevenci vzniku onemocnění.</w:t>
      </w:r>
    </w:p>
    <w:p w14:paraId="32C71E0E" w14:textId="77777777" w:rsidR="00CC0E6B" w:rsidRPr="00BE496F" w:rsidRDefault="00CC0E6B" w:rsidP="00CC0E6B">
      <w:pPr>
        <w:rPr>
          <w:szCs w:val="22"/>
          <w:lang w:val="it-IT"/>
        </w:rPr>
      </w:pPr>
      <w:r w:rsidRPr="00BE496F">
        <w:rPr>
          <w:szCs w:val="22"/>
          <w:lang w:val="it-IT"/>
        </w:rPr>
        <w:t xml:space="preserve">Nepoužívat u zvířat s poruchami růstu chrupavek. </w:t>
      </w:r>
    </w:p>
    <w:p w14:paraId="1BD8D674" w14:textId="77777777" w:rsidR="00741CCE" w:rsidRPr="00BE496F" w:rsidRDefault="00CC0E6B" w:rsidP="00CC0E6B">
      <w:pPr>
        <w:rPr>
          <w:szCs w:val="22"/>
          <w:lang w:val="it-IT"/>
        </w:rPr>
      </w:pPr>
      <w:r w:rsidRPr="00BE496F">
        <w:rPr>
          <w:szCs w:val="22"/>
          <w:lang w:val="it-IT"/>
        </w:rPr>
        <w:t>Nepoužívat u zvířat s poruchami centrálního nervového systému</w:t>
      </w:r>
      <w:r w:rsidR="007A43A0" w:rsidRPr="00BE496F">
        <w:rPr>
          <w:szCs w:val="22"/>
          <w:lang w:val="it-IT"/>
        </w:rPr>
        <w:t>.</w:t>
      </w:r>
    </w:p>
    <w:p w14:paraId="68A7F209" w14:textId="77777777" w:rsidR="00741CCE" w:rsidRPr="00BE496F" w:rsidRDefault="007A43A0">
      <w:pPr>
        <w:rPr>
          <w:szCs w:val="22"/>
          <w:lang w:val="it-IT"/>
        </w:rPr>
      </w:pPr>
      <w:r w:rsidRPr="00BE496F">
        <w:rPr>
          <w:szCs w:val="22"/>
          <w:lang w:val="it-IT"/>
        </w:rPr>
        <w:t>Nepoužívat v případě přecitlivělosti na chinolony, nebo na některou z pomocných látek.</w:t>
      </w:r>
    </w:p>
    <w:p w14:paraId="0DFD3191" w14:textId="77777777" w:rsidR="00741CCE" w:rsidRPr="00BE496F" w:rsidRDefault="007A43A0">
      <w:pPr>
        <w:rPr>
          <w:szCs w:val="22"/>
          <w:lang w:val="it-IT"/>
        </w:rPr>
      </w:pPr>
      <w:r w:rsidRPr="00BE496F">
        <w:rPr>
          <w:szCs w:val="22"/>
          <w:lang w:val="it-IT"/>
        </w:rPr>
        <w:t xml:space="preserve">Nepoužívat v případě známé rezistence </w:t>
      </w:r>
      <w:r w:rsidR="00040019" w:rsidRPr="00BE496F">
        <w:rPr>
          <w:szCs w:val="22"/>
          <w:lang w:val="it-IT"/>
        </w:rPr>
        <w:t xml:space="preserve">na </w:t>
      </w:r>
      <w:r w:rsidR="00CC0E6B" w:rsidRPr="00BE496F">
        <w:rPr>
          <w:szCs w:val="22"/>
          <w:lang w:val="it-IT"/>
        </w:rPr>
        <w:t>chinolon</w:t>
      </w:r>
      <w:r w:rsidR="00040019" w:rsidRPr="00BE496F">
        <w:rPr>
          <w:szCs w:val="22"/>
          <w:lang w:val="it-IT"/>
        </w:rPr>
        <w:t>y</w:t>
      </w:r>
      <w:r w:rsidR="00CC0E6B" w:rsidRPr="00BE496F">
        <w:rPr>
          <w:szCs w:val="22"/>
          <w:lang w:val="it-IT"/>
        </w:rPr>
        <w:t xml:space="preserve">, protože </w:t>
      </w:r>
      <w:r w:rsidR="00040019" w:rsidRPr="00BE496F">
        <w:rPr>
          <w:szCs w:val="22"/>
          <w:lang w:val="it-IT"/>
        </w:rPr>
        <w:t xml:space="preserve">v rámci skupiny chinolonů </w:t>
      </w:r>
      <w:r w:rsidR="00CC0E6B" w:rsidRPr="00BE496F">
        <w:rPr>
          <w:szCs w:val="22"/>
          <w:lang w:val="it-IT"/>
        </w:rPr>
        <w:t>existuje téměř úplná zkřížená rezistence</w:t>
      </w:r>
      <w:r w:rsidRPr="00BE496F">
        <w:rPr>
          <w:szCs w:val="22"/>
          <w:lang w:val="it-IT"/>
        </w:rPr>
        <w:t>.</w:t>
      </w:r>
    </w:p>
    <w:p w14:paraId="4563498A" w14:textId="77777777" w:rsidR="00741CCE" w:rsidRPr="00BE496F" w:rsidRDefault="00741CCE">
      <w:pPr>
        <w:rPr>
          <w:szCs w:val="22"/>
          <w:lang w:val="it-IT"/>
        </w:rPr>
      </w:pPr>
    </w:p>
    <w:p w14:paraId="0D090003" w14:textId="77777777" w:rsidR="00741CCE" w:rsidRPr="00BE496F" w:rsidRDefault="00741CCE">
      <w:pPr>
        <w:rPr>
          <w:szCs w:val="22"/>
          <w:lang w:val="it-IT"/>
        </w:rPr>
      </w:pPr>
    </w:p>
    <w:p w14:paraId="2D523481" w14:textId="77777777" w:rsidR="00741CCE" w:rsidRPr="00BE496F" w:rsidRDefault="007A43A0">
      <w:pPr>
        <w:rPr>
          <w:b/>
          <w:szCs w:val="22"/>
          <w:lang w:val="it-IT"/>
        </w:rPr>
      </w:pPr>
      <w:r w:rsidRPr="00BE496F">
        <w:rPr>
          <w:b/>
          <w:szCs w:val="22"/>
          <w:lang w:val="it-IT"/>
        </w:rPr>
        <w:t>6.</w:t>
      </w:r>
      <w:r w:rsidRPr="00BE496F">
        <w:rPr>
          <w:b/>
          <w:szCs w:val="22"/>
          <w:lang w:val="it-IT"/>
        </w:rPr>
        <w:tab/>
        <w:t>Zvláštní upozornění</w:t>
      </w:r>
    </w:p>
    <w:p w14:paraId="45B5024B" w14:textId="77777777" w:rsidR="00741CCE" w:rsidRPr="00BE496F" w:rsidRDefault="00741CCE">
      <w:pPr>
        <w:rPr>
          <w:szCs w:val="22"/>
          <w:lang w:val="it-IT"/>
        </w:rPr>
      </w:pPr>
    </w:p>
    <w:p w14:paraId="4C25D162" w14:textId="77777777" w:rsidR="00C417F6" w:rsidRPr="00BE496F" w:rsidRDefault="00C417F6">
      <w:pPr>
        <w:rPr>
          <w:szCs w:val="22"/>
          <w:u w:val="single"/>
          <w:lang w:val="it-IT"/>
        </w:rPr>
      </w:pPr>
      <w:r w:rsidRPr="00BE496F">
        <w:rPr>
          <w:szCs w:val="22"/>
          <w:u w:val="single"/>
          <w:lang w:val="it-IT"/>
        </w:rPr>
        <w:t xml:space="preserve">Zvláštní upozornění: </w:t>
      </w:r>
    </w:p>
    <w:p w14:paraId="61DE8A25" w14:textId="77777777" w:rsidR="00C417F6" w:rsidRPr="00BE496F" w:rsidRDefault="00C417F6">
      <w:pPr>
        <w:rPr>
          <w:szCs w:val="22"/>
          <w:u w:val="single"/>
          <w:lang w:val="it-IT"/>
        </w:rPr>
      </w:pPr>
    </w:p>
    <w:p w14:paraId="31669CB6" w14:textId="77777777" w:rsidR="00C417F6" w:rsidRPr="00BE496F" w:rsidRDefault="00C417F6">
      <w:pPr>
        <w:rPr>
          <w:szCs w:val="22"/>
          <w:u w:val="single"/>
          <w:lang w:val="it-IT"/>
        </w:rPr>
      </w:pPr>
      <w:r w:rsidRPr="00BE496F">
        <w:rPr>
          <w:szCs w:val="22"/>
          <w:u w:val="single"/>
          <w:lang w:val="it-IT"/>
        </w:rPr>
        <w:t>Nejsou</w:t>
      </w:r>
      <w:r w:rsidR="00010EF2" w:rsidRPr="00BE496F">
        <w:rPr>
          <w:szCs w:val="22"/>
          <w:u w:val="single"/>
          <w:lang w:val="it-IT"/>
        </w:rPr>
        <w:t>.</w:t>
      </w:r>
    </w:p>
    <w:p w14:paraId="4896C1D7" w14:textId="77777777" w:rsidR="00C417F6" w:rsidRPr="00BE496F" w:rsidRDefault="00C417F6">
      <w:pPr>
        <w:rPr>
          <w:szCs w:val="22"/>
          <w:u w:val="single"/>
          <w:lang w:val="it-IT"/>
        </w:rPr>
      </w:pPr>
    </w:p>
    <w:p w14:paraId="5A973922" w14:textId="77777777" w:rsidR="00741CCE" w:rsidRPr="00BE496F" w:rsidRDefault="007A43A0">
      <w:pPr>
        <w:rPr>
          <w:szCs w:val="22"/>
          <w:u w:val="single"/>
          <w:lang w:val="it-IT"/>
        </w:rPr>
      </w:pPr>
      <w:r w:rsidRPr="00BE496F">
        <w:rPr>
          <w:szCs w:val="22"/>
          <w:u w:val="single"/>
          <w:lang w:val="it-IT"/>
        </w:rPr>
        <w:t>Zvláštní opatření pro bezpečné použití u cílových druhů</w:t>
      </w:r>
      <w:r w:rsidR="00C417F6" w:rsidRPr="00BE496F">
        <w:rPr>
          <w:szCs w:val="22"/>
          <w:u w:val="single"/>
          <w:lang w:val="it-IT"/>
        </w:rPr>
        <w:t xml:space="preserve"> zvířat</w:t>
      </w:r>
      <w:r w:rsidRPr="00BE496F">
        <w:rPr>
          <w:szCs w:val="22"/>
          <w:u w:val="single"/>
          <w:lang w:val="it-IT"/>
        </w:rPr>
        <w:t>:</w:t>
      </w:r>
    </w:p>
    <w:p w14:paraId="7677B9FF" w14:textId="77777777" w:rsidR="00741CCE" w:rsidRPr="00BE496F" w:rsidRDefault="00741CCE">
      <w:pPr>
        <w:rPr>
          <w:szCs w:val="22"/>
          <w:lang w:val="it-IT"/>
        </w:rPr>
      </w:pPr>
    </w:p>
    <w:p w14:paraId="6A275402" w14:textId="77777777" w:rsidR="00C417F6" w:rsidRPr="00BE496F" w:rsidRDefault="00C417F6" w:rsidP="00502D80">
      <w:pPr>
        <w:jc w:val="both"/>
        <w:rPr>
          <w:szCs w:val="22"/>
          <w:lang w:val="it-IT"/>
        </w:rPr>
      </w:pPr>
      <w:r w:rsidRPr="00BE496F">
        <w:rPr>
          <w:szCs w:val="22"/>
          <w:lang w:val="it-IT"/>
        </w:rPr>
        <w:t xml:space="preserve">Při použití veterinárního léčivého přípravku je nutno vzít v úvahu oficiální a místní pravidla antibiotické politiky. </w:t>
      </w:r>
    </w:p>
    <w:p w14:paraId="01CED1FB" w14:textId="77777777" w:rsidR="00741CCE" w:rsidRPr="00BE496F" w:rsidRDefault="007A43A0" w:rsidP="00502D80">
      <w:pPr>
        <w:jc w:val="both"/>
        <w:rPr>
          <w:szCs w:val="22"/>
          <w:lang w:val="it-IT"/>
        </w:rPr>
      </w:pPr>
      <w:r w:rsidRPr="00BE496F">
        <w:rPr>
          <w:szCs w:val="22"/>
          <w:lang w:val="it-IT"/>
        </w:rPr>
        <w:t>Doporučuje se ponechat fluorochinolony na léčbu klinických stavů, které měly slabou odezvu, nebo se očekává slabá odezva na ostatní skupiny antibiotik.</w:t>
      </w:r>
    </w:p>
    <w:p w14:paraId="765A4A52" w14:textId="77777777" w:rsidR="00741CCE" w:rsidRPr="00BE496F" w:rsidRDefault="007A43A0" w:rsidP="00502D80">
      <w:pPr>
        <w:jc w:val="both"/>
        <w:rPr>
          <w:szCs w:val="22"/>
          <w:lang w:val="it-IT"/>
        </w:rPr>
      </w:pPr>
      <w:r w:rsidRPr="00BE496F">
        <w:rPr>
          <w:szCs w:val="22"/>
          <w:lang w:val="it-IT"/>
        </w:rPr>
        <w:t>Použití fluorochinolonů by mělo být</w:t>
      </w:r>
      <w:r w:rsidR="00CC0E6B" w:rsidRPr="00BE496F">
        <w:rPr>
          <w:szCs w:val="22"/>
          <w:lang w:val="it-IT"/>
        </w:rPr>
        <w:t xml:space="preserve"> vždy</w:t>
      </w:r>
      <w:r w:rsidRPr="00BE496F">
        <w:rPr>
          <w:szCs w:val="22"/>
          <w:lang w:val="it-IT"/>
        </w:rPr>
        <w:t xml:space="preserve">, </w:t>
      </w:r>
      <w:r w:rsidR="0082068F" w:rsidRPr="00BE496F">
        <w:rPr>
          <w:szCs w:val="22"/>
          <w:lang w:val="it-IT"/>
        </w:rPr>
        <w:t xml:space="preserve">kdy </w:t>
      </w:r>
      <w:r w:rsidRPr="00BE496F">
        <w:rPr>
          <w:szCs w:val="22"/>
          <w:lang w:val="it-IT"/>
        </w:rPr>
        <w:t xml:space="preserve">je to možné, založeno na výsledku </w:t>
      </w:r>
      <w:r w:rsidR="00CC0E6B" w:rsidRPr="00BE496F">
        <w:rPr>
          <w:szCs w:val="22"/>
          <w:lang w:val="it-IT"/>
        </w:rPr>
        <w:t xml:space="preserve">stanovení </w:t>
      </w:r>
      <w:r w:rsidRPr="00BE496F">
        <w:rPr>
          <w:szCs w:val="22"/>
          <w:lang w:val="it-IT"/>
        </w:rPr>
        <w:t xml:space="preserve">citlivosti. </w:t>
      </w:r>
    </w:p>
    <w:p w14:paraId="00E21838" w14:textId="77777777" w:rsidR="00741CCE" w:rsidRPr="00BE496F" w:rsidRDefault="007A43A0" w:rsidP="00502D80">
      <w:pPr>
        <w:jc w:val="both"/>
        <w:rPr>
          <w:szCs w:val="22"/>
          <w:lang w:val="it-IT"/>
        </w:rPr>
      </w:pPr>
      <w:r w:rsidRPr="00BE496F">
        <w:rPr>
          <w:szCs w:val="22"/>
          <w:lang w:val="it-IT"/>
        </w:rPr>
        <w:t xml:space="preserve">Použití </w:t>
      </w:r>
      <w:r w:rsidR="00CC0E6B" w:rsidRPr="00BE496F">
        <w:rPr>
          <w:szCs w:val="22"/>
          <w:lang w:val="it-IT"/>
        </w:rPr>
        <w:t xml:space="preserve">veterinárního léčivého </w:t>
      </w:r>
      <w:r w:rsidRPr="00BE496F">
        <w:rPr>
          <w:szCs w:val="22"/>
          <w:lang w:val="it-IT"/>
        </w:rPr>
        <w:t>přípravku, které</w:t>
      </w:r>
      <w:r w:rsidR="003E67FF" w:rsidRPr="00BE496F">
        <w:rPr>
          <w:szCs w:val="22"/>
          <w:lang w:val="it-IT"/>
        </w:rPr>
        <w:t xml:space="preserve"> </w:t>
      </w:r>
      <w:bookmarkStart w:id="0" w:name="_Hlk224550820"/>
      <w:r w:rsidR="003E67FF" w:rsidRPr="00BE496F">
        <w:rPr>
          <w:szCs w:val="22"/>
          <w:lang w:val="it-IT"/>
        </w:rPr>
        <w:t>je</w:t>
      </w:r>
      <w:r w:rsidRPr="00BE496F">
        <w:rPr>
          <w:szCs w:val="22"/>
          <w:lang w:val="it-IT"/>
        </w:rPr>
        <w:t xml:space="preserve"> </w:t>
      </w:r>
      <w:r w:rsidR="003E67FF" w:rsidRPr="00BE496F">
        <w:rPr>
          <w:szCs w:val="22"/>
          <w:lang w:val="it-IT"/>
        </w:rPr>
        <w:t>v rozporu s pokyny</w:t>
      </w:r>
      <w:r w:rsidRPr="00BE496F">
        <w:rPr>
          <w:szCs w:val="22"/>
          <w:lang w:val="it-IT"/>
        </w:rPr>
        <w:t xml:space="preserve"> </w:t>
      </w:r>
      <w:r w:rsidR="003E67FF" w:rsidRPr="00BE496F">
        <w:rPr>
          <w:szCs w:val="22"/>
          <w:lang w:val="it-IT"/>
        </w:rPr>
        <w:t xml:space="preserve">uvedenými </w:t>
      </w:r>
      <w:bookmarkEnd w:id="0"/>
      <w:r w:rsidRPr="00BE496F">
        <w:rPr>
          <w:szCs w:val="22"/>
          <w:lang w:val="it-IT"/>
        </w:rPr>
        <w:t xml:space="preserve">v </w:t>
      </w:r>
      <w:r w:rsidR="007F4E7A" w:rsidRPr="00BE496F">
        <w:rPr>
          <w:szCs w:val="22"/>
          <w:lang w:val="it-IT"/>
        </w:rPr>
        <w:t>této příbalové informaci</w:t>
      </w:r>
      <w:r w:rsidRPr="00BE496F">
        <w:rPr>
          <w:szCs w:val="22"/>
          <w:lang w:val="it-IT"/>
        </w:rPr>
        <w:t xml:space="preserve">, může zvýšit prevalenci bakterií rezistentních na fluorochinolony a snížit účinnost terapie ostatními chinolony z důvodu možné zkřížené rezistence.   </w:t>
      </w:r>
    </w:p>
    <w:p w14:paraId="7CC7BA16" w14:textId="77777777" w:rsidR="00C417F6" w:rsidRPr="00BE496F" w:rsidRDefault="00C417F6" w:rsidP="00502D80">
      <w:pPr>
        <w:jc w:val="both"/>
        <w:rPr>
          <w:szCs w:val="22"/>
          <w:lang w:val="it-IT"/>
        </w:rPr>
      </w:pPr>
    </w:p>
    <w:p w14:paraId="153AE278" w14:textId="77777777" w:rsidR="00C417F6" w:rsidRPr="00E26BDE" w:rsidRDefault="00C417F6" w:rsidP="00E26BDE">
      <w:pPr>
        <w:keepNext/>
        <w:jc w:val="both"/>
        <w:rPr>
          <w:szCs w:val="18"/>
          <w:u w:val="single"/>
          <w:lang w:val="cs-CZ"/>
        </w:rPr>
      </w:pPr>
      <w:r w:rsidRPr="00E26BDE">
        <w:rPr>
          <w:szCs w:val="18"/>
          <w:u w:val="single"/>
          <w:lang w:val="cs-CZ"/>
        </w:rPr>
        <w:t xml:space="preserve">Léčba infekcí vyvolaných bakterií </w:t>
      </w:r>
      <w:proofErr w:type="spellStart"/>
      <w:r w:rsidRPr="00E26BDE">
        <w:rPr>
          <w:i/>
          <w:szCs w:val="18"/>
          <w:u w:val="single"/>
          <w:lang w:val="cs-CZ"/>
        </w:rPr>
        <w:t>Mycoplasma</w:t>
      </w:r>
      <w:proofErr w:type="spellEnd"/>
      <w:r w:rsidRPr="00E26BDE">
        <w:rPr>
          <w:szCs w:val="18"/>
          <w:u w:val="single"/>
          <w:lang w:val="cs-CZ"/>
        </w:rPr>
        <w:t xml:space="preserve"> spp. nemusí vést k eradikaci mikroorganismu. </w:t>
      </w:r>
    </w:p>
    <w:p w14:paraId="0F0EDA02" w14:textId="77777777" w:rsidR="00741CCE" w:rsidRPr="00BE496F" w:rsidRDefault="00741CCE" w:rsidP="00502D80">
      <w:pPr>
        <w:jc w:val="both"/>
        <w:rPr>
          <w:szCs w:val="22"/>
          <w:lang w:val="it-IT"/>
        </w:rPr>
      </w:pPr>
    </w:p>
    <w:p w14:paraId="47CE2BFC" w14:textId="77777777" w:rsidR="00CC0E6B" w:rsidRPr="00BE496F" w:rsidRDefault="007A43A0" w:rsidP="00502D80">
      <w:pPr>
        <w:jc w:val="both"/>
        <w:rPr>
          <w:szCs w:val="22"/>
          <w:lang w:val="it-IT"/>
        </w:rPr>
      </w:pPr>
      <w:r w:rsidRPr="00BE496F">
        <w:rPr>
          <w:szCs w:val="22"/>
          <w:lang w:val="it-IT"/>
        </w:rPr>
        <w:t xml:space="preserve">Od doby, kdy byl enrofloxacin poprvé registrován pro použití u drůbeže, došlo k rozšíření kmenů </w:t>
      </w:r>
      <w:r w:rsidRPr="00BE496F">
        <w:rPr>
          <w:i/>
          <w:szCs w:val="22"/>
          <w:lang w:val="it-IT"/>
        </w:rPr>
        <w:t>E. coli</w:t>
      </w:r>
      <w:r w:rsidRPr="00BE496F">
        <w:rPr>
          <w:szCs w:val="22"/>
          <w:lang w:val="it-IT"/>
        </w:rPr>
        <w:t xml:space="preserve"> se sníženou citlivostí k fluorochinolonům a objevily se kmeny rezistentní. Rezistence byla v EU zaznamenána také u </w:t>
      </w:r>
      <w:r w:rsidRPr="00BE496F">
        <w:rPr>
          <w:i/>
          <w:szCs w:val="22"/>
          <w:lang w:val="it-IT"/>
        </w:rPr>
        <w:t>Mycoplasma synoviae</w:t>
      </w:r>
      <w:r w:rsidRPr="00BE496F">
        <w:rPr>
          <w:szCs w:val="22"/>
          <w:lang w:val="it-IT"/>
        </w:rPr>
        <w:t xml:space="preserve">. </w:t>
      </w:r>
    </w:p>
    <w:p w14:paraId="4B7A314C" w14:textId="77777777" w:rsidR="00741CCE" w:rsidRPr="00BE496F" w:rsidRDefault="007A43A0" w:rsidP="00502D80">
      <w:pPr>
        <w:jc w:val="both"/>
        <w:rPr>
          <w:szCs w:val="22"/>
          <w:lang w:val="it-IT"/>
        </w:rPr>
      </w:pPr>
      <w:r w:rsidRPr="00BE496F">
        <w:rPr>
          <w:szCs w:val="22"/>
          <w:lang w:val="it-IT"/>
        </w:rPr>
        <w:t xml:space="preserve">Léčba infekcí </w:t>
      </w:r>
      <w:r w:rsidR="00CC0E6B" w:rsidRPr="00BE496F">
        <w:rPr>
          <w:szCs w:val="22"/>
          <w:lang w:val="it-IT"/>
        </w:rPr>
        <w:t xml:space="preserve">vyvolaných </w:t>
      </w:r>
      <w:r w:rsidRPr="00BE496F">
        <w:rPr>
          <w:szCs w:val="22"/>
          <w:lang w:val="it-IT"/>
        </w:rPr>
        <w:t xml:space="preserve">bakterií </w:t>
      </w:r>
      <w:r w:rsidRPr="00BE496F">
        <w:rPr>
          <w:i/>
          <w:szCs w:val="22"/>
          <w:lang w:val="it-IT"/>
        </w:rPr>
        <w:t>Mycoplasma</w:t>
      </w:r>
      <w:r w:rsidRPr="00BE496F">
        <w:rPr>
          <w:szCs w:val="22"/>
          <w:lang w:val="it-IT"/>
        </w:rPr>
        <w:t xml:space="preserve"> spp. nemusí vést k eradikaci mikroorganismu. </w:t>
      </w:r>
    </w:p>
    <w:p w14:paraId="29C206C7" w14:textId="77777777" w:rsidR="00CC0E6B" w:rsidRPr="00BE496F" w:rsidRDefault="00CC0E6B">
      <w:pPr>
        <w:rPr>
          <w:szCs w:val="22"/>
          <w:lang w:val="it-IT"/>
        </w:rPr>
      </w:pPr>
    </w:p>
    <w:p w14:paraId="138AD5CA" w14:textId="77777777" w:rsidR="00741CCE" w:rsidRPr="00502D80" w:rsidRDefault="00C417F6">
      <w:pPr>
        <w:rPr>
          <w:szCs w:val="22"/>
          <w:lang w:val="cs-CZ"/>
        </w:rPr>
      </w:pPr>
      <w:r w:rsidRPr="00502D80">
        <w:rPr>
          <w:szCs w:val="22"/>
          <w:lang w:val="cs-CZ"/>
        </w:rPr>
        <w:t>Nedojde-li během 2 až 3 dnů ke klinickému zlepšení, je třeba zopakovat stanovení citlivosti a v případě potřeby upravit léčbu</w:t>
      </w:r>
      <w:r w:rsidR="007A43A0" w:rsidRPr="00BE496F">
        <w:rPr>
          <w:szCs w:val="22"/>
          <w:lang w:val="it-IT"/>
        </w:rPr>
        <w:t>.</w:t>
      </w:r>
    </w:p>
    <w:p w14:paraId="50386386" w14:textId="77777777" w:rsidR="00741CCE" w:rsidRPr="00BE496F" w:rsidRDefault="00741CCE">
      <w:pPr>
        <w:rPr>
          <w:szCs w:val="22"/>
          <w:lang w:val="it-IT"/>
        </w:rPr>
      </w:pPr>
    </w:p>
    <w:p w14:paraId="1E4EEDEA" w14:textId="77777777" w:rsidR="00741CCE" w:rsidRPr="00502D80" w:rsidRDefault="007A43A0">
      <w:pPr>
        <w:rPr>
          <w:szCs w:val="22"/>
          <w:u w:val="single"/>
          <w:lang w:val="cs-CZ"/>
        </w:rPr>
      </w:pPr>
      <w:r w:rsidRPr="00502D80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5509E281" w14:textId="77777777" w:rsidR="00741CCE" w:rsidRPr="00502D80" w:rsidRDefault="007A43A0" w:rsidP="00502D80">
      <w:pPr>
        <w:jc w:val="both"/>
        <w:rPr>
          <w:szCs w:val="22"/>
          <w:lang w:val="cs-CZ"/>
        </w:rPr>
      </w:pPr>
      <w:r w:rsidRPr="00502D80">
        <w:rPr>
          <w:szCs w:val="22"/>
          <w:lang w:val="cs-CZ"/>
        </w:rPr>
        <w:t xml:space="preserve">Lidé se známou přecitlivělostí na fluorochinolony by se měli vyhnout kontaktu s veterinárním léčivým přípravkem. Při nakládání s veterinárním léčivým přípravkem by se měly používat osobní ochranné prostředky skládající se z nepropustných rukavic. Zabraňte kontaktu </w:t>
      </w:r>
      <w:r w:rsidR="0082235B">
        <w:rPr>
          <w:szCs w:val="22"/>
          <w:lang w:val="cs-CZ"/>
        </w:rPr>
        <w:t xml:space="preserve">veterinárního léčivého </w:t>
      </w:r>
      <w:r w:rsidRPr="00502D80">
        <w:rPr>
          <w:szCs w:val="22"/>
          <w:lang w:val="cs-CZ"/>
        </w:rPr>
        <w:t xml:space="preserve">přípravku s kůží a očima. V případě zasažení kůže nebo očí ihned opláchněte vodou. Po použití si umyjte ruce. Při </w:t>
      </w:r>
      <w:r w:rsidR="0082235B">
        <w:rPr>
          <w:szCs w:val="22"/>
          <w:lang w:val="cs-CZ"/>
        </w:rPr>
        <w:t>nakládání</w:t>
      </w:r>
      <w:r w:rsidR="0082235B" w:rsidRPr="00502D80">
        <w:rPr>
          <w:szCs w:val="22"/>
          <w:lang w:val="cs-CZ"/>
        </w:rPr>
        <w:t xml:space="preserve"> </w:t>
      </w:r>
      <w:r w:rsidRPr="00502D80">
        <w:rPr>
          <w:szCs w:val="22"/>
          <w:lang w:val="cs-CZ"/>
        </w:rPr>
        <w:t>s</w:t>
      </w:r>
      <w:r w:rsidR="0082235B">
        <w:rPr>
          <w:szCs w:val="22"/>
          <w:lang w:val="cs-CZ"/>
        </w:rPr>
        <w:t xml:space="preserve"> veterinárním léčivým </w:t>
      </w:r>
      <w:r w:rsidRPr="00502D80">
        <w:rPr>
          <w:szCs w:val="22"/>
          <w:lang w:val="cs-CZ"/>
        </w:rPr>
        <w:t>přípravkem nejezte, nepijte ani nekuřte.</w:t>
      </w:r>
    </w:p>
    <w:p w14:paraId="7743470D" w14:textId="77777777" w:rsidR="00741CCE" w:rsidRDefault="00741CCE">
      <w:pPr>
        <w:rPr>
          <w:szCs w:val="22"/>
          <w:lang w:val="es-ES"/>
        </w:rPr>
      </w:pPr>
    </w:p>
    <w:p w14:paraId="6B09B5E8" w14:textId="77777777" w:rsidR="00741CCE" w:rsidRDefault="00C417F6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t>Nosnice</w:t>
      </w:r>
      <w:r w:rsidR="007A43A0">
        <w:rPr>
          <w:szCs w:val="22"/>
          <w:u w:val="single"/>
          <w:lang w:val="es-ES"/>
        </w:rPr>
        <w:t>:</w:t>
      </w:r>
    </w:p>
    <w:p w14:paraId="6E946C9B" w14:textId="77777777" w:rsidR="00741CCE" w:rsidRDefault="007A43A0" w:rsidP="00502D80">
      <w:pPr>
        <w:jc w:val="both"/>
        <w:rPr>
          <w:szCs w:val="22"/>
          <w:lang w:val="es-ES"/>
        </w:rPr>
      </w:pPr>
      <w:r>
        <w:rPr>
          <w:szCs w:val="22"/>
          <w:lang w:val="es-ES"/>
        </w:rPr>
        <w:t>Nepoužívat u nosnic, jejichž vejce jsou určena pro lidskou spotřebu.</w:t>
      </w:r>
    </w:p>
    <w:p w14:paraId="4F1762BB" w14:textId="77777777" w:rsidR="00741CCE" w:rsidRDefault="007A43A0" w:rsidP="00502D80">
      <w:pPr>
        <w:jc w:val="both"/>
        <w:rPr>
          <w:szCs w:val="22"/>
          <w:lang w:val="es-ES"/>
        </w:rPr>
      </w:pPr>
      <w:r>
        <w:rPr>
          <w:szCs w:val="22"/>
          <w:lang w:val="es-ES"/>
        </w:rPr>
        <w:t>Nepoužívat u kuřic během 14 dní před počátkem snášky.</w:t>
      </w:r>
    </w:p>
    <w:p w14:paraId="4F33737A" w14:textId="77777777" w:rsidR="00741CCE" w:rsidRDefault="00741CCE">
      <w:pPr>
        <w:rPr>
          <w:szCs w:val="22"/>
          <w:lang w:val="es-ES"/>
        </w:rPr>
      </w:pPr>
    </w:p>
    <w:p w14:paraId="03E1FD78" w14:textId="77777777" w:rsidR="00741CCE" w:rsidRPr="00BE496F" w:rsidRDefault="007A43A0">
      <w:pPr>
        <w:rPr>
          <w:bCs/>
          <w:szCs w:val="22"/>
          <w:u w:val="single"/>
          <w:lang w:val="es-ES"/>
        </w:rPr>
      </w:pPr>
      <w:r w:rsidRPr="00BE496F">
        <w:rPr>
          <w:bCs/>
          <w:szCs w:val="22"/>
          <w:u w:val="single"/>
          <w:lang w:val="es-ES"/>
        </w:rPr>
        <w:t>Interakce s dalšími léčivými přípravky a jiné formy interakce</w:t>
      </w:r>
    </w:p>
    <w:p w14:paraId="0FC59886" w14:textId="77777777" w:rsidR="00741CCE" w:rsidRPr="00BE496F" w:rsidRDefault="007A43A0" w:rsidP="00502D80">
      <w:pPr>
        <w:jc w:val="both"/>
        <w:rPr>
          <w:szCs w:val="22"/>
          <w:lang w:val="es-ES"/>
        </w:rPr>
      </w:pPr>
      <w:r w:rsidRPr="00BE496F">
        <w:rPr>
          <w:szCs w:val="22"/>
          <w:lang w:val="es-ES"/>
        </w:rPr>
        <w:t xml:space="preserve">Současné </w:t>
      </w:r>
      <w:r w:rsidR="00E1118E" w:rsidRPr="00BE496F">
        <w:rPr>
          <w:szCs w:val="22"/>
          <w:lang w:val="es-ES"/>
        </w:rPr>
        <w:t xml:space="preserve">podávání </w:t>
      </w:r>
      <w:r w:rsidRPr="00BE496F">
        <w:rPr>
          <w:szCs w:val="22"/>
          <w:lang w:val="es-ES"/>
        </w:rPr>
        <w:t>enrofloxacinu s bakteriostatickými antimikrobiky, např. tetracykliny, makrolidy a amfenikoly, může</w:t>
      </w:r>
      <w:r w:rsidR="00E1118E" w:rsidRPr="00BE496F">
        <w:rPr>
          <w:szCs w:val="22"/>
          <w:lang w:val="es-ES"/>
        </w:rPr>
        <w:t xml:space="preserve"> vest k </w:t>
      </w:r>
      <w:r w:rsidRPr="00BE496F">
        <w:rPr>
          <w:szCs w:val="22"/>
          <w:lang w:val="es-ES"/>
        </w:rPr>
        <w:t>antagonistické</w:t>
      </w:r>
      <w:r w:rsidR="00E1118E" w:rsidRPr="00BE496F">
        <w:rPr>
          <w:szCs w:val="22"/>
          <w:lang w:val="es-ES"/>
        </w:rPr>
        <w:t>mu</w:t>
      </w:r>
      <w:r w:rsidRPr="00BE496F">
        <w:rPr>
          <w:szCs w:val="22"/>
          <w:lang w:val="es-ES"/>
        </w:rPr>
        <w:t xml:space="preserve"> </w:t>
      </w:r>
      <w:r w:rsidR="00E1118E" w:rsidRPr="00BE496F">
        <w:rPr>
          <w:szCs w:val="22"/>
          <w:lang w:val="es-ES"/>
        </w:rPr>
        <w:t>účinku</w:t>
      </w:r>
      <w:r w:rsidRPr="00BE496F">
        <w:rPr>
          <w:szCs w:val="22"/>
          <w:lang w:val="es-ES"/>
        </w:rPr>
        <w:t>.</w:t>
      </w:r>
    </w:p>
    <w:p w14:paraId="2A78FB70" w14:textId="77777777" w:rsidR="00E1118E" w:rsidRPr="00BE496F" w:rsidRDefault="007A43A0" w:rsidP="00502D80">
      <w:pPr>
        <w:jc w:val="both"/>
        <w:rPr>
          <w:szCs w:val="22"/>
          <w:lang w:val="es-ES"/>
        </w:rPr>
      </w:pPr>
      <w:r w:rsidRPr="00BE496F">
        <w:rPr>
          <w:szCs w:val="22"/>
          <w:lang w:val="es-ES"/>
        </w:rPr>
        <w:t>Absorpce enrofloxacinu se může snížit, jestliže je</w:t>
      </w:r>
      <w:r w:rsidR="00E1118E" w:rsidRPr="00BE496F">
        <w:rPr>
          <w:szCs w:val="22"/>
          <w:lang w:val="es-ES"/>
        </w:rPr>
        <w:t xml:space="preserve"> veterinární léčivý</w:t>
      </w:r>
      <w:r w:rsidRPr="00BE496F">
        <w:rPr>
          <w:szCs w:val="22"/>
          <w:lang w:val="es-ES"/>
        </w:rPr>
        <w:t xml:space="preserve"> přípravek podáván současně s látkami obsahujícími hořčík a hliník. </w:t>
      </w:r>
    </w:p>
    <w:p w14:paraId="7E52B859" w14:textId="77777777" w:rsidR="00741CCE" w:rsidRDefault="00E1118E" w:rsidP="00502D80">
      <w:pPr>
        <w:jc w:val="both"/>
        <w:rPr>
          <w:szCs w:val="22"/>
        </w:rPr>
      </w:pPr>
      <w:proofErr w:type="spellStart"/>
      <w:r>
        <w:rPr>
          <w:szCs w:val="22"/>
        </w:rPr>
        <w:t>Nepodávejte</w:t>
      </w:r>
      <w:proofErr w:type="spellEnd"/>
      <w:r>
        <w:rPr>
          <w:szCs w:val="22"/>
        </w:rPr>
        <w:t xml:space="preserve"> </w:t>
      </w:r>
      <w:proofErr w:type="spellStart"/>
      <w:r w:rsidR="007A43A0">
        <w:rPr>
          <w:szCs w:val="22"/>
        </w:rPr>
        <w:t>současně</w:t>
      </w:r>
      <w:proofErr w:type="spellEnd"/>
      <w:r w:rsidR="007A43A0">
        <w:rPr>
          <w:szCs w:val="22"/>
        </w:rPr>
        <w:t xml:space="preserve"> s </w:t>
      </w:r>
      <w:proofErr w:type="spellStart"/>
      <w:r w:rsidR="007A43A0">
        <w:rPr>
          <w:szCs w:val="22"/>
        </w:rPr>
        <w:t>nesteroidními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antiflogistiky</w:t>
      </w:r>
      <w:proofErr w:type="spellEnd"/>
      <w:r w:rsidR="007A43A0">
        <w:rPr>
          <w:szCs w:val="22"/>
        </w:rPr>
        <w:t xml:space="preserve">. </w:t>
      </w:r>
    </w:p>
    <w:p w14:paraId="4677252B" w14:textId="77777777" w:rsidR="00741CCE" w:rsidRDefault="00741CCE">
      <w:pPr>
        <w:rPr>
          <w:szCs w:val="22"/>
          <w:lang w:val="es-ES"/>
        </w:rPr>
      </w:pPr>
    </w:p>
    <w:p w14:paraId="63D9BFC1" w14:textId="77777777" w:rsidR="00741CCE" w:rsidRPr="00BE496F" w:rsidRDefault="007A43A0">
      <w:pPr>
        <w:rPr>
          <w:szCs w:val="22"/>
          <w:u w:val="single"/>
          <w:lang w:val="es-ES"/>
        </w:rPr>
      </w:pPr>
      <w:r w:rsidRPr="00BE496F">
        <w:rPr>
          <w:szCs w:val="22"/>
          <w:u w:val="single"/>
          <w:lang w:val="es-ES"/>
        </w:rPr>
        <w:t>Předávkování:</w:t>
      </w:r>
    </w:p>
    <w:p w14:paraId="339E46DA" w14:textId="77777777" w:rsidR="00741CCE" w:rsidRPr="00BE496F" w:rsidRDefault="00E1118E" w:rsidP="00502D80">
      <w:pPr>
        <w:jc w:val="both"/>
        <w:rPr>
          <w:szCs w:val="22"/>
          <w:lang w:val="es-ES"/>
        </w:rPr>
      </w:pPr>
      <w:r w:rsidRPr="00BE496F">
        <w:rPr>
          <w:szCs w:val="22"/>
          <w:lang w:val="es-ES"/>
        </w:rPr>
        <w:t>Nejsou k dispozici žádné údaje</w:t>
      </w:r>
      <w:r w:rsidRPr="00BE496F" w:rsidDel="00E1118E">
        <w:rPr>
          <w:szCs w:val="22"/>
          <w:lang w:val="es-ES"/>
        </w:rPr>
        <w:t xml:space="preserve"> </w:t>
      </w:r>
      <w:r w:rsidR="007A43A0" w:rsidRPr="00BE496F">
        <w:rPr>
          <w:szCs w:val="22"/>
          <w:lang w:val="es-ES"/>
        </w:rPr>
        <w:t>o předávkování během podávání enrofloxacinu.</w:t>
      </w:r>
    </w:p>
    <w:p w14:paraId="5A10D6B6" w14:textId="77777777" w:rsidR="00741CCE" w:rsidRDefault="00741CCE" w:rsidP="00502D80">
      <w:pPr>
        <w:jc w:val="both"/>
        <w:rPr>
          <w:szCs w:val="22"/>
          <w:lang w:val="es-ES"/>
        </w:rPr>
      </w:pPr>
    </w:p>
    <w:p w14:paraId="5309E2D3" w14:textId="77777777" w:rsidR="00741CCE" w:rsidRDefault="007A43A0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t>Hlavní inkompatibility:</w:t>
      </w:r>
    </w:p>
    <w:p w14:paraId="3D4FA945" w14:textId="77777777" w:rsidR="00741CCE" w:rsidRPr="00BE496F" w:rsidRDefault="007E396F" w:rsidP="00502D80">
      <w:pPr>
        <w:jc w:val="both"/>
        <w:rPr>
          <w:color w:val="000000"/>
          <w:szCs w:val="22"/>
          <w:lang w:val="es-ES"/>
        </w:rPr>
      </w:pPr>
      <w:r w:rsidRPr="00BE496F">
        <w:rPr>
          <w:color w:val="000000"/>
          <w:szCs w:val="22"/>
          <w:lang w:val="es-ES"/>
        </w:rPr>
        <w:t>Studie kompatibility nejsou k dispozici, a proto tento veterinární léčivý přípravek nesmí být mísen s žádnými dalšími veterinárními léčivými přípravky.</w:t>
      </w:r>
    </w:p>
    <w:p w14:paraId="341D9622" w14:textId="77777777" w:rsidR="007E396F" w:rsidRDefault="007E396F">
      <w:pPr>
        <w:rPr>
          <w:szCs w:val="22"/>
          <w:lang w:val="es-ES"/>
        </w:rPr>
      </w:pPr>
    </w:p>
    <w:p w14:paraId="6E155690" w14:textId="77777777" w:rsidR="00010EF2" w:rsidRPr="007E396F" w:rsidRDefault="00010EF2">
      <w:pPr>
        <w:rPr>
          <w:szCs w:val="22"/>
          <w:lang w:val="es-ES"/>
        </w:rPr>
      </w:pPr>
    </w:p>
    <w:p w14:paraId="43A6C5B4" w14:textId="77777777" w:rsidR="00741CCE" w:rsidRPr="00BE496F" w:rsidRDefault="007A43A0">
      <w:pPr>
        <w:rPr>
          <w:szCs w:val="22"/>
          <w:lang w:val="es-ES"/>
        </w:rPr>
      </w:pPr>
      <w:r w:rsidRPr="00BE496F">
        <w:rPr>
          <w:b/>
          <w:szCs w:val="22"/>
          <w:lang w:val="es-ES"/>
        </w:rPr>
        <w:t>7.</w:t>
      </w:r>
      <w:r w:rsidRPr="00BE496F">
        <w:rPr>
          <w:b/>
          <w:szCs w:val="22"/>
          <w:lang w:val="es-ES"/>
        </w:rPr>
        <w:tab/>
        <w:t>Nežádoucí účinky</w:t>
      </w:r>
    </w:p>
    <w:p w14:paraId="6FFB59BD" w14:textId="77777777" w:rsidR="00741CCE" w:rsidRPr="00BE496F" w:rsidRDefault="00741CCE">
      <w:pPr>
        <w:rPr>
          <w:szCs w:val="22"/>
          <w:lang w:val="es-ES"/>
        </w:rPr>
      </w:pPr>
    </w:p>
    <w:p w14:paraId="18AE8F37" w14:textId="77777777" w:rsidR="00BC1BFE" w:rsidRPr="00BE496F" w:rsidRDefault="00BC1BFE">
      <w:pPr>
        <w:rPr>
          <w:szCs w:val="22"/>
          <w:lang w:val="es-ES"/>
        </w:rPr>
      </w:pPr>
      <w:r w:rsidRPr="00BE496F">
        <w:rPr>
          <w:szCs w:val="22"/>
          <w:lang w:val="es-ES"/>
        </w:rPr>
        <w:t>Nejsou známy.</w:t>
      </w:r>
    </w:p>
    <w:p w14:paraId="7BB8E5A7" w14:textId="77777777" w:rsidR="00741CCE" w:rsidRPr="00BE496F" w:rsidRDefault="00741CCE">
      <w:pPr>
        <w:rPr>
          <w:szCs w:val="22"/>
          <w:lang w:val="es-ES"/>
        </w:rPr>
      </w:pPr>
    </w:p>
    <w:p w14:paraId="7F4F2C1A" w14:textId="77777777" w:rsidR="00741CCE" w:rsidRPr="00BE496F" w:rsidRDefault="007A43A0" w:rsidP="00502D80">
      <w:pPr>
        <w:jc w:val="both"/>
        <w:rPr>
          <w:szCs w:val="22"/>
          <w:lang w:val="es-ES"/>
        </w:rPr>
      </w:pPr>
      <w:r w:rsidRPr="00BE496F">
        <w:rPr>
          <w:szCs w:val="22"/>
          <w:lang w:val="es-ES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</w:t>
      </w:r>
      <w:r w:rsidRPr="00BE496F">
        <w:rPr>
          <w:szCs w:val="22"/>
          <w:lang w:val="es-ES"/>
        </w:rPr>
        <w:lastRenderedPageBreak/>
        <w:t>registraci s využitím kontaktních údajů uvedených na konci této příbalové informace nebo prostřednictvím národního systému hlášení nežádoucích účinků:</w:t>
      </w:r>
    </w:p>
    <w:p w14:paraId="1B5BEC24" w14:textId="77777777" w:rsidR="00741CCE" w:rsidRPr="00BE496F" w:rsidRDefault="007A43A0" w:rsidP="00502D80">
      <w:pPr>
        <w:jc w:val="both"/>
        <w:rPr>
          <w:szCs w:val="22"/>
          <w:lang w:val="es-ES"/>
        </w:rPr>
      </w:pPr>
      <w:r w:rsidRPr="00BE496F">
        <w:rPr>
          <w:szCs w:val="22"/>
          <w:lang w:val="es-ES"/>
        </w:rPr>
        <w:t xml:space="preserve"> </w:t>
      </w:r>
    </w:p>
    <w:p w14:paraId="307EDCF2" w14:textId="77777777" w:rsidR="00741CCE" w:rsidRPr="00BE496F" w:rsidRDefault="007A43A0">
      <w:pPr>
        <w:rPr>
          <w:szCs w:val="22"/>
          <w:lang w:val="es-ES"/>
        </w:rPr>
      </w:pPr>
      <w:r w:rsidRPr="00BE496F">
        <w:rPr>
          <w:szCs w:val="22"/>
          <w:lang w:val="es-ES"/>
        </w:rPr>
        <w:t>Ústav pro státní kontrolu veterinárních biopreparátů a léčiv</w:t>
      </w:r>
    </w:p>
    <w:p w14:paraId="0DEF0EC7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Hudcova</w:t>
      </w:r>
      <w:proofErr w:type="spellEnd"/>
      <w:r>
        <w:rPr>
          <w:szCs w:val="22"/>
        </w:rPr>
        <w:t xml:space="preserve"> 232/56a </w:t>
      </w:r>
    </w:p>
    <w:p w14:paraId="27169A1F" w14:textId="77777777" w:rsidR="00741CCE" w:rsidRDefault="007A43A0">
      <w:pPr>
        <w:rPr>
          <w:szCs w:val="22"/>
        </w:rPr>
      </w:pPr>
      <w:r>
        <w:rPr>
          <w:szCs w:val="22"/>
        </w:rPr>
        <w:t>621 00 Brno</w:t>
      </w:r>
    </w:p>
    <w:p w14:paraId="29236916" w14:textId="77777777" w:rsidR="00741CCE" w:rsidRDefault="007A43A0">
      <w:pPr>
        <w:rPr>
          <w:rStyle w:val="Hypertextovodkaz"/>
          <w:szCs w:val="22"/>
        </w:rPr>
      </w:pPr>
      <w:r>
        <w:rPr>
          <w:szCs w:val="22"/>
        </w:rPr>
        <w:t xml:space="preserve">E-mail: </w:t>
      </w:r>
      <w:hyperlink r:id="rId7" w:history="1">
        <w:r>
          <w:rPr>
            <w:rStyle w:val="Hypertextovodkaz"/>
            <w:szCs w:val="22"/>
          </w:rPr>
          <w:t>adr@uskvbl.cz</w:t>
        </w:r>
      </w:hyperlink>
    </w:p>
    <w:p w14:paraId="4E8331F4" w14:textId="77777777" w:rsidR="00C106BD" w:rsidRDefault="00C106BD" w:rsidP="00502D80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right="6576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Tel.: 420 720 940 693</w:t>
      </w:r>
    </w:p>
    <w:p w14:paraId="1A2049FD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Webové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stránky</w:t>
      </w:r>
      <w:proofErr w:type="spellEnd"/>
      <w:r>
        <w:rPr>
          <w:szCs w:val="22"/>
        </w:rPr>
        <w:t xml:space="preserve">: </w:t>
      </w:r>
      <w:hyperlink r:id="rId8" w:history="1">
        <w:r>
          <w:rPr>
            <w:rStyle w:val="Hypertextovodkaz"/>
            <w:szCs w:val="22"/>
          </w:rPr>
          <w:t>http://www.uskvbl.cz/cs/farmakovigilance</w:t>
        </w:r>
      </w:hyperlink>
    </w:p>
    <w:p w14:paraId="63C33B69" w14:textId="77777777" w:rsidR="00741CCE" w:rsidRDefault="00741CCE">
      <w:pPr>
        <w:rPr>
          <w:b/>
          <w:szCs w:val="22"/>
        </w:rPr>
      </w:pPr>
    </w:p>
    <w:p w14:paraId="53CB1671" w14:textId="77777777" w:rsidR="00010EF2" w:rsidRDefault="00010EF2">
      <w:pPr>
        <w:rPr>
          <w:b/>
          <w:szCs w:val="22"/>
        </w:rPr>
      </w:pPr>
    </w:p>
    <w:p w14:paraId="3128CB16" w14:textId="77777777" w:rsidR="00741CCE" w:rsidRDefault="007A43A0">
      <w:pPr>
        <w:rPr>
          <w:szCs w:val="22"/>
        </w:rPr>
      </w:pPr>
      <w:r>
        <w:rPr>
          <w:b/>
          <w:szCs w:val="22"/>
        </w:rPr>
        <w:t>8.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Dávkování</w:t>
      </w:r>
      <w:proofErr w:type="spellEnd"/>
      <w:r>
        <w:rPr>
          <w:b/>
          <w:szCs w:val="22"/>
        </w:rPr>
        <w:t xml:space="preserve"> pro </w:t>
      </w:r>
      <w:proofErr w:type="spellStart"/>
      <w:r>
        <w:rPr>
          <w:b/>
          <w:szCs w:val="22"/>
        </w:rPr>
        <w:t>každý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druh</w:t>
      </w:r>
      <w:proofErr w:type="spellEnd"/>
      <w:r>
        <w:rPr>
          <w:b/>
          <w:szCs w:val="22"/>
        </w:rPr>
        <w:t xml:space="preserve">, </w:t>
      </w:r>
      <w:proofErr w:type="spellStart"/>
      <w:r>
        <w:rPr>
          <w:b/>
          <w:szCs w:val="22"/>
        </w:rPr>
        <w:t>cesty</w:t>
      </w:r>
      <w:proofErr w:type="spellEnd"/>
      <w:r>
        <w:rPr>
          <w:b/>
          <w:szCs w:val="22"/>
        </w:rPr>
        <w:t xml:space="preserve"> a </w:t>
      </w:r>
      <w:proofErr w:type="spellStart"/>
      <w:r>
        <w:rPr>
          <w:b/>
          <w:szCs w:val="22"/>
        </w:rPr>
        <w:t>způsob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podání</w:t>
      </w:r>
      <w:proofErr w:type="spellEnd"/>
    </w:p>
    <w:p w14:paraId="0503E343" w14:textId="77777777" w:rsidR="00741CCE" w:rsidRDefault="00741CCE">
      <w:pPr>
        <w:rPr>
          <w:szCs w:val="22"/>
        </w:rPr>
      </w:pPr>
    </w:p>
    <w:p w14:paraId="013233C5" w14:textId="77777777" w:rsidR="007F4E7A" w:rsidRPr="00502D80" w:rsidRDefault="0082068F">
      <w:pPr>
        <w:rPr>
          <w:szCs w:val="22"/>
        </w:rPr>
      </w:pPr>
      <w:proofErr w:type="spellStart"/>
      <w:r>
        <w:rPr>
          <w:szCs w:val="22"/>
        </w:rPr>
        <w:t>P</w:t>
      </w:r>
      <w:r w:rsidR="007F4E7A" w:rsidRPr="00502D80">
        <w:rPr>
          <w:szCs w:val="22"/>
        </w:rPr>
        <w:t>odání</w:t>
      </w:r>
      <w:proofErr w:type="spellEnd"/>
      <w:r w:rsidR="007F4E7A" w:rsidRPr="00502D80">
        <w:rPr>
          <w:szCs w:val="22"/>
        </w:rPr>
        <w:t xml:space="preserve"> v </w:t>
      </w:r>
      <w:proofErr w:type="spellStart"/>
      <w:r w:rsidR="007F4E7A" w:rsidRPr="00502D80">
        <w:rPr>
          <w:szCs w:val="22"/>
        </w:rPr>
        <w:t>pitné</w:t>
      </w:r>
      <w:proofErr w:type="spellEnd"/>
      <w:r w:rsidR="007F4E7A" w:rsidRPr="00502D80">
        <w:rPr>
          <w:szCs w:val="22"/>
        </w:rPr>
        <w:t xml:space="preserve"> </w:t>
      </w:r>
      <w:proofErr w:type="spellStart"/>
      <w:r w:rsidR="007F4E7A" w:rsidRPr="00502D80">
        <w:rPr>
          <w:szCs w:val="22"/>
        </w:rPr>
        <w:t>vodě</w:t>
      </w:r>
      <w:proofErr w:type="spellEnd"/>
      <w:r w:rsidR="007F4E7A" w:rsidRPr="00502D80">
        <w:rPr>
          <w:szCs w:val="22"/>
        </w:rPr>
        <w:t>.</w:t>
      </w:r>
    </w:p>
    <w:p w14:paraId="7DF8C968" w14:textId="77777777" w:rsidR="007F4E7A" w:rsidRDefault="007F4E7A">
      <w:pPr>
        <w:rPr>
          <w:b/>
          <w:szCs w:val="22"/>
        </w:rPr>
      </w:pPr>
    </w:p>
    <w:p w14:paraId="4C538781" w14:textId="77777777" w:rsidR="00741CCE" w:rsidRDefault="007A43A0">
      <w:pPr>
        <w:rPr>
          <w:b/>
          <w:szCs w:val="22"/>
        </w:rPr>
      </w:pPr>
      <w:r>
        <w:rPr>
          <w:b/>
          <w:szCs w:val="22"/>
        </w:rPr>
        <w:t xml:space="preserve">Kur </w:t>
      </w:r>
      <w:proofErr w:type="spellStart"/>
      <w:r>
        <w:rPr>
          <w:b/>
          <w:szCs w:val="22"/>
        </w:rPr>
        <w:t>domácí</w:t>
      </w:r>
      <w:proofErr w:type="spellEnd"/>
      <w:r>
        <w:rPr>
          <w:b/>
          <w:szCs w:val="22"/>
        </w:rPr>
        <w:t xml:space="preserve"> a </w:t>
      </w:r>
      <w:proofErr w:type="spellStart"/>
      <w:r>
        <w:rPr>
          <w:b/>
          <w:szCs w:val="22"/>
        </w:rPr>
        <w:t>krůty</w:t>
      </w:r>
      <w:proofErr w:type="spellEnd"/>
    </w:p>
    <w:p w14:paraId="3B823475" w14:textId="77777777" w:rsidR="00741CCE" w:rsidRDefault="00741CCE">
      <w:pPr>
        <w:rPr>
          <w:b/>
          <w:szCs w:val="22"/>
        </w:rPr>
      </w:pPr>
    </w:p>
    <w:p w14:paraId="0D23491E" w14:textId="77777777" w:rsidR="00741CCE" w:rsidRDefault="007A43A0" w:rsidP="00502D80">
      <w:pPr>
        <w:jc w:val="both"/>
        <w:rPr>
          <w:szCs w:val="22"/>
        </w:rPr>
      </w:pPr>
      <w:r>
        <w:rPr>
          <w:szCs w:val="22"/>
        </w:rPr>
        <w:t xml:space="preserve">10 mg </w:t>
      </w:r>
      <w:proofErr w:type="spellStart"/>
      <w:r>
        <w:rPr>
          <w:szCs w:val="22"/>
        </w:rPr>
        <w:t>enrofloxacinu</w:t>
      </w:r>
      <w:proofErr w:type="spellEnd"/>
      <w:r>
        <w:rPr>
          <w:szCs w:val="22"/>
        </w:rPr>
        <w:t xml:space="preserve"> / kg </w:t>
      </w:r>
      <w:proofErr w:type="spellStart"/>
      <w:r>
        <w:rPr>
          <w:szCs w:val="22"/>
        </w:rPr>
        <w:t>živé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hmotnosti</w:t>
      </w:r>
      <w:proofErr w:type="spellEnd"/>
      <w:r>
        <w:rPr>
          <w:szCs w:val="22"/>
        </w:rPr>
        <w:t xml:space="preserve"> za den po </w:t>
      </w:r>
      <w:proofErr w:type="spellStart"/>
      <w:r>
        <w:rPr>
          <w:szCs w:val="22"/>
        </w:rPr>
        <w:t>dobu</w:t>
      </w:r>
      <w:proofErr w:type="spellEnd"/>
      <w:r>
        <w:rPr>
          <w:szCs w:val="22"/>
        </w:rPr>
        <w:t xml:space="preserve"> 3–5 po </w:t>
      </w:r>
      <w:proofErr w:type="spellStart"/>
      <w:r>
        <w:rPr>
          <w:szCs w:val="22"/>
        </w:rPr>
        <w:t>sobě</w:t>
      </w:r>
      <w:proofErr w:type="spellEnd"/>
      <w:r>
        <w:rPr>
          <w:szCs w:val="22"/>
        </w:rPr>
        <w:t xml:space="preserve"> </w:t>
      </w:r>
      <w:proofErr w:type="spellStart"/>
      <w:r w:rsidR="00E1118E">
        <w:rPr>
          <w:szCs w:val="22"/>
        </w:rPr>
        <w:t>jdoucích</w:t>
      </w:r>
      <w:proofErr w:type="spellEnd"/>
      <w:r w:rsidR="00E1118E">
        <w:rPr>
          <w:szCs w:val="22"/>
        </w:rPr>
        <w:t xml:space="preserve">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 xml:space="preserve">. </w:t>
      </w:r>
    </w:p>
    <w:p w14:paraId="1DB8CADC" w14:textId="77777777" w:rsidR="00741CCE" w:rsidRDefault="007A43A0" w:rsidP="00502D80">
      <w:pPr>
        <w:jc w:val="both"/>
        <w:rPr>
          <w:szCs w:val="22"/>
        </w:rPr>
      </w:pPr>
      <w:proofErr w:type="spellStart"/>
      <w:r>
        <w:rPr>
          <w:szCs w:val="22"/>
        </w:rPr>
        <w:t>Léčba</w:t>
      </w:r>
      <w:proofErr w:type="spellEnd"/>
      <w:r>
        <w:rPr>
          <w:szCs w:val="22"/>
        </w:rPr>
        <w:t xml:space="preserve"> po </w:t>
      </w:r>
      <w:proofErr w:type="spellStart"/>
      <w:r>
        <w:rPr>
          <w:szCs w:val="22"/>
        </w:rPr>
        <w:t>dobu</w:t>
      </w:r>
      <w:proofErr w:type="spellEnd"/>
      <w:r>
        <w:rPr>
          <w:szCs w:val="22"/>
        </w:rPr>
        <w:t xml:space="preserve"> 3–5 po </w:t>
      </w:r>
      <w:proofErr w:type="spellStart"/>
      <w:r>
        <w:rPr>
          <w:szCs w:val="22"/>
        </w:rPr>
        <w:t>sobě</w:t>
      </w:r>
      <w:proofErr w:type="spellEnd"/>
      <w:r>
        <w:rPr>
          <w:szCs w:val="22"/>
        </w:rPr>
        <w:t xml:space="preserve"> </w:t>
      </w:r>
      <w:proofErr w:type="spellStart"/>
      <w:r w:rsidR="00E1118E" w:rsidRPr="00E1118E">
        <w:rPr>
          <w:szCs w:val="22"/>
        </w:rPr>
        <w:t>jdoucích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 xml:space="preserve">; po </w:t>
      </w:r>
      <w:proofErr w:type="spellStart"/>
      <w:r>
        <w:rPr>
          <w:szCs w:val="22"/>
        </w:rPr>
        <w:t>dobu</w:t>
      </w:r>
      <w:proofErr w:type="spellEnd"/>
      <w:r>
        <w:rPr>
          <w:szCs w:val="22"/>
        </w:rPr>
        <w:t xml:space="preserve"> 5 po </w:t>
      </w:r>
      <w:proofErr w:type="spellStart"/>
      <w:r>
        <w:rPr>
          <w:szCs w:val="22"/>
        </w:rPr>
        <w:t>sobě</w:t>
      </w:r>
      <w:proofErr w:type="spellEnd"/>
      <w:r>
        <w:rPr>
          <w:szCs w:val="22"/>
        </w:rPr>
        <w:t xml:space="preserve"> </w:t>
      </w:r>
      <w:proofErr w:type="spellStart"/>
      <w:r w:rsidR="00E1118E" w:rsidRPr="00E1118E">
        <w:rPr>
          <w:szCs w:val="22"/>
        </w:rPr>
        <w:t>jdoucích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smíšených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infekcí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chronických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progresivních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forem</w:t>
      </w:r>
      <w:proofErr w:type="spellEnd"/>
      <w:r>
        <w:rPr>
          <w:szCs w:val="22"/>
        </w:rPr>
        <w:t>.</w:t>
      </w:r>
    </w:p>
    <w:p w14:paraId="554B0DEC" w14:textId="77777777" w:rsidR="00741CCE" w:rsidRDefault="007A43A0" w:rsidP="00502D80">
      <w:pPr>
        <w:jc w:val="both"/>
        <w:rPr>
          <w:szCs w:val="22"/>
        </w:rPr>
      </w:pPr>
      <w:r>
        <w:rPr>
          <w:szCs w:val="22"/>
        </w:rPr>
        <w:t xml:space="preserve">Pro </w:t>
      </w:r>
      <w:proofErr w:type="spellStart"/>
      <w:r>
        <w:rPr>
          <w:szCs w:val="22"/>
        </w:rPr>
        <w:t>zajištění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podání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správné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dávky</w:t>
      </w:r>
      <w:proofErr w:type="spellEnd"/>
      <w:r>
        <w:rPr>
          <w:szCs w:val="22"/>
        </w:rPr>
        <w:t xml:space="preserve"> by </w:t>
      </w:r>
      <w:proofErr w:type="spellStart"/>
      <w:r>
        <w:rPr>
          <w:szCs w:val="22"/>
        </w:rPr>
        <w:t>měla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být</w:t>
      </w:r>
      <w:proofErr w:type="spellEnd"/>
      <w:r>
        <w:rPr>
          <w:szCs w:val="22"/>
        </w:rPr>
        <w:t xml:space="preserve"> co </w:t>
      </w:r>
      <w:proofErr w:type="spellStart"/>
      <w:r>
        <w:rPr>
          <w:szCs w:val="22"/>
        </w:rPr>
        <w:t>nejpřesněji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stanovena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živá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hmotnost</w:t>
      </w:r>
      <w:proofErr w:type="spellEnd"/>
      <w:r>
        <w:rPr>
          <w:szCs w:val="22"/>
        </w:rPr>
        <w:t xml:space="preserve">. </w:t>
      </w:r>
    </w:p>
    <w:p w14:paraId="3B61F2D2" w14:textId="77777777" w:rsidR="00741CCE" w:rsidRDefault="007A43A0" w:rsidP="00502D80">
      <w:pPr>
        <w:jc w:val="both"/>
        <w:rPr>
          <w:szCs w:val="22"/>
        </w:rPr>
      </w:pPr>
      <w:proofErr w:type="spellStart"/>
      <w:r>
        <w:rPr>
          <w:szCs w:val="22"/>
        </w:rPr>
        <w:t>Pokud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během</w:t>
      </w:r>
      <w:proofErr w:type="spellEnd"/>
      <w:r>
        <w:rPr>
          <w:szCs w:val="22"/>
        </w:rPr>
        <w:t xml:space="preserve"> 2–3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dosaženo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klinického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zlepšení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mělo</w:t>
      </w:r>
      <w:proofErr w:type="spellEnd"/>
      <w:r>
        <w:rPr>
          <w:szCs w:val="22"/>
        </w:rPr>
        <w:t xml:space="preserve"> by se </w:t>
      </w:r>
      <w:proofErr w:type="spellStart"/>
      <w:r>
        <w:rPr>
          <w:szCs w:val="22"/>
        </w:rPr>
        <w:t>zvážit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nasazení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alternativní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antimikrobní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léčby</w:t>
      </w:r>
      <w:proofErr w:type="spellEnd"/>
      <w:r>
        <w:rPr>
          <w:szCs w:val="22"/>
        </w:rPr>
        <w:t xml:space="preserve"> na </w:t>
      </w:r>
      <w:proofErr w:type="spellStart"/>
      <w:r>
        <w:rPr>
          <w:szCs w:val="22"/>
        </w:rPr>
        <w:t>základě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výsledků</w:t>
      </w:r>
      <w:proofErr w:type="spellEnd"/>
      <w:r>
        <w:rPr>
          <w:szCs w:val="22"/>
        </w:rPr>
        <w:t xml:space="preserve"> </w:t>
      </w:r>
      <w:proofErr w:type="spellStart"/>
      <w:r w:rsidR="00E1118E">
        <w:rPr>
          <w:szCs w:val="22"/>
        </w:rPr>
        <w:t>stanovení</w:t>
      </w:r>
      <w:proofErr w:type="spellEnd"/>
      <w:r w:rsidR="00E1118E">
        <w:rPr>
          <w:szCs w:val="22"/>
        </w:rPr>
        <w:t xml:space="preserve"> </w:t>
      </w:r>
      <w:proofErr w:type="spellStart"/>
      <w:r>
        <w:rPr>
          <w:szCs w:val="22"/>
        </w:rPr>
        <w:t>citlivosti</w:t>
      </w:r>
      <w:proofErr w:type="spellEnd"/>
      <w:r>
        <w:rPr>
          <w:szCs w:val="22"/>
        </w:rPr>
        <w:t>.</w:t>
      </w:r>
    </w:p>
    <w:p w14:paraId="37AD4532" w14:textId="77777777" w:rsidR="00741CCE" w:rsidRDefault="00741CCE" w:rsidP="00502D80">
      <w:pPr>
        <w:jc w:val="both"/>
        <w:rPr>
          <w:szCs w:val="22"/>
        </w:rPr>
      </w:pPr>
    </w:p>
    <w:p w14:paraId="0D446004" w14:textId="77777777" w:rsidR="00741CCE" w:rsidRDefault="007A43A0" w:rsidP="00502D80">
      <w:pPr>
        <w:jc w:val="both"/>
        <w:rPr>
          <w:szCs w:val="22"/>
        </w:rPr>
      </w:pPr>
      <w:proofErr w:type="spellStart"/>
      <w:r>
        <w:rPr>
          <w:szCs w:val="22"/>
        </w:rPr>
        <w:t>Léčbu</w:t>
      </w:r>
      <w:proofErr w:type="spellEnd"/>
      <w:r>
        <w:rPr>
          <w:szCs w:val="22"/>
        </w:rPr>
        <w:t xml:space="preserve"> je </w:t>
      </w:r>
      <w:proofErr w:type="spellStart"/>
      <w:r>
        <w:rPr>
          <w:szCs w:val="22"/>
        </w:rPr>
        <w:t>třeba</w:t>
      </w:r>
      <w:proofErr w:type="spellEnd"/>
      <w:r>
        <w:rPr>
          <w:szCs w:val="22"/>
        </w:rPr>
        <w:t xml:space="preserve"> doplnit </w:t>
      </w:r>
      <w:proofErr w:type="spellStart"/>
      <w:r>
        <w:rPr>
          <w:szCs w:val="22"/>
        </w:rPr>
        <w:t>správnými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chovatelskými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zoohygienickými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postupy</w:t>
      </w:r>
      <w:proofErr w:type="spellEnd"/>
      <w:r>
        <w:rPr>
          <w:szCs w:val="22"/>
        </w:rPr>
        <w:t xml:space="preserve">, aby se </w:t>
      </w:r>
      <w:proofErr w:type="spellStart"/>
      <w:r>
        <w:rPr>
          <w:szCs w:val="22"/>
        </w:rPr>
        <w:t>snížilo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riziko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infekce</w:t>
      </w:r>
      <w:proofErr w:type="spellEnd"/>
      <w:r>
        <w:rPr>
          <w:szCs w:val="22"/>
        </w:rPr>
        <w:t xml:space="preserve"> a </w:t>
      </w:r>
      <w:proofErr w:type="spellStart"/>
      <w:r w:rsidR="00E1118E" w:rsidRPr="00E1118E">
        <w:rPr>
          <w:szCs w:val="22"/>
        </w:rPr>
        <w:t>omezil</w:t>
      </w:r>
      <w:proofErr w:type="spellEnd"/>
      <w:r w:rsidR="00E1118E" w:rsidRPr="00E1118E">
        <w:rPr>
          <w:szCs w:val="22"/>
        </w:rPr>
        <w:t xml:space="preserve"> se </w:t>
      </w:r>
      <w:proofErr w:type="spellStart"/>
      <w:r w:rsidR="00E1118E" w:rsidRPr="00E1118E">
        <w:rPr>
          <w:szCs w:val="22"/>
        </w:rPr>
        <w:t>rozvoj</w:t>
      </w:r>
      <w:proofErr w:type="spellEnd"/>
      <w:r w:rsidR="00E1118E" w:rsidRPr="00E1118E">
        <w:rPr>
          <w:szCs w:val="22"/>
        </w:rPr>
        <w:t xml:space="preserve"> </w:t>
      </w:r>
      <w:proofErr w:type="spellStart"/>
      <w:r>
        <w:rPr>
          <w:szCs w:val="22"/>
        </w:rPr>
        <w:t>rezistence</w:t>
      </w:r>
      <w:proofErr w:type="spellEnd"/>
      <w:r>
        <w:rPr>
          <w:szCs w:val="22"/>
        </w:rPr>
        <w:t>.</w:t>
      </w:r>
    </w:p>
    <w:p w14:paraId="13242C8F" w14:textId="77777777" w:rsidR="00010EF2" w:rsidRDefault="00010EF2">
      <w:pPr>
        <w:rPr>
          <w:szCs w:val="22"/>
        </w:rPr>
      </w:pPr>
    </w:p>
    <w:p w14:paraId="6DCE18C7" w14:textId="77777777" w:rsidR="00741CCE" w:rsidRDefault="00741CCE">
      <w:pPr>
        <w:rPr>
          <w:szCs w:val="22"/>
        </w:rPr>
      </w:pPr>
    </w:p>
    <w:p w14:paraId="1699784A" w14:textId="77777777" w:rsidR="00741CCE" w:rsidRDefault="007A43A0">
      <w:pPr>
        <w:rPr>
          <w:b/>
          <w:szCs w:val="22"/>
        </w:rPr>
      </w:pPr>
      <w:r>
        <w:rPr>
          <w:b/>
          <w:szCs w:val="22"/>
        </w:rPr>
        <w:t>9.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Informace</w:t>
      </w:r>
      <w:proofErr w:type="spellEnd"/>
      <w:r>
        <w:rPr>
          <w:b/>
          <w:szCs w:val="22"/>
        </w:rPr>
        <w:t xml:space="preserve"> o </w:t>
      </w:r>
      <w:proofErr w:type="spellStart"/>
      <w:r>
        <w:rPr>
          <w:b/>
          <w:szCs w:val="22"/>
        </w:rPr>
        <w:t>správném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podávání</w:t>
      </w:r>
      <w:proofErr w:type="spellEnd"/>
    </w:p>
    <w:p w14:paraId="18A87B3D" w14:textId="77777777" w:rsidR="00741CCE" w:rsidRDefault="00741CCE">
      <w:pPr>
        <w:rPr>
          <w:szCs w:val="22"/>
        </w:rPr>
      </w:pPr>
    </w:p>
    <w:p w14:paraId="128C8A29" w14:textId="77777777" w:rsidR="00741CCE" w:rsidRDefault="00E1118E" w:rsidP="00502D80">
      <w:pPr>
        <w:jc w:val="both"/>
        <w:rPr>
          <w:szCs w:val="22"/>
        </w:rPr>
      </w:pPr>
      <w:proofErr w:type="spellStart"/>
      <w:r>
        <w:rPr>
          <w:szCs w:val="22"/>
        </w:rPr>
        <w:t>Veterinární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léčivý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přípravek</w:t>
      </w:r>
      <w:proofErr w:type="spellEnd"/>
      <w:r>
        <w:rPr>
          <w:szCs w:val="22"/>
        </w:rPr>
        <w:t xml:space="preserve"> </w:t>
      </w:r>
      <w:r w:rsidR="007A43A0">
        <w:rPr>
          <w:szCs w:val="22"/>
        </w:rPr>
        <w:t xml:space="preserve">se </w:t>
      </w:r>
      <w:proofErr w:type="spellStart"/>
      <w:r w:rsidR="007A43A0">
        <w:rPr>
          <w:szCs w:val="22"/>
        </w:rPr>
        <w:t>podává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perorálně</w:t>
      </w:r>
      <w:proofErr w:type="spellEnd"/>
      <w:r w:rsidR="007A43A0">
        <w:rPr>
          <w:szCs w:val="22"/>
        </w:rPr>
        <w:t xml:space="preserve"> v </w:t>
      </w:r>
      <w:proofErr w:type="spellStart"/>
      <w:r w:rsidR="007A43A0">
        <w:rPr>
          <w:szCs w:val="22"/>
        </w:rPr>
        <w:t>pitné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vodě</w:t>
      </w:r>
      <w:proofErr w:type="spellEnd"/>
      <w:r w:rsidR="007A43A0">
        <w:rPr>
          <w:szCs w:val="22"/>
        </w:rPr>
        <w:t xml:space="preserve">. </w:t>
      </w:r>
      <w:proofErr w:type="spellStart"/>
      <w:r w:rsidR="007A43A0">
        <w:rPr>
          <w:szCs w:val="22"/>
        </w:rPr>
        <w:t>Roztok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medikované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pitné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vody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připravujte</w:t>
      </w:r>
      <w:proofErr w:type="spellEnd"/>
      <w:r w:rsidR="007A43A0">
        <w:rPr>
          <w:szCs w:val="22"/>
        </w:rPr>
        <w:t xml:space="preserve"> </w:t>
      </w:r>
      <w:proofErr w:type="spellStart"/>
      <w:r w:rsidR="007A43A0">
        <w:rPr>
          <w:szCs w:val="22"/>
        </w:rPr>
        <w:t>každý</w:t>
      </w:r>
      <w:proofErr w:type="spellEnd"/>
      <w:r w:rsidR="007A43A0">
        <w:rPr>
          <w:szCs w:val="22"/>
        </w:rPr>
        <w:t xml:space="preserve"> den </w:t>
      </w:r>
      <w:proofErr w:type="spellStart"/>
      <w:r w:rsidR="007A43A0">
        <w:rPr>
          <w:szCs w:val="22"/>
        </w:rPr>
        <w:t>čerstvý</w:t>
      </w:r>
      <w:proofErr w:type="spellEnd"/>
      <w:r w:rsidR="007A43A0">
        <w:rPr>
          <w:szCs w:val="22"/>
        </w:rPr>
        <w:t>.</w:t>
      </w:r>
    </w:p>
    <w:p w14:paraId="349D06CF" w14:textId="77777777" w:rsidR="00741CCE" w:rsidRDefault="00741CCE">
      <w:pPr>
        <w:rPr>
          <w:szCs w:val="22"/>
        </w:rPr>
      </w:pPr>
    </w:p>
    <w:p w14:paraId="071B0AB8" w14:textId="77777777" w:rsidR="00010EF2" w:rsidRDefault="00010EF2">
      <w:pPr>
        <w:rPr>
          <w:szCs w:val="22"/>
        </w:rPr>
      </w:pPr>
    </w:p>
    <w:p w14:paraId="3376EE51" w14:textId="77777777" w:rsidR="00741CCE" w:rsidRDefault="007A43A0">
      <w:pPr>
        <w:rPr>
          <w:szCs w:val="22"/>
        </w:rPr>
      </w:pPr>
      <w:r>
        <w:rPr>
          <w:b/>
          <w:szCs w:val="22"/>
        </w:rPr>
        <w:t>10.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Ochranné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lhůty</w:t>
      </w:r>
      <w:proofErr w:type="spellEnd"/>
    </w:p>
    <w:p w14:paraId="74A1591D" w14:textId="77777777" w:rsidR="00741CCE" w:rsidRDefault="00741CCE">
      <w:pPr>
        <w:rPr>
          <w:szCs w:val="22"/>
        </w:rPr>
      </w:pPr>
    </w:p>
    <w:p w14:paraId="6CE49682" w14:textId="77777777" w:rsidR="00741CCE" w:rsidRDefault="007A43A0">
      <w:pPr>
        <w:rPr>
          <w:szCs w:val="22"/>
        </w:rPr>
      </w:pPr>
      <w:r>
        <w:rPr>
          <w:szCs w:val="22"/>
        </w:rPr>
        <w:t xml:space="preserve">Kur </w:t>
      </w:r>
      <w:proofErr w:type="spellStart"/>
      <w:r>
        <w:rPr>
          <w:szCs w:val="22"/>
        </w:rPr>
        <w:t>domácí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Maso</w:t>
      </w:r>
      <w:proofErr w:type="spellEnd"/>
      <w:r>
        <w:rPr>
          <w:szCs w:val="22"/>
        </w:rPr>
        <w:t xml:space="preserve">: 7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>.</w:t>
      </w:r>
    </w:p>
    <w:p w14:paraId="186EE580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Krůty</w:t>
      </w:r>
      <w:proofErr w:type="spellEnd"/>
      <w:r>
        <w:rPr>
          <w:szCs w:val="22"/>
        </w:rPr>
        <w:t xml:space="preserve">: </w:t>
      </w:r>
      <w:proofErr w:type="spellStart"/>
      <w:r>
        <w:rPr>
          <w:szCs w:val="22"/>
        </w:rPr>
        <w:t>Maso</w:t>
      </w:r>
      <w:proofErr w:type="spellEnd"/>
      <w:r>
        <w:rPr>
          <w:szCs w:val="22"/>
        </w:rPr>
        <w:t xml:space="preserve">: 13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>.</w:t>
      </w:r>
    </w:p>
    <w:p w14:paraId="7167251B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Nepoužívat</w:t>
      </w:r>
      <w:proofErr w:type="spellEnd"/>
      <w:r>
        <w:rPr>
          <w:szCs w:val="22"/>
        </w:rPr>
        <w:t xml:space="preserve"> u </w:t>
      </w:r>
      <w:proofErr w:type="spellStart"/>
      <w:r w:rsidR="00A06EA4">
        <w:rPr>
          <w:szCs w:val="22"/>
        </w:rPr>
        <w:t>ptáků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jejichž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vejce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jsou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určena</w:t>
      </w:r>
      <w:proofErr w:type="spellEnd"/>
      <w:r>
        <w:rPr>
          <w:szCs w:val="22"/>
        </w:rPr>
        <w:t xml:space="preserve"> pro </w:t>
      </w:r>
      <w:proofErr w:type="spellStart"/>
      <w:r>
        <w:rPr>
          <w:szCs w:val="22"/>
        </w:rPr>
        <w:t>lidsk</w:t>
      </w:r>
      <w:r w:rsidR="00A06EA4">
        <w:rPr>
          <w:szCs w:val="22"/>
        </w:rPr>
        <w:t>ou</w:t>
      </w:r>
      <w:proofErr w:type="spellEnd"/>
      <w:r>
        <w:rPr>
          <w:szCs w:val="22"/>
        </w:rPr>
        <w:t xml:space="preserve"> </w:t>
      </w:r>
      <w:proofErr w:type="spellStart"/>
      <w:r w:rsidR="00A06EA4">
        <w:rPr>
          <w:szCs w:val="22"/>
        </w:rPr>
        <w:t>spotřebu</w:t>
      </w:r>
      <w:proofErr w:type="spellEnd"/>
      <w:r>
        <w:rPr>
          <w:szCs w:val="22"/>
        </w:rPr>
        <w:t>.</w:t>
      </w:r>
    </w:p>
    <w:p w14:paraId="1D077333" w14:textId="77777777" w:rsidR="00741CCE" w:rsidRDefault="007A43A0">
      <w:pPr>
        <w:rPr>
          <w:szCs w:val="22"/>
        </w:rPr>
      </w:pPr>
      <w:proofErr w:type="spellStart"/>
      <w:r>
        <w:rPr>
          <w:szCs w:val="22"/>
        </w:rPr>
        <w:t>Nepoužívat</w:t>
      </w:r>
      <w:proofErr w:type="spellEnd"/>
      <w:r>
        <w:rPr>
          <w:szCs w:val="22"/>
        </w:rPr>
        <w:t xml:space="preserve"> u </w:t>
      </w:r>
      <w:proofErr w:type="spellStart"/>
      <w:r>
        <w:rPr>
          <w:szCs w:val="22"/>
        </w:rPr>
        <w:t>kuřic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během</w:t>
      </w:r>
      <w:proofErr w:type="spellEnd"/>
      <w:r>
        <w:rPr>
          <w:szCs w:val="22"/>
        </w:rPr>
        <w:t xml:space="preserve"> 14 </w:t>
      </w:r>
      <w:proofErr w:type="spellStart"/>
      <w:r>
        <w:rPr>
          <w:szCs w:val="22"/>
        </w:rPr>
        <w:t>dní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před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počátkem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snášky</w:t>
      </w:r>
      <w:proofErr w:type="spellEnd"/>
      <w:r>
        <w:rPr>
          <w:szCs w:val="22"/>
        </w:rPr>
        <w:t>.</w:t>
      </w:r>
    </w:p>
    <w:p w14:paraId="41DB1EB4" w14:textId="77777777" w:rsidR="00010EF2" w:rsidRDefault="00010EF2">
      <w:pPr>
        <w:rPr>
          <w:szCs w:val="22"/>
        </w:rPr>
      </w:pPr>
    </w:p>
    <w:p w14:paraId="0E35BB8E" w14:textId="77777777" w:rsidR="00741CCE" w:rsidRDefault="00741CCE">
      <w:pPr>
        <w:rPr>
          <w:iCs/>
          <w:szCs w:val="22"/>
        </w:rPr>
      </w:pPr>
    </w:p>
    <w:p w14:paraId="3E68FA19" w14:textId="77777777" w:rsidR="00741CCE" w:rsidRDefault="007A43A0">
      <w:pPr>
        <w:rPr>
          <w:b/>
          <w:szCs w:val="22"/>
        </w:rPr>
      </w:pPr>
      <w:r>
        <w:rPr>
          <w:b/>
          <w:szCs w:val="22"/>
        </w:rPr>
        <w:t>11.</w:t>
      </w:r>
      <w:r>
        <w:rPr>
          <w:b/>
          <w:szCs w:val="22"/>
        </w:rPr>
        <w:tab/>
      </w:r>
      <w:proofErr w:type="spellStart"/>
      <w:r>
        <w:rPr>
          <w:b/>
          <w:szCs w:val="22"/>
        </w:rPr>
        <w:t>Zvláštní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opatření</w:t>
      </w:r>
      <w:proofErr w:type="spellEnd"/>
      <w:r>
        <w:rPr>
          <w:b/>
          <w:szCs w:val="22"/>
        </w:rPr>
        <w:t xml:space="preserve"> pro </w:t>
      </w:r>
      <w:proofErr w:type="spellStart"/>
      <w:r>
        <w:rPr>
          <w:b/>
          <w:szCs w:val="22"/>
        </w:rPr>
        <w:t>uchovávání</w:t>
      </w:r>
      <w:proofErr w:type="spellEnd"/>
    </w:p>
    <w:p w14:paraId="5C4F5DCF" w14:textId="77777777" w:rsidR="00741CCE" w:rsidRDefault="00741CCE">
      <w:pPr>
        <w:rPr>
          <w:szCs w:val="22"/>
        </w:rPr>
      </w:pPr>
    </w:p>
    <w:p w14:paraId="6BCEA809" w14:textId="77777777" w:rsidR="00741CCE" w:rsidRPr="00502D80" w:rsidRDefault="007A43A0" w:rsidP="00502D80">
      <w:pPr>
        <w:jc w:val="both"/>
        <w:rPr>
          <w:szCs w:val="22"/>
          <w:lang w:val="cs-CZ"/>
        </w:rPr>
      </w:pPr>
      <w:r w:rsidRPr="00502D80">
        <w:rPr>
          <w:szCs w:val="22"/>
          <w:lang w:val="cs-CZ"/>
        </w:rPr>
        <w:t>Uchováv</w:t>
      </w:r>
      <w:r w:rsidR="0082235B" w:rsidRPr="00502D80">
        <w:rPr>
          <w:szCs w:val="22"/>
          <w:lang w:val="cs-CZ"/>
        </w:rPr>
        <w:t>ejte</w:t>
      </w:r>
      <w:r w:rsidRPr="00502D80">
        <w:rPr>
          <w:szCs w:val="22"/>
          <w:lang w:val="cs-CZ"/>
        </w:rPr>
        <w:t xml:space="preserve"> mimo do</w:t>
      </w:r>
      <w:r w:rsidR="0082235B" w:rsidRPr="00502D80">
        <w:rPr>
          <w:szCs w:val="22"/>
          <w:lang w:val="cs-CZ"/>
        </w:rPr>
        <w:t>hled a do</w:t>
      </w:r>
      <w:r w:rsidRPr="00502D80">
        <w:rPr>
          <w:szCs w:val="22"/>
          <w:lang w:val="cs-CZ"/>
        </w:rPr>
        <w:t>sah dětí.</w:t>
      </w:r>
    </w:p>
    <w:p w14:paraId="7211594D" w14:textId="77777777" w:rsidR="00741CCE" w:rsidRPr="00BE496F" w:rsidRDefault="007A43A0" w:rsidP="00502D80">
      <w:pPr>
        <w:jc w:val="both"/>
        <w:rPr>
          <w:b/>
          <w:szCs w:val="22"/>
          <w:lang w:val="cs-CZ"/>
        </w:rPr>
      </w:pPr>
      <w:r w:rsidRPr="00BE496F">
        <w:rPr>
          <w:szCs w:val="22"/>
          <w:lang w:val="cs-CZ"/>
        </w:rPr>
        <w:t>Tento veterinární léčivý přípravek nevyžaduje žádné zvláštní teplotní podmínky uchovávání.</w:t>
      </w:r>
    </w:p>
    <w:p w14:paraId="1E9BDEE1" w14:textId="77777777" w:rsidR="00741CCE" w:rsidRPr="00BE496F" w:rsidRDefault="007A43A0" w:rsidP="00502D80">
      <w:pPr>
        <w:jc w:val="both"/>
        <w:rPr>
          <w:szCs w:val="22"/>
          <w:lang w:val="cs-CZ"/>
        </w:rPr>
      </w:pPr>
      <w:r w:rsidRPr="00BE496F">
        <w:rPr>
          <w:szCs w:val="22"/>
          <w:lang w:val="cs-CZ"/>
        </w:rPr>
        <w:t>Chraňte před světlem.</w:t>
      </w:r>
    </w:p>
    <w:p w14:paraId="5CC2139C" w14:textId="77777777" w:rsidR="00741CCE" w:rsidRPr="00BE496F" w:rsidRDefault="00741CCE" w:rsidP="00502D80">
      <w:pPr>
        <w:jc w:val="both"/>
        <w:rPr>
          <w:szCs w:val="22"/>
          <w:lang w:val="cs-CZ"/>
        </w:rPr>
      </w:pPr>
    </w:p>
    <w:p w14:paraId="1C773884" w14:textId="77777777" w:rsidR="00741CCE" w:rsidRPr="00BE496F" w:rsidRDefault="007A43A0" w:rsidP="00502D80">
      <w:pPr>
        <w:jc w:val="both"/>
        <w:rPr>
          <w:szCs w:val="22"/>
          <w:lang w:val="cs-CZ"/>
        </w:rPr>
      </w:pPr>
      <w:r w:rsidRPr="00BE496F">
        <w:rPr>
          <w:szCs w:val="22"/>
          <w:lang w:val="cs-CZ"/>
        </w:rPr>
        <w:t>Nepoužívejte tento veterinární léčivý přípravek po uplynutí doby použitelnosti uvedené na obalu</w:t>
      </w:r>
      <w:r w:rsidR="00414B83" w:rsidRPr="00BE496F">
        <w:rPr>
          <w:szCs w:val="22"/>
          <w:lang w:val="cs-CZ"/>
        </w:rPr>
        <w:t xml:space="preserve"> po EXP</w:t>
      </w:r>
      <w:r w:rsidRPr="00BE496F">
        <w:rPr>
          <w:szCs w:val="22"/>
          <w:lang w:val="cs-CZ"/>
        </w:rPr>
        <w:t>.</w:t>
      </w:r>
      <w:r w:rsidR="00414B83" w:rsidRPr="00BE496F">
        <w:rPr>
          <w:szCs w:val="22"/>
          <w:lang w:val="cs-CZ"/>
        </w:rPr>
        <w:t xml:space="preserve"> Doba použitelnosti končí posledním dnem v daném měsíci.</w:t>
      </w:r>
    </w:p>
    <w:p w14:paraId="24BFE890" w14:textId="77777777" w:rsidR="00741CCE" w:rsidRPr="00BE496F" w:rsidRDefault="007A43A0" w:rsidP="00502D80">
      <w:pPr>
        <w:jc w:val="both"/>
        <w:rPr>
          <w:szCs w:val="22"/>
          <w:lang w:val="cs-CZ"/>
        </w:rPr>
      </w:pPr>
      <w:r w:rsidRPr="00BE496F">
        <w:rPr>
          <w:szCs w:val="22"/>
          <w:lang w:val="cs-CZ"/>
        </w:rPr>
        <w:t>Doba použitelnosti po prvním otevření vnitřního obalu: 3 měsíce.</w:t>
      </w:r>
    </w:p>
    <w:p w14:paraId="71499029" w14:textId="77777777" w:rsidR="00741CCE" w:rsidRPr="00BE496F" w:rsidRDefault="007A43A0" w:rsidP="00502D80">
      <w:pPr>
        <w:jc w:val="both"/>
        <w:rPr>
          <w:szCs w:val="22"/>
          <w:lang w:val="cs-CZ"/>
        </w:rPr>
      </w:pPr>
      <w:r w:rsidRPr="00BE496F">
        <w:rPr>
          <w:szCs w:val="22"/>
          <w:lang w:val="cs-CZ"/>
        </w:rPr>
        <w:t>Doba použitelnosti po rozpuštění nebo rekonstituci podle návodu: 24 hodin.</w:t>
      </w:r>
    </w:p>
    <w:p w14:paraId="2E2C6969" w14:textId="77777777" w:rsidR="00741CCE" w:rsidRPr="00BE496F" w:rsidRDefault="00741CCE">
      <w:pPr>
        <w:rPr>
          <w:szCs w:val="22"/>
          <w:lang w:val="cs-CZ"/>
        </w:rPr>
      </w:pPr>
    </w:p>
    <w:p w14:paraId="78D4A600" w14:textId="77777777" w:rsidR="00010EF2" w:rsidRPr="00BE496F" w:rsidRDefault="00010EF2">
      <w:pPr>
        <w:rPr>
          <w:szCs w:val="22"/>
          <w:lang w:val="cs-CZ"/>
        </w:rPr>
      </w:pPr>
    </w:p>
    <w:p w14:paraId="10F14B6F" w14:textId="77777777" w:rsidR="00741CCE" w:rsidRPr="00502D80" w:rsidRDefault="007A43A0" w:rsidP="00E647A8">
      <w:pPr>
        <w:keepNext/>
        <w:spacing w:line="240" w:lineRule="auto"/>
        <w:rPr>
          <w:b/>
          <w:szCs w:val="22"/>
          <w:lang w:val="cs-CZ"/>
        </w:rPr>
      </w:pPr>
      <w:r w:rsidRPr="00502D80">
        <w:rPr>
          <w:b/>
          <w:szCs w:val="22"/>
          <w:lang w:val="cs-CZ"/>
        </w:rPr>
        <w:lastRenderedPageBreak/>
        <w:t>12.</w:t>
      </w:r>
      <w:r w:rsidRPr="00502D80">
        <w:rPr>
          <w:b/>
          <w:szCs w:val="22"/>
          <w:lang w:val="cs-CZ"/>
        </w:rPr>
        <w:tab/>
        <w:t>Zvláštní opatření pro likvidaci</w:t>
      </w:r>
    </w:p>
    <w:p w14:paraId="13E79780" w14:textId="77777777" w:rsidR="00741CCE" w:rsidRPr="00502D80" w:rsidRDefault="00741CCE" w:rsidP="00E647A8">
      <w:pPr>
        <w:keepNext/>
        <w:spacing w:line="240" w:lineRule="auto"/>
        <w:rPr>
          <w:b/>
          <w:szCs w:val="22"/>
          <w:lang w:val="cs-CZ"/>
        </w:rPr>
      </w:pPr>
    </w:p>
    <w:p w14:paraId="36ABC97D" w14:textId="77777777" w:rsidR="00741CCE" w:rsidRPr="00502D80" w:rsidRDefault="007A43A0" w:rsidP="00502D80">
      <w:pPr>
        <w:spacing w:line="240" w:lineRule="auto"/>
        <w:jc w:val="both"/>
        <w:rPr>
          <w:szCs w:val="22"/>
          <w:lang w:val="cs-CZ"/>
        </w:rPr>
      </w:pPr>
      <w:r w:rsidRPr="00502D80">
        <w:rPr>
          <w:szCs w:val="22"/>
          <w:lang w:val="cs-CZ"/>
        </w:rPr>
        <w:t>Léčivé přípravky se nesmí likvidovat prostřednictvím odpadní vody či domovního odpadu.</w:t>
      </w:r>
    </w:p>
    <w:p w14:paraId="775D9EE4" w14:textId="77777777" w:rsidR="00741CCE" w:rsidRPr="00502D80" w:rsidRDefault="00741CCE" w:rsidP="00502D80">
      <w:pPr>
        <w:spacing w:line="240" w:lineRule="auto"/>
        <w:jc w:val="both"/>
        <w:rPr>
          <w:szCs w:val="22"/>
          <w:lang w:val="cs-CZ"/>
        </w:rPr>
      </w:pPr>
    </w:p>
    <w:p w14:paraId="5DA592E7" w14:textId="77777777" w:rsidR="00741CCE" w:rsidRPr="00502D80" w:rsidRDefault="007A43A0" w:rsidP="00502D80">
      <w:pPr>
        <w:spacing w:line="240" w:lineRule="auto"/>
        <w:jc w:val="both"/>
        <w:rPr>
          <w:szCs w:val="22"/>
          <w:lang w:val="cs-CZ"/>
        </w:rPr>
      </w:pPr>
      <w:r w:rsidRPr="00502D80"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4018E59" w14:textId="77777777" w:rsidR="00741CCE" w:rsidRPr="00502D80" w:rsidRDefault="00741CCE" w:rsidP="00502D80">
      <w:pPr>
        <w:spacing w:line="240" w:lineRule="auto"/>
        <w:jc w:val="both"/>
        <w:rPr>
          <w:szCs w:val="22"/>
          <w:lang w:val="cs-CZ"/>
        </w:rPr>
      </w:pPr>
    </w:p>
    <w:p w14:paraId="3ABEAB6C" w14:textId="77777777" w:rsidR="00741CCE" w:rsidRPr="00502D80" w:rsidRDefault="007A43A0" w:rsidP="00502D80">
      <w:pPr>
        <w:spacing w:line="240" w:lineRule="auto"/>
        <w:jc w:val="both"/>
        <w:rPr>
          <w:szCs w:val="22"/>
          <w:lang w:val="cs-CZ"/>
        </w:rPr>
      </w:pPr>
      <w:r w:rsidRPr="00502D80">
        <w:rPr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3FC325D3" w14:textId="77777777" w:rsidR="00741CCE" w:rsidRPr="00BE496F" w:rsidRDefault="00741CCE" w:rsidP="00E647A8">
      <w:pPr>
        <w:spacing w:line="240" w:lineRule="auto"/>
        <w:rPr>
          <w:szCs w:val="22"/>
          <w:lang w:val="cs-CZ"/>
        </w:rPr>
      </w:pPr>
    </w:p>
    <w:p w14:paraId="3C8EF674" w14:textId="77777777" w:rsidR="00741CCE" w:rsidRPr="00BE496F" w:rsidRDefault="00741CCE">
      <w:pPr>
        <w:rPr>
          <w:szCs w:val="22"/>
          <w:lang w:val="cs-CZ"/>
        </w:rPr>
      </w:pPr>
    </w:p>
    <w:p w14:paraId="5391A212" w14:textId="77777777" w:rsidR="00741CCE" w:rsidRPr="00BE496F" w:rsidRDefault="007A43A0">
      <w:pPr>
        <w:rPr>
          <w:b/>
          <w:szCs w:val="22"/>
          <w:lang w:val="cs-CZ"/>
        </w:rPr>
      </w:pPr>
      <w:r w:rsidRPr="00BE496F">
        <w:rPr>
          <w:b/>
          <w:szCs w:val="22"/>
          <w:lang w:val="cs-CZ"/>
        </w:rPr>
        <w:t>13.</w:t>
      </w:r>
      <w:r w:rsidRPr="00BE496F">
        <w:rPr>
          <w:b/>
          <w:szCs w:val="22"/>
          <w:lang w:val="cs-CZ"/>
        </w:rPr>
        <w:tab/>
        <w:t>Klasifikace veterinárních léčivých přípravků</w:t>
      </w:r>
    </w:p>
    <w:p w14:paraId="150375E4" w14:textId="77777777" w:rsidR="00741CCE" w:rsidRPr="00BE496F" w:rsidRDefault="00741CCE">
      <w:pPr>
        <w:rPr>
          <w:szCs w:val="22"/>
          <w:lang w:val="cs-CZ"/>
        </w:rPr>
      </w:pPr>
    </w:p>
    <w:p w14:paraId="40CE6E24" w14:textId="77777777" w:rsidR="00741CCE" w:rsidRPr="00BE496F" w:rsidRDefault="007A43A0">
      <w:pPr>
        <w:rPr>
          <w:szCs w:val="22"/>
          <w:lang w:val="cs-CZ"/>
        </w:rPr>
      </w:pPr>
      <w:r w:rsidRPr="00BE496F">
        <w:rPr>
          <w:szCs w:val="22"/>
          <w:lang w:val="cs-CZ"/>
        </w:rPr>
        <w:t>Veterinární léčivý přípravek je vydáván pouze na předpis.</w:t>
      </w:r>
    </w:p>
    <w:p w14:paraId="4A642B67" w14:textId="77777777" w:rsidR="00741CCE" w:rsidRPr="00BE496F" w:rsidRDefault="00741CCE">
      <w:pPr>
        <w:rPr>
          <w:szCs w:val="22"/>
          <w:lang w:val="cs-CZ"/>
        </w:rPr>
      </w:pPr>
    </w:p>
    <w:p w14:paraId="7FE1DD77" w14:textId="77777777" w:rsidR="00010EF2" w:rsidRPr="00BE496F" w:rsidRDefault="00010EF2">
      <w:pPr>
        <w:rPr>
          <w:szCs w:val="22"/>
          <w:lang w:val="cs-CZ"/>
        </w:rPr>
      </w:pPr>
    </w:p>
    <w:p w14:paraId="16FA1046" w14:textId="77777777" w:rsidR="00741CCE" w:rsidRPr="00BE496F" w:rsidRDefault="007A43A0">
      <w:pPr>
        <w:rPr>
          <w:b/>
          <w:szCs w:val="22"/>
          <w:lang w:val="cs-CZ"/>
        </w:rPr>
      </w:pPr>
      <w:r w:rsidRPr="00BE496F">
        <w:rPr>
          <w:b/>
          <w:szCs w:val="22"/>
          <w:lang w:val="cs-CZ"/>
        </w:rPr>
        <w:t>14.</w:t>
      </w:r>
      <w:r w:rsidRPr="00BE496F">
        <w:rPr>
          <w:b/>
          <w:szCs w:val="22"/>
          <w:lang w:val="cs-CZ"/>
        </w:rPr>
        <w:tab/>
        <w:t>Registrační čísla a velikosti balení</w:t>
      </w:r>
    </w:p>
    <w:p w14:paraId="124F1297" w14:textId="77777777" w:rsidR="00741CCE" w:rsidRPr="00BE496F" w:rsidRDefault="00741CCE">
      <w:pPr>
        <w:rPr>
          <w:b/>
          <w:szCs w:val="22"/>
          <w:lang w:val="cs-CZ"/>
        </w:rPr>
      </w:pPr>
    </w:p>
    <w:p w14:paraId="7E88F76E" w14:textId="77777777" w:rsidR="00741CCE" w:rsidRPr="00BE496F" w:rsidRDefault="007A43A0">
      <w:pPr>
        <w:rPr>
          <w:szCs w:val="22"/>
          <w:lang w:val="cs-CZ"/>
        </w:rPr>
      </w:pPr>
      <w:r w:rsidRPr="00BE496F">
        <w:rPr>
          <w:szCs w:val="22"/>
          <w:lang w:val="cs-CZ"/>
        </w:rPr>
        <w:t>96/675/96-C</w:t>
      </w:r>
    </w:p>
    <w:p w14:paraId="67892939" w14:textId="77777777" w:rsidR="00741CCE" w:rsidRPr="00BE496F" w:rsidRDefault="00741CCE">
      <w:pPr>
        <w:rPr>
          <w:szCs w:val="22"/>
          <w:lang w:val="cs-CZ"/>
        </w:rPr>
      </w:pPr>
    </w:p>
    <w:p w14:paraId="13FF7010" w14:textId="77777777" w:rsidR="00741CCE" w:rsidRPr="00BE496F" w:rsidRDefault="007A43A0">
      <w:pPr>
        <w:rPr>
          <w:b/>
          <w:szCs w:val="22"/>
          <w:lang w:val="cs-CZ"/>
        </w:rPr>
      </w:pPr>
      <w:r w:rsidRPr="00BE496F">
        <w:rPr>
          <w:b/>
          <w:szCs w:val="22"/>
          <w:lang w:val="cs-CZ"/>
        </w:rPr>
        <w:t>Balení</w:t>
      </w:r>
    </w:p>
    <w:p w14:paraId="497ACF0F" w14:textId="77777777" w:rsidR="00741CCE" w:rsidRPr="00BE496F" w:rsidRDefault="007A43A0">
      <w:pPr>
        <w:rPr>
          <w:szCs w:val="22"/>
          <w:lang w:val="cs-CZ"/>
        </w:rPr>
      </w:pPr>
      <w:r w:rsidRPr="00BE496F">
        <w:rPr>
          <w:szCs w:val="22"/>
          <w:lang w:val="cs-CZ"/>
        </w:rPr>
        <w:t>Lahvička z hnědého skla (typ III) o obsahu 100 ml se šroubovacím uzávěrem a hliníkov</w:t>
      </w:r>
      <w:r w:rsidR="00414B83" w:rsidRPr="00BE496F">
        <w:rPr>
          <w:szCs w:val="22"/>
          <w:lang w:val="cs-CZ"/>
        </w:rPr>
        <w:t>ým</w:t>
      </w:r>
      <w:r w:rsidRPr="00BE496F">
        <w:rPr>
          <w:szCs w:val="22"/>
          <w:lang w:val="cs-CZ"/>
        </w:rPr>
        <w:t xml:space="preserve"> pertl</w:t>
      </w:r>
      <w:r w:rsidR="00414B83" w:rsidRPr="00BE496F">
        <w:rPr>
          <w:szCs w:val="22"/>
          <w:lang w:val="cs-CZ"/>
        </w:rPr>
        <w:t>em</w:t>
      </w:r>
      <w:r w:rsidRPr="00BE496F">
        <w:rPr>
          <w:szCs w:val="22"/>
          <w:lang w:val="cs-CZ"/>
        </w:rPr>
        <w:t xml:space="preserve">, PP dávkovací kelímek, papírová </w:t>
      </w:r>
      <w:r w:rsidR="00414B83" w:rsidRPr="00BE496F">
        <w:rPr>
          <w:szCs w:val="22"/>
          <w:lang w:val="cs-CZ"/>
        </w:rPr>
        <w:t>krabička</w:t>
      </w:r>
    </w:p>
    <w:p w14:paraId="0766439A" w14:textId="77777777" w:rsidR="00741CCE" w:rsidRPr="00BE496F" w:rsidRDefault="007A43A0">
      <w:pPr>
        <w:rPr>
          <w:szCs w:val="22"/>
          <w:lang w:val="cs-CZ"/>
        </w:rPr>
      </w:pPr>
      <w:r w:rsidRPr="00BE496F">
        <w:rPr>
          <w:szCs w:val="22"/>
          <w:lang w:val="cs-CZ"/>
        </w:rPr>
        <w:t>HDPE láhev o obsahu 1000 ml s PP uzávěrem, skládací etiketa</w:t>
      </w:r>
    </w:p>
    <w:p w14:paraId="793C138E" w14:textId="77777777" w:rsidR="00741CCE" w:rsidRPr="00BE496F" w:rsidRDefault="00741CCE">
      <w:pPr>
        <w:rPr>
          <w:szCs w:val="22"/>
          <w:lang w:val="cs-CZ"/>
        </w:rPr>
      </w:pPr>
    </w:p>
    <w:p w14:paraId="10C719A9" w14:textId="77777777" w:rsidR="00741CCE" w:rsidRPr="00BE496F" w:rsidRDefault="007A43A0">
      <w:pPr>
        <w:rPr>
          <w:szCs w:val="22"/>
          <w:lang w:val="cs-CZ"/>
        </w:rPr>
      </w:pPr>
      <w:r w:rsidRPr="00BE496F">
        <w:rPr>
          <w:i/>
          <w:szCs w:val="22"/>
          <w:lang w:val="cs-CZ"/>
        </w:rPr>
        <w:t>Velikost balení</w:t>
      </w:r>
      <w:r w:rsidRPr="00BE496F">
        <w:rPr>
          <w:szCs w:val="22"/>
          <w:lang w:val="cs-CZ"/>
        </w:rPr>
        <w:t>: 100 ml, 1 000 ml.</w:t>
      </w:r>
    </w:p>
    <w:p w14:paraId="4130319A" w14:textId="77777777" w:rsidR="00741CCE" w:rsidRPr="00BE496F" w:rsidRDefault="00741CCE">
      <w:pPr>
        <w:rPr>
          <w:szCs w:val="22"/>
          <w:lang w:val="cs-CZ"/>
        </w:rPr>
      </w:pPr>
    </w:p>
    <w:p w14:paraId="70EBA62D" w14:textId="77777777" w:rsidR="00741CCE" w:rsidRPr="00BE496F" w:rsidRDefault="007A43A0">
      <w:pPr>
        <w:rPr>
          <w:szCs w:val="22"/>
          <w:lang w:val="cs-CZ"/>
        </w:rPr>
      </w:pPr>
      <w:r w:rsidRPr="00BE496F">
        <w:rPr>
          <w:szCs w:val="22"/>
          <w:lang w:val="cs-CZ"/>
        </w:rPr>
        <w:t>Na trhu nemusí být všechny velikosti balení.</w:t>
      </w:r>
    </w:p>
    <w:p w14:paraId="1B530642" w14:textId="77777777" w:rsidR="00741CCE" w:rsidRPr="00BE496F" w:rsidRDefault="00741CCE">
      <w:pPr>
        <w:rPr>
          <w:szCs w:val="22"/>
          <w:lang w:val="cs-CZ"/>
        </w:rPr>
      </w:pPr>
    </w:p>
    <w:p w14:paraId="5B23D9D5" w14:textId="77777777" w:rsidR="00741CCE" w:rsidRPr="00BE496F" w:rsidRDefault="007A43A0">
      <w:pPr>
        <w:rPr>
          <w:b/>
          <w:szCs w:val="22"/>
          <w:lang w:val="cs-CZ"/>
        </w:rPr>
      </w:pPr>
      <w:r w:rsidRPr="00BE496F">
        <w:rPr>
          <w:b/>
          <w:szCs w:val="22"/>
          <w:lang w:val="cs-CZ"/>
        </w:rPr>
        <w:t>15.</w:t>
      </w:r>
      <w:r w:rsidRPr="00BE496F">
        <w:rPr>
          <w:b/>
          <w:szCs w:val="22"/>
          <w:lang w:val="cs-CZ"/>
        </w:rPr>
        <w:tab/>
        <w:t>Datum poslední revize příbalové informace</w:t>
      </w:r>
    </w:p>
    <w:p w14:paraId="0968A1A4" w14:textId="77777777" w:rsidR="00741CCE" w:rsidRPr="00BE496F" w:rsidRDefault="00741CCE">
      <w:pPr>
        <w:rPr>
          <w:szCs w:val="22"/>
          <w:lang w:val="cs-CZ"/>
        </w:rPr>
      </w:pPr>
    </w:p>
    <w:p w14:paraId="0E0DBB37" w14:textId="77777777" w:rsidR="00741CCE" w:rsidRPr="00BE496F" w:rsidRDefault="002A6391" w:rsidP="00502D80">
      <w:pPr>
        <w:jc w:val="both"/>
        <w:rPr>
          <w:szCs w:val="22"/>
          <w:lang w:val="cs-CZ"/>
        </w:rPr>
      </w:pPr>
      <w:r w:rsidRPr="00BE496F">
        <w:rPr>
          <w:szCs w:val="22"/>
          <w:lang w:val="cs-CZ"/>
        </w:rPr>
        <w:t>4/</w:t>
      </w:r>
      <w:r w:rsidR="00E1118E" w:rsidRPr="00BE496F">
        <w:rPr>
          <w:szCs w:val="22"/>
          <w:lang w:val="cs-CZ"/>
        </w:rPr>
        <w:t>2026</w:t>
      </w:r>
    </w:p>
    <w:p w14:paraId="3FD3EE05" w14:textId="77777777" w:rsidR="00741CCE" w:rsidRPr="00BE496F" w:rsidRDefault="00741CCE" w:rsidP="00502D80">
      <w:pPr>
        <w:jc w:val="both"/>
        <w:rPr>
          <w:szCs w:val="22"/>
          <w:lang w:val="cs-CZ"/>
        </w:rPr>
      </w:pPr>
    </w:p>
    <w:p w14:paraId="405F02C5" w14:textId="77777777" w:rsidR="00741CCE" w:rsidRPr="00BE496F" w:rsidRDefault="007A43A0" w:rsidP="00502D80">
      <w:pPr>
        <w:jc w:val="both"/>
        <w:rPr>
          <w:szCs w:val="22"/>
          <w:lang w:val="cs-CZ"/>
        </w:rPr>
      </w:pPr>
      <w:r w:rsidRPr="00BE496F">
        <w:rPr>
          <w:szCs w:val="22"/>
          <w:lang w:val="cs-CZ"/>
        </w:rPr>
        <w:t>Podrobné informace o tomto veterinárním léčivém přípravku jsou k dispozici v databázi přípravků</w:t>
      </w:r>
    </w:p>
    <w:p w14:paraId="17FA07F3" w14:textId="77777777" w:rsidR="00741CCE" w:rsidRPr="00BE496F" w:rsidRDefault="007A43A0" w:rsidP="00502D80">
      <w:pPr>
        <w:jc w:val="both"/>
        <w:rPr>
          <w:szCs w:val="22"/>
          <w:lang w:val="fr-FR"/>
        </w:rPr>
      </w:pPr>
      <w:r w:rsidRPr="00BE496F">
        <w:rPr>
          <w:szCs w:val="22"/>
          <w:lang w:val="fr-FR"/>
        </w:rPr>
        <w:t>Unie (</w:t>
      </w:r>
      <w:hyperlink r:id="rId9" w:history="1">
        <w:r w:rsidRPr="00BE496F">
          <w:rPr>
            <w:rStyle w:val="Hypertextovodkaz"/>
            <w:szCs w:val="22"/>
            <w:lang w:val="fr-FR"/>
          </w:rPr>
          <w:t>https://medicines.health.europa.eu/veterinary</w:t>
        </w:r>
      </w:hyperlink>
      <w:r w:rsidRPr="00BE496F">
        <w:rPr>
          <w:szCs w:val="22"/>
          <w:lang w:val="fr-FR"/>
        </w:rPr>
        <w:t>).</w:t>
      </w:r>
    </w:p>
    <w:p w14:paraId="6E0FBA95" w14:textId="77777777" w:rsidR="00741CCE" w:rsidRPr="00BE496F" w:rsidRDefault="00741CCE" w:rsidP="00502D80">
      <w:pPr>
        <w:jc w:val="both"/>
        <w:rPr>
          <w:szCs w:val="22"/>
          <w:lang w:val="fr-FR"/>
        </w:rPr>
      </w:pPr>
    </w:p>
    <w:p w14:paraId="6C75E701" w14:textId="77777777" w:rsidR="00741CCE" w:rsidRPr="00BE496F" w:rsidRDefault="007A43A0" w:rsidP="00502D80">
      <w:pPr>
        <w:jc w:val="both"/>
        <w:rPr>
          <w:szCs w:val="22"/>
          <w:lang w:val="fr-FR"/>
        </w:rPr>
      </w:pPr>
      <w:r w:rsidRPr="00BE496F">
        <w:rPr>
          <w:szCs w:val="22"/>
          <w:lang w:val="fr-FR"/>
        </w:rPr>
        <w:t>Podrobné informace o tomto veterinárním léčivém přípravku naleznete také v národní databázi (</w:t>
      </w:r>
      <w:hyperlink r:id="rId10" w:history="1">
        <w:r w:rsidRPr="00BE496F">
          <w:rPr>
            <w:rStyle w:val="Hypertextovodkaz"/>
            <w:szCs w:val="22"/>
            <w:lang w:val="fr-FR"/>
          </w:rPr>
          <w:t>https://www.uskvbl.cz</w:t>
        </w:r>
      </w:hyperlink>
      <w:r w:rsidRPr="00BE496F">
        <w:rPr>
          <w:szCs w:val="22"/>
          <w:lang w:val="fr-FR"/>
        </w:rPr>
        <w:t>).</w:t>
      </w:r>
    </w:p>
    <w:p w14:paraId="022BFB64" w14:textId="77777777" w:rsidR="00741CCE" w:rsidRPr="00BE496F" w:rsidRDefault="00741CCE">
      <w:pPr>
        <w:rPr>
          <w:szCs w:val="22"/>
          <w:lang w:val="fr-FR"/>
        </w:rPr>
      </w:pPr>
    </w:p>
    <w:p w14:paraId="6C57DFB3" w14:textId="77777777" w:rsidR="00741CCE" w:rsidRPr="00BE496F" w:rsidRDefault="00741CCE">
      <w:pPr>
        <w:rPr>
          <w:szCs w:val="22"/>
          <w:lang w:val="fr-FR"/>
        </w:rPr>
      </w:pPr>
    </w:p>
    <w:p w14:paraId="022DD4F6" w14:textId="77777777" w:rsidR="00741CCE" w:rsidRPr="00BE496F" w:rsidRDefault="007A43A0">
      <w:pPr>
        <w:rPr>
          <w:b/>
          <w:szCs w:val="22"/>
          <w:lang w:val="fr-FR"/>
        </w:rPr>
      </w:pPr>
      <w:r w:rsidRPr="00BE496F">
        <w:rPr>
          <w:b/>
          <w:szCs w:val="22"/>
          <w:lang w:val="fr-FR"/>
        </w:rPr>
        <w:t>16.</w:t>
      </w:r>
      <w:r w:rsidRPr="00BE496F">
        <w:rPr>
          <w:b/>
          <w:szCs w:val="22"/>
          <w:lang w:val="fr-FR"/>
        </w:rPr>
        <w:tab/>
        <w:t>Kontaktní údaje</w:t>
      </w:r>
    </w:p>
    <w:p w14:paraId="334FA062" w14:textId="77777777" w:rsidR="00741CCE" w:rsidRPr="00BE496F" w:rsidRDefault="00741CCE">
      <w:pPr>
        <w:rPr>
          <w:szCs w:val="22"/>
          <w:lang w:val="fr-FR"/>
        </w:rPr>
      </w:pPr>
    </w:p>
    <w:p w14:paraId="10C8A03B" w14:textId="77777777" w:rsidR="00741CCE" w:rsidRPr="00BE496F" w:rsidRDefault="007A43A0">
      <w:pPr>
        <w:rPr>
          <w:iCs/>
          <w:szCs w:val="22"/>
          <w:u w:val="single"/>
          <w:lang w:val="fr-FR"/>
        </w:rPr>
      </w:pPr>
      <w:r w:rsidRPr="00BE496F">
        <w:rPr>
          <w:iCs/>
          <w:szCs w:val="22"/>
          <w:u w:val="single"/>
          <w:lang w:val="fr-FR"/>
        </w:rPr>
        <w:t>Držitel rozhodnutí o registraci a v</w:t>
      </w:r>
      <w:r w:rsidRPr="00BE496F">
        <w:rPr>
          <w:bCs/>
          <w:szCs w:val="22"/>
          <w:u w:val="single"/>
          <w:lang w:val="fr-FR"/>
        </w:rPr>
        <w:t>ýrobce odpovědný za uvolnění šarže</w:t>
      </w:r>
      <w:r w:rsidRPr="00BE496F">
        <w:rPr>
          <w:szCs w:val="22"/>
          <w:u w:val="single"/>
          <w:lang w:val="fr-FR"/>
        </w:rPr>
        <w:t>:</w:t>
      </w:r>
    </w:p>
    <w:p w14:paraId="7BB7ACA1" w14:textId="77777777" w:rsidR="00741CCE" w:rsidRPr="00BE496F" w:rsidRDefault="007A43A0">
      <w:pPr>
        <w:rPr>
          <w:szCs w:val="22"/>
          <w:lang w:val="fr-FR"/>
        </w:rPr>
      </w:pPr>
      <w:r w:rsidRPr="00BE496F">
        <w:rPr>
          <w:szCs w:val="22"/>
          <w:lang w:val="fr-FR"/>
        </w:rPr>
        <w:t>KRKA, d.d., Novo mesto, Šmarješka cesta 6, 8501 Novo mesto, Slovinsko</w:t>
      </w:r>
    </w:p>
    <w:p w14:paraId="50669B57" w14:textId="77777777" w:rsidR="00741CCE" w:rsidRPr="00BE496F" w:rsidRDefault="00741CCE">
      <w:pPr>
        <w:rPr>
          <w:iCs/>
          <w:szCs w:val="22"/>
          <w:u w:val="single"/>
          <w:lang w:val="fr-FR"/>
        </w:rPr>
      </w:pPr>
    </w:p>
    <w:p w14:paraId="0B624661" w14:textId="77777777" w:rsidR="00741CCE" w:rsidRPr="00BE496F" w:rsidRDefault="007A43A0">
      <w:pPr>
        <w:rPr>
          <w:szCs w:val="22"/>
          <w:lang w:val="fr-FR"/>
        </w:rPr>
      </w:pPr>
      <w:bookmarkStart w:id="1" w:name="_Hlk73552585"/>
      <w:r w:rsidRPr="00BE496F">
        <w:rPr>
          <w:szCs w:val="22"/>
          <w:u w:val="single"/>
          <w:lang w:val="fr-FR"/>
        </w:rPr>
        <w:t>Místní zástupci a kontaktní údaje pro hlášení podezření na nežádoucí účinky:</w:t>
      </w:r>
    </w:p>
    <w:bookmarkEnd w:id="1"/>
    <w:p w14:paraId="5432AEAF" w14:textId="77777777" w:rsidR="00741CCE" w:rsidRPr="00BE496F" w:rsidRDefault="007A43A0">
      <w:pPr>
        <w:rPr>
          <w:bCs/>
          <w:szCs w:val="22"/>
          <w:lang w:val="fr-FR"/>
        </w:rPr>
      </w:pPr>
      <w:r w:rsidRPr="00BE496F">
        <w:rPr>
          <w:bCs/>
          <w:szCs w:val="22"/>
          <w:lang w:val="fr-FR"/>
        </w:rPr>
        <w:t>KRKA ČR, s.r.o., Sokolovská 192/79; 186 00 Praha 8 – Karlín; tel.: +420 221 115 150</w:t>
      </w:r>
    </w:p>
    <w:p w14:paraId="3764594D" w14:textId="77777777" w:rsidR="00741CCE" w:rsidRPr="00BE496F" w:rsidRDefault="00741CCE">
      <w:pPr>
        <w:rPr>
          <w:szCs w:val="22"/>
          <w:lang w:val="fr-FR"/>
        </w:rPr>
      </w:pPr>
    </w:p>
    <w:p w14:paraId="1FC29DC4" w14:textId="77777777" w:rsidR="00741CCE" w:rsidRPr="00BE496F" w:rsidRDefault="007A43A0">
      <w:pPr>
        <w:rPr>
          <w:bCs/>
          <w:szCs w:val="22"/>
          <w:lang w:val="fr-FR"/>
        </w:rPr>
      </w:pPr>
      <w:r w:rsidRPr="00BE496F">
        <w:rPr>
          <w:szCs w:val="22"/>
          <w:lang w:val="fr-FR"/>
        </w:rPr>
        <w:t xml:space="preserve">Pokud chcete získat informace o tomto veterinárním léčivém přípravku, kontaktujte prosím příslušného místního zástupce držitele rozhodnutí o registraci. </w:t>
      </w:r>
    </w:p>
    <w:p w14:paraId="082B23ED" w14:textId="77777777" w:rsidR="00741CCE" w:rsidRPr="00BE496F" w:rsidRDefault="00741CCE">
      <w:pPr>
        <w:rPr>
          <w:szCs w:val="22"/>
          <w:lang w:val="fr-FR"/>
        </w:rPr>
      </w:pPr>
    </w:p>
    <w:p w14:paraId="7A0DE5A7" w14:textId="77777777" w:rsidR="00741CCE" w:rsidRPr="00BE496F" w:rsidRDefault="00741CCE">
      <w:pPr>
        <w:rPr>
          <w:szCs w:val="22"/>
          <w:lang w:val="fr-FR"/>
        </w:rPr>
      </w:pPr>
    </w:p>
    <w:p w14:paraId="02303E78" w14:textId="77777777" w:rsidR="00741CCE" w:rsidRPr="00BE496F" w:rsidRDefault="007F4E7A">
      <w:pPr>
        <w:rPr>
          <w:b/>
          <w:szCs w:val="22"/>
          <w:lang w:val="fr-FR"/>
        </w:rPr>
      </w:pPr>
      <w:r w:rsidRPr="00BE496F">
        <w:rPr>
          <w:b/>
          <w:szCs w:val="22"/>
          <w:lang w:val="fr-FR"/>
        </w:rPr>
        <w:t>17.</w:t>
      </w:r>
      <w:r w:rsidRPr="00BE496F">
        <w:rPr>
          <w:b/>
          <w:szCs w:val="22"/>
          <w:lang w:val="fr-FR"/>
        </w:rPr>
        <w:tab/>
        <w:t>Další informace</w:t>
      </w:r>
    </w:p>
    <w:p w14:paraId="0FD92C62" w14:textId="77777777" w:rsidR="0082068F" w:rsidRPr="00BE496F" w:rsidRDefault="0082068F">
      <w:pPr>
        <w:rPr>
          <w:b/>
          <w:szCs w:val="22"/>
          <w:lang w:val="fr-FR"/>
        </w:rPr>
      </w:pPr>
    </w:p>
    <w:p w14:paraId="1E139DB2" w14:textId="52002A9C" w:rsidR="00741CCE" w:rsidRPr="00BE496F" w:rsidRDefault="007F4E7A">
      <w:pPr>
        <w:rPr>
          <w:lang w:val="fr-FR"/>
        </w:rPr>
      </w:pPr>
      <w:r w:rsidRPr="00BE496F">
        <w:rPr>
          <w:szCs w:val="22"/>
          <w:lang w:val="fr-FR"/>
        </w:rPr>
        <w:t>Přípravek s indikačním omezením.</w:t>
      </w:r>
      <w:bookmarkStart w:id="2" w:name="_GoBack"/>
      <w:bookmarkEnd w:id="2"/>
    </w:p>
    <w:sectPr w:rsidR="00741CCE" w:rsidRPr="00BE49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4798F" w14:textId="77777777" w:rsidR="00771485" w:rsidRDefault="00771485">
      <w:pPr>
        <w:spacing w:line="240" w:lineRule="auto"/>
      </w:pPr>
      <w:r>
        <w:separator/>
      </w:r>
    </w:p>
  </w:endnote>
  <w:endnote w:type="continuationSeparator" w:id="0">
    <w:p w14:paraId="5B21C0DB" w14:textId="77777777" w:rsidR="00771485" w:rsidRDefault="00771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37B8F" w14:textId="77777777" w:rsidR="00BC1BFE" w:rsidRDefault="00BC1B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B12D" w14:textId="77777777" w:rsidR="00741CCE" w:rsidRDefault="007A43A0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4</w:t>
    </w:r>
    <w:r>
      <w:rPr>
        <w:rStyle w:val="slostrnky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ABAB" w14:textId="77777777" w:rsidR="00741CCE" w:rsidRDefault="007A43A0">
    <w:pPr>
      <w:pStyle w:val="Zp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21F24" w14:textId="77777777" w:rsidR="00771485" w:rsidRDefault="00771485">
      <w:pPr>
        <w:spacing w:line="240" w:lineRule="auto"/>
      </w:pPr>
      <w:r>
        <w:separator/>
      </w:r>
    </w:p>
  </w:footnote>
  <w:footnote w:type="continuationSeparator" w:id="0">
    <w:p w14:paraId="57713E27" w14:textId="77777777" w:rsidR="00771485" w:rsidRDefault="00771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9950B" w14:textId="77777777" w:rsidR="00BC1BFE" w:rsidRDefault="00BC1B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BD1B2" w14:textId="77777777" w:rsidR="00BC1BFE" w:rsidRDefault="00BC1BF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243A0" w14:textId="77777777" w:rsidR="00741CCE" w:rsidRDefault="00741CCE">
    <w:pPr>
      <w:pStyle w:val="Zhlav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C3C1E"/>
    <w:multiLevelType w:val="hybridMultilevel"/>
    <w:tmpl w:val="BCC6941C"/>
    <w:lvl w:ilvl="0" w:tplc="4D226FA6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95A8E3C0">
      <w:start w:val="1"/>
      <w:numFmt w:val="lowerLetter"/>
      <w:lvlText w:val="%2."/>
      <w:lvlJc w:val="left"/>
      <w:pPr>
        <w:ind w:left="1440" w:hanging="360"/>
      </w:pPr>
    </w:lvl>
    <w:lvl w:ilvl="2" w:tplc="E01E7A80">
      <w:start w:val="1"/>
      <w:numFmt w:val="lowerRoman"/>
      <w:lvlText w:val="%3."/>
      <w:lvlJc w:val="right"/>
      <w:pPr>
        <w:ind w:left="2160" w:hanging="180"/>
      </w:pPr>
    </w:lvl>
    <w:lvl w:ilvl="3" w:tplc="1B0CF5B2">
      <w:start w:val="1"/>
      <w:numFmt w:val="decimal"/>
      <w:lvlText w:val="%4."/>
      <w:lvlJc w:val="left"/>
      <w:pPr>
        <w:ind w:left="2880" w:hanging="360"/>
      </w:pPr>
    </w:lvl>
    <w:lvl w:ilvl="4" w:tplc="5128BD4E">
      <w:start w:val="1"/>
      <w:numFmt w:val="lowerLetter"/>
      <w:lvlText w:val="%5."/>
      <w:lvlJc w:val="left"/>
      <w:pPr>
        <w:ind w:left="3600" w:hanging="360"/>
      </w:pPr>
    </w:lvl>
    <w:lvl w:ilvl="5" w:tplc="E424CDB0">
      <w:start w:val="1"/>
      <w:numFmt w:val="lowerRoman"/>
      <w:lvlText w:val="%6."/>
      <w:lvlJc w:val="right"/>
      <w:pPr>
        <w:ind w:left="4320" w:hanging="180"/>
      </w:pPr>
    </w:lvl>
    <w:lvl w:ilvl="6" w:tplc="51D48E1C">
      <w:start w:val="1"/>
      <w:numFmt w:val="decimal"/>
      <w:lvlText w:val="%7."/>
      <w:lvlJc w:val="left"/>
      <w:pPr>
        <w:ind w:left="5040" w:hanging="360"/>
      </w:pPr>
    </w:lvl>
    <w:lvl w:ilvl="7" w:tplc="6F5CC01E">
      <w:start w:val="1"/>
      <w:numFmt w:val="lowerLetter"/>
      <w:lvlText w:val="%8."/>
      <w:lvlJc w:val="left"/>
      <w:pPr>
        <w:ind w:left="5760" w:hanging="360"/>
      </w:pPr>
    </w:lvl>
    <w:lvl w:ilvl="8" w:tplc="DDBADAE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3"/>
  </w:num>
  <w:num w:numId="7">
    <w:abstractNumId w:val="8"/>
  </w:num>
  <w:num w:numId="8">
    <w:abstractNumId w:val="10"/>
  </w:num>
  <w:num w:numId="9">
    <w:abstractNumId w:val="23"/>
  </w:num>
  <w:num w:numId="10">
    <w:abstractNumId w:val="1"/>
  </w:num>
  <w:num w:numId="11">
    <w:abstractNumId w:val="20"/>
  </w:num>
  <w:num w:numId="12">
    <w:abstractNumId w:val="9"/>
  </w:num>
  <w:num w:numId="13">
    <w:abstractNumId w:val="6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1"/>
  </w:num>
  <w:num w:numId="18">
    <w:abstractNumId w:val="12"/>
  </w:num>
  <w:num w:numId="19">
    <w:abstractNumId w:val="24"/>
  </w:num>
  <w:num w:numId="20">
    <w:abstractNumId w:val="16"/>
  </w:num>
  <w:num w:numId="21">
    <w:abstractNumId w:val="22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41CCE"/>
    <w:rsid w:val="000011C0"/>
    <w:rsid w:val="00010EF2"/>
    <w:rsid w:val="00040019"/>
    <w:rsid w:val="0008247B"/>
    <w:rsid w:val="000864DA"/>
    <w:rsid w:val="000C5395"/>
    <w:rsid w:val="00100421"/>
    <w:rsid w:val="00190DB5"/>
    <w:rsid w:val="00205989"/>
    <w:rsid w:val="002A6391"/>
    <w:rsid w:val="002F36F2"/>
    <w:rsid w:val="00325F48"/>
    <w:rsid w:val="003C0F7F"/>
    <w:rsid w:val="003E67FF"/>
    <w:rsid w:val="00414B83"/>
    <w:rsid w:val="00451565"/>
    <w:rsid w:val="004D62A5"/>
    <w:rsid w:val="004E060C"/>
    <w:rsid w:val="00502D80"/>
    <w:rsid w:val="00504083"/>
    <w:rsid w:val="00535A31"/>
    <w:rsid w:val="00575340"/>
    <w:rsid w:val="00590A1F"/>
    <w:rsid w:val="005B3A54"/>
    <w:rsid w:val="0062583B"/>
    <w:rsid w:val="006B6579"/>
    <w:rsid w:val="00741CCE"/>
    <w:rsid w:val="00753AA3"/>
    <w:rsid w:val="00771485"/>
    <w:rsid w:val="007A43A0"/>
    <w:rsid w:val="007E396F"/>
    <w:rsid w:val="007F4E7A"/>
    <w:rsid w:val="0082068F"/>
    <w:rsid w:val="0082235B"/>
    <w:rsid w:val="009A40A9"/>
    <w:rsid w:val="00A06EA4"/>
    <w:rsid w:val="00AA2182"/>
    <w:rsid w:val="00AB63DF"/>
    <w:rsid w:val="00BC1BFE"/>
    <w:rsid w:val="00BE496F"/>
    <w:rsid w:val="00BE53F3"/>
    <w:rsid w:val="00C106BD"/>
    <w:rsid w:val="00C417F6"/>
    <w:rsid w:val="00CC0E6B"/>
    <w:rsid w:val="00CE57B9"/>
    <w:rsid w:val="00D35F47"/>
    <w:rsid w:val="00D72F7B"/>
    <w:rsid w:val="00DA557E"/>
    <w:rsid w:val="00DB1135"/>
    <w:rsid w:val="00E073BF"/>
    <w:rsid w:val="00E1118E"/>
    <w:rsid w:val="00E26BDE"/>
    <w:rsid w:val="00E50522"/>
    <w:rsid w:val="00E647A8"/>
    <w:rsid w:val="00FC4751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C19C9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sk-SK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before="240" w:after="60"/>
      <w:outlineLvl w:val="1"/>
    </w:pPr>
    <w:rPr>
      <w:rFonts w:ascii="Helvetica" w:hAnsi="Helvetica"/>
      <w:b/>
      <w:i/>
      <w:sz w:val="24"/>
      <w:lang w:val="sk-SK"/>
    </w:rPr>
  </w:style>
  <w:style w:type="paragraph" w:styleId="Nadpis3">
    <w:name w:val="heading 3"/>
    <w:basedOn w:val="Normln"/>
    <w:next w:val="Normln"/>
    <w:link w:val="Nadpis3Char"/>
    <w:semiHidden/>
    <w:unhideWhenUsed/>
    <w:qFormat/>
    <w:pPr>
      <w:keepNext/>
      <w:keepLines/>
      <w:spacing w:before="120" w:after="80"/>
      <w:outlineLvl w:val="2"/>
    </w:pPr>
    <w:rPr>
      <w:b/>
      <w:kern w:val="28"/>
      <w:sz w:val="24"/>
      <w:lang w:val="sk-SK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tabs>
        <w:tab w:val="clear" w:pos="567"/>
      </w:tabs>
      <w:outlineLvl w:val="3"/>
    </w:pPr>
    <w:rPr>
      <w:b/>
      <w:noProof/>
      <w:lang w:val="sk-SK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tabs>
        <w:tab w:val="clear" w:pos="567"/>
      </w:tabs>
      <w:jc w:val="center"/>
      <w:outlineLvl w:val="4"/>
    </w:pPr>
    <w:rPr>
      <w:b/>
      <w:noProof/>
      <w:lang w:val="sk-SK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tabs>
        <w:tab w:val="left" w:pos="-720"/>
        <w:tab w:val="left" w:pos="4536"/>
      </w:tabs>
      <w:suppressAutoHyphens/>
      <w:outlineLvl w:val="5"/>
    </w:pPr>
    <w:rPr>
      <w:i/>
      <w:lang w:val="sk-SK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sk-SK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tabs>
        <w:tab w:val="clear" w:pos="567"/>
      </w:tabs>
      <w:ind w:right="-318"/>
      <w:outlineLvl w:val="7"/>
    </w:pPr>
    <w:rPr>
      <w:b/>
      <w:lang w:val="sk-SK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tabs>
        <w:tab w:val="clear" w:pos="567"/>
      </w:tabs>
      <w:ind w:left="2268" w:right="1711" w:hanging="567"/>
      <w:outlineLvl w:val="8"/>
    </w:pPr>
    <w:rPr>
      <w:b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e">
    <w:name w:val="annotation text"/>
    <w:aliases w:val="Kommentarer"/>
    <w:basedOn w:val="Normln"/>
    <w:link w:val="TextkomenteChar"/>
    <w:uiPriority w:val="99"/>
    <w:semiHidden/>
    <w:qFormat/>
    <w:rPr>
      <w:sz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EMEAEnBodyText">
    <w:name w:val="EMEA En Body Text"/>
    <w:basedOn w:val="Normln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">
    <w:name w:val="annotation reference"/>
    <w:qFormat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TextkomenteChar">
    <w:name w:val="Text komentáře Char"/>
    <w:aliases w:val="Kommentarer Char"/>
    <w:link w:val="Textkomente"/>
    <w:uiPriority w:val="99"/>
    <w:semiHidden/>
    <w:qFormat/>
    <w:rPr>
      <w:rFonts w:eastAsia="Times New Roman"/>
      <w:lang w:eastAsia="en-US"/>
    </w:rPr>
  </w:style>
  <w:style w:type="character" w:customStyle="1" w:styleId="PedmtkomenteChar">
    <w:name w:val="Předmět komentáře Char"/>
    <w:link w:val="Pedmtkomente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eastAsia="Times New Roman"/>
      <w:sz w:val="22"/>
      <w:lang w:eastAsia="en-US"/>
    </w:rPr>
  </w:style>
  <w:style w:type="character" w:customStyle="1" w:styleId="Nadpis1Char">
    <w:name w:val="Nadpis 1 Char"/>
    <w:link w:val="Nadpis1"/>
    <w:rPr>
      <w:rFonts w:eastAsia="Times New Roman"/>
      <w:b/>
      <w:caps/>
      <w:sz w:val="26"/>
      <w:lang w:val="sk-SK" w:eastAsia="en-US"/>
    </w:rPr>
  </w:style>
  <w:style w:type="character" w:customStyle="1" w:styleId="Nadpis2Char">
    <w:name w:val="Nadpis 2 Char"/>
    <w:link w:val="Nadpis2"/>
    <w:semiHidden/>
    <w:rPr>
      <w:rFonts w:ascii="Helvetica" w:eastAsia="Times New Roman" w:hAnsi="Helvetica"/>
      <w:b/>
      <w:i/>
      <w:sz w:val="24"/>
      <w:lang w:val="sk-SK" w:eastAsia="en-US"/>
    </w:rPr>
  </w:style>
  <w:style w:type="character" w:customStyle="1" w:styleId="Nadpis3Char">
    <w:name w:val="Nadpis 3 Char"/>
    <w:link w:val="Nadpis3"/>
    <w:semiHidden/>
    <w:rPr>
      <w:rFonts w:eastAsia="Times New Roman"/>
      <w:b/>
      <w:kern w:val="28"/>
      <w:sz w:val="24"/>
      <w:lang w:val="sk-SK" w:eastAsia="en-US"/>
    </w:rPr>
  </w:style>
  <w:style w:type="character" w:customStyle="1" w:styleId="Nadpis4Char">
    <w:name w:val="Nadpis 4 Char"/>
    <w:link w:val="Nadpis4"/>
    <w:semiHidden/>
    <w:rPr>
      <w:rFonts w:eastAsia="Times New Roman"/>
      <w:b/>
      <w:noProof/>
      <w:sz w:val="22"/>
      <w:lang w:val="sk-SK" w:eastAsia="en-US"/>
    </w:rPr>
  </w:style>
  <w:style w:type="character" w:customStyle="1" w:styleId="Nadpis5Char">
    <w:name w:val="Nadpis 5 Char"/>
    <w:link w:val="Nadpis5"/>
    <w:semiHidden/>
    <w:rPr>
      <w:rFonts w:eastAsia="Times New Roman"/>
      <w:b/>
      <w:noProof/>
      <w:sz w:val="22"/>
      <w:lang w:val="sk-SK" w:eastAsia="en-US"/>
    </w:rPr>
  </w:style>
  <w:style w:type="character" w:customStyle="1" w:styleId="Nadpis6Char">
    <w:name w:val="Nadpis 6 Char"/>
    <w:link w:val="Nadpis6"/>
    <w:semiHidden/>
    <w:rPr>
      <w:rFonts w:eastAsia="Times New Roman"/>
      <w:i/>
      <w:sz w:val="22"/>
      <w:lang w:val="sk-SK" w:eastAsia="en-US"/>
    </w:rPr>
  </w:style>
  <w:style w:type="character" w:customStyle="1" w:styleId="Nadpis7Char">
    <w:name w:val="Nadpis 7 Char"/>
    <w:link w:val="Nadpis7"/>
    <w:semiHidden/>
    <w:rPr>
      <w:rFonts w:eastAsia="Times New Roman"/>
      <w:i/>
      <w:sz w:val="22"/>
      <w:lang w:val="sk-SK" w:eastAsia="en-US"/>
    </w:rPr>
  </w:style>
  <w:style w:type="character" w:customStyle="1" w:styleId="Nadpis8Char">
    <w:name w:val="Nadpis 8 Char"/>
    <w:link w:val="Nadpis8"/>
    <w:semiHidden/>
    <w:rPr>
      <w:rFonts w:eastAsia="Times New Roman"/>
      <w:b/>
      <w:sz w:val="22"/>
      <w:lang w:val="sk-SK" w:eastAsia="en-US"/>
    </w:rPr>
  </w:style>
  <w:style w:type="character" w:customStyle="1" w:styleId="Nadpis9Char">
    <w:name w:val="Nadpis 9 Char"/>
    <w:link w:val="Nadpis9"/>
    <w:semiHidden/>
    <w:rPr>
      <w:rFonts w:eastAsia="Times New Roman"/>
      <w:b/>
      <w:sz w:val="22"/>
      <w:lang w:val="sk-SK" w:eastAsia="en-US"/>
    </w:rPr>
  </w:style>
  <w:style w:type="character" w:styleId="Sledovanodkaz">
    <w:name w:val="FollowedHyperlink"/>
    <w:unhideWhenUsed/>
    <w:rPr>
      <w:color w:val="800080"/>
      <w:u w:val="single"/>
    </w:rPr>
  </w:style>
  <w:style w:type="paragraph" w:customStyle="1" w:styleId="msonormal0">
    <w:name w:val="msonormal"/>
    <w:basedOn w:val="Normln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l-SI" w:eastAsia="sl-SI"/>
    </w:rPr>
  </w:style>
  <w:style w:type="paragraph" w:styleId="Obsah9">
    <w:name w:val="toc 9"/>
    <w:basedOn w:val="Normln"/>
    <w:next w:val="Normln"/>
    <w:autoRedefine/>
    <w:unhideWhenUsed/>
    <w:pPr>
      <w:tabs>
        <w:tab w:val="clear" w:pos="567"/>
      </w:tabs>
      <w:ind w:left="1760"/>
    </w:pPr>
    <w:rPr>
      <w:lang w:val="sk-SK"/>
    </w:rPr>
  </w:style>
  <w:style w:type="paragraph" w:styleId="Textpoznpodarou">
    <w:name w:val="footnote text"/>
    <w:basedOn w:val="Normln"/>
    <w:link w:val="TextpoznpodarouChar"/>
    <w:unhideWhenUsed/>
    <w:pPr>
      <w:tabs>
        <w:tab w:val="clear" w:pos="567"/>
      </w:tabs>
      <w:spacing w:line="240" w:lineRule="auto"/>
      <w:jc w:val="both"/>
    </w:pPr>
    <w:rPr>
      <w:sz w:val="20"/>
      <w:lang w:val="sk-SK"/>
    </w:rPr>
  </w:style>
  <w:style w:type="character" w:customStyle="1" w:styleId="TextpoznpodarouChar">
    <w:name w:val="Text pozn. pod čarou Char"/>
    <w:link w:val="Textpoznpodarou"/>
    <w:rPr>
      <w:rFonts w:eastAsia="Times New Roman"/>
      <w:lang w:val="sk-SK" w:eastAsia="en-US"/>
    </w:rPr>
  </w:style>
  <w:style w:type="character" w:customStyle="1" w:styleId="PripombabesediloZnak1">
    <w:name w:val="Pripomba – besedilo Znak1"/>
    <w:aliases w:val="Kommentarer Znak1"/>
    <w:uiPriority w:val="99"/>
    <w:semiHidden/>
    <w:rPr>
      <w:rFonts w:eastAsia="Times New Roman"/>
      <w:lang w:val="sk-SK" w:eastAsia="en-US"/>
    </w:rPr>
  </w:style>
  <w:style w:type="character" w:customStyle="1" w:styleId="ZhlavChar">
    <w:name w:val="Záhlaví Char"/>
    <w:link w:val="Zhlav"/>
    <w:rPr>
      <w:rFonts w:ascii="Arial" w:eastAsia="Times New Roman" w:hAnsi="Arial"/>
      <w:lang w:eastAsia="en-US"/>
    </w:rPr>
  </w:style>
  <w:style w:type="character" w:customStyle="1" w:styleId="ZpatChar">
    <w:name w:val="Zápatí Char"/>
    <w:link w:val="Zpat"/>
    <w:rPr>
      <w:rFonts w:ascii="Arial" w:eastAsia="Times New Roman" w:hAnsi="Arial"/>
      <w:noProof/>
      <w:sz w:val="16"/>
      <w:lang w:eastAsia="en-US"/>
    </w:rPr>
  </w:style>
  <w:style w:type="paragraph" w:styleId="Textvysvtlivek">
    <w:name w:val="endnote text"/>
    <w:basedOn w:val="Normln"/>
    <w:link w:val="TextvysvtlivekChar"/>
    <w:unhideWhenUsed/>
    <w:pPr>
      <w:spacing w:line="240" w:lineRule="auto"/>
    </w:pPr>
    <w:rPr>
      <w:lang w:val="sk-SK"/>
    </w:rPr>
  </w:style>
  <w:style w:type="character" w:customStyle="1" w:styleId="TextvysvtlivekChar">
    <w:name w:val="Text vysvětlivek Char"/>
    <w:link w:val="Textvysvtlivek"/>
    <w:rPr>
      <w:rFonts w:eastAsia="Times New Roman"/>
      <w:sz w:val="22"/>
      <w:lang w:val="sk-SK" w:eastAsia="en-US"/>
    </w:rPr>
  </w:style>
  <w:style w:type="character" w:customStyle="1" w:styleId="ZkladntextChar">
    <w:name w:val="Základní text Char"/>
    <w:link w:val="Zkladntext"/>
    <w:rPr>
      <w:rFonts w:eastAsia="Times New Roman"/>
      <w:i/>
      <w:color w:val="008000"/>
      <w:sz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character" w:customStyle="1" w:styleId="ZkladntextodsazenChar">
    <w:name w:val="Základní text odsazený Char"/>
    <w:link w:val="Zkladntextodsazen"/>
    <w:rPr>
      <w:rFonts w:eastAsia="Times New Roman"/>
      <w:b/>
      <w:sz w:val="22"/>
      <w:lang w:val="sk-SK" w:eastAsia="en-US"/>
    </w:rPr>
  </w:style>
  <w:style w:type="paragraph" w:styleId="Zkladntext2">
    <w:name w:val="Body Text 2"/>
    <w:basedOn w:val="Normln"/>
    <w:link w:val="Zkladntext2Char"/>
    <w:unhideWhenUsed/>
    <w:pPr>
      <w:tabs>
        <w:tab w:val="clear" w:pos="567"/>
      </w:tabs>
      <w:spacing w:line="240" w:lineRule="auto"/>
    </w:pPr>
    <w:rPr>
      <w:i/>
      <w:color w:val="008000"/>
      <w:lang w:val="sk-SK"/>
    </w:rPr>
  </w:style>
  <w:style w:type="character" w:customStyle="1" w:styleId="Zkladntext2Char">
    <w:name w:val="Základní text 2 Char"/>
    <w:link w:val="Zkladntext2"/>
    <w:rPr>
      <w:rFonts w:eastAsia="Times New Roman"/>
      <w:i/>
      <w:color w:val="008000"/>
      <w:sz w:val="22"/>
      <w:lang w:val="sk-SK" w:eastAsia="en-US"/>
    </w:rPr>
  </w:style>
  <w:style w:type="paragraph" w:styleId="Zkladntext3">
    <w:name w:val="Body Text 3"/>
    <w:basedOn w:val="Normln"/>
    <w:link w:val="Zkladntext3Char"/>
    <w:unhideWhenUsed/>
    <w:pPr>
      <w:ind w:right="113"/>
      <w:jc w:val="both"/>
    </w:pPr>
    <w:rPr>
      <w:b/>
      <w:lang w:val="sk-SK"/>
    </w:rPr>
  </w:style>
  <w:style w:type="character" w:customStyle="1" w:styleId="Zkladntext3Char">
    <w:name w:val="Základní text 3 Char"/>
    <w:link w:val="Zkladntext3"/>
    <w:rPr>
      <w:rFonts w:eastAsia="Times New Roman"/>
      <w:b/>
      <w:sz w:val="22"/>
      <w:lang w:val="sk-SK" w:eastAsia="en-US"/>
    </w:rPr>
  </w:style>
  <w:style w:type="paragraph" w:styleId="Zkladntextodsazen3">
    <w:name w:val="Body Text Indent 3"/>
    <w:basedOn w:val="Normln"/>
    <w:link w:val="Zkladntextodsazen3Char"/>
    <w:unhideWhenUsed/>
    <w:pPr>
      <w:spacing w:line="240" w:lineRule="auto"/>
      <w:ind w:left="567" w:hanging="567"/>
    </w:pPr>
    <w:rPr>
      <w:lang w:val="sk-SK"/>
    </w:rPr>
  </w:style>
  <w:style w:type="character" w:customStyle="1" w:styleId="Zkladntextodsazen3Char">
    <w:name w:val="Základní text odsazený 3 Char"/>
    <w:link w:val="Zkladntextodsazen3"/>
    <w:rPr>
      <w:rFonts w:eastAsia="Times New Roman"/>
      <w:sz w:val="22"/>
      <w:lang w:val="sk-SK" w:eastAsia="en-US"/>
    </w:rPr>
  </w:style>
  <w:style w:type="paragraph" w:styleId="Textvbloku">
    <w:name w:val="Block Text"/>
    <w:basedOn w:val="Normln"/>
    <w:unhideWhenUsed/>
    <w:pPr>
      <w:tabs>
        <w:tab w:val="clear" w:pos="567"/>
      </w:tabs>
      <w:ind w:left="2268" w:right="1711" w:hanging="567"/>
    </w:pPr>
    <w:rPr>
      <w:b/>
      <w:lang w:val="sk-SK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20">
    <w:name w:val="Body Text 2_0"/>
    <w:basedOn w:val="Normln"/>
    <w:pPr>
      <w:ind w:left="567" w:hanging="567"/>
    </w:pPr>
    <w:rPr>
      <w:b/>
      <w:lang w:val="sk-SK"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  <w:lang w:val="sk-SK"/>
    </w:rPr>
  </w:style>
  <w:style w:type="paragraph" w:customStyle="1" w:styleId="AHeader1">
    <w:name w:val="AHeader 1"/>
    <w:basedOn w:val="Normln"/>
    <w:pPr>
      <w:numPr>
        <w:numId w:val="2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val="sk-SK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sk-SK" w:eastAsia="it-IT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sk-SK" w:eastAsia="zh-CN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3">
    <w:name w:val="Style3"/>
    <w:basedOn w:val="Normln"/>
    <w:qFormat/>
    <w:pPr>
      <w:numPr>
        <w:numId w:val="28"/>
      </w:numPr>
      <w:tabs>
        <w:tab w:val="clear" w:pos="567"/>
      </w:tabs>
      <w:spacing w:line="240" w:lineRule="auto"/>
      <w:jc w:val="center"/>
    </w:pPr>
    <w:rPr>
      <w:b/>
      <w:szCs w:val="22"/>
      <w:lang w:val="sk-SK"/>
    </w:rPr>
  </w:style>
  <w:style w:type="paragraph" w:customStyle="1" w:styleId="Style4">
    <w:name w:val="Style4"/>
    <w:basedOn w:val="Normln"/>
    <w:qFormat/>
    <w:rPr>
      <w:szCs w:val="22"/>
      <w:lang w:val="sk-SK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  <w:lang w:val="sk-SK"/>
    </w:rPr>
  </w:style>
  <w:style w:type="character" w:styleId="Znakapoznpodarou">
    <w:name w:val="footnote reference"/>
    <w:unhideWhenUsed/>
    <w:rPr>
      <w:vertAlign w:val="superscript"/>
    </w:rPr>
  </w:style>
  <w:style w:type="character" w:styleId="Odkaznavysvtlivky">
    <w:name w:val="endnote reference"/>
    <w:unhideWhenUsed/>
    <w:rPr>
      <w:vertAlign w:val="superscript"/>
    </w:rPr>
  </w:style>
  <w:style w:type="character" w:customStyle="1" w:styleId="UnresolvedMention1">
    <w:name w:val="Unresolved Mention1"/>
    <w:uiPriority w:val="99"/>
    <w:semiHidden/>
    <w:rPr>
      <w:color w:val="605E5C"/>
      <w:shd w:val="clear" w:color="auto" w:fill="E1DFDD"/>
    </w:rPr>
  </w:style>
  <w:style w:type="table" w:styleId="Mkatabulky">
    <w:name w:val="Table Grid"/>
    <w:basedOn w:val="Normlntabulka"/>
    <w:rPr>
      <w:rFonts w:eastAsia="Times New Roman"/>
      <w:lang w:val="sk-SK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Agencyblack1">
    <w:name w:val="Table grid (Agency) black1"/>
    <w:basedOn w:val="Normlntabulka"/>
    <w:semiHidden/>
    <w:rPr>
      <w:rFonts w:ascii="Verdana" w:hAnsi="Verdana"/>
      <w:sz w:val="18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">
    <w:name w:val="Bullets (Agency)"/>
    <w:pPr>
      <w:numPr>
        <w:numId w:val="30"/>
      </w:numPr>
    </w:pPr>
  </w:style>
  <w:style w:type="table" w:customStyle="1" w:styleId="TablegridAgencyblack2">
    <w:name w:val="Table grid (Agency) black2"/>
    <w:basedOn w:val="Normlntabulka"/>
    <w:semiHidden/>
    <w:rPr>
      <w:rFonts w:ascii="Verdana" w:hAnsi="Verdana"/>
      <w:sz w:val="18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1">
    <w:name w:val="Bullets (Agency)1"/>
  </w:style>
  <w:style w:type="character" w:customStyle="1" w:styleId="longtext">
    <w:name w:val="long_text"/>
  </w:style>
  <w:style w:type="paragraph" w:customStyle="1" w:styleId="Geenafstand1">
    <w:name w:val="Geen afstand1"/>
    <w:uiPriority w:val="1"/>
    <w:qFormat/>
    <w:pPr>
      <w:tabs>
        <w:tab w:val="left" w:pos="567"/>
      </w:tabs>
    </w:pPr>
    <w:rPr>
      <w:rFonts w:eastAsia="Times New Roman"/>
      <w:sz w:val="24"/>
      <w:lang w:val="en-GB" w:eastAsia="en-US"/>
    </w:rPr>
  </w:style>
  <w:style w:type="paragraph" w:customStyle="1" w:styleId="Bullet">
    <w:name w:val="Bullet"/>
    <w:basedOn w:val="Normln"/>
    <w:pPr>
      <w:numPr>
        <w:numId w:val="31"/>
      </w:numPr>
      <w:spacing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1181</Words>
  <Characters>6971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Hqrdtemplateclean_en</vt:lpstr>
      <vt:lpstr>Hqrdtemplatecleanen v10.1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Šťastná Hana</dc:creator>
  <cp:lastModifiedBy>Nepejchalová Leona</cp:lastModifiedBy>
  <cp:revision>28</cp:revision>
  <cp:lastPrinted>2026-05-04T16:00:00Z</cp:lastPrinted>
  <dcterms:created xsi:type="dcterms:W3CDTF">2025-12-10T06:16:00Z</dcterms:created>
  <dcterms:modified xsi:type="dcterms:W3CDTF">2026-05-04T16:02:00Z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