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0C5E" w14:textId="489D8C95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5F2710DC" w14:textId="78BEB4DD" w:rsidR="005D32B6" w:rsidRDefault="005D32B6" w:rsidP="00EC4EBA">
      <w:pPr>
        <w:tabs>
          <w:tab w:val="clear" w:pos="567"/>
        </w:tabs>
        <w:spacing w:line="240" w:lineRule="auto"/>
        <w:rPr>
          <w:szCs w:val="22"/>
        </w:rPr>
      </w:pPr>
    </w:p>
    <w:p w14:paraId="472D8689" w14:textId="388F002D" w:rsidR="005D32B6" w:rsidRDefault="005D32B6" w:rsidP="00EC4EBA">
      <w:pPr>
        <w:tabs>
          <w:tab w:val="clear" w:pos="567"/>
        </w:tabs>
        <w:spacing w:line="240" w:lineRule="auto"/>
        <w:rPr>
          <w:szCs w:val="22"/>
        </w:rPr>
      </w:pPr>
    </w:p>
    <w:p w14:paraId="61067FFC" w14:textId="5168C4E1" w:rsidR="005D32B6" w:rsidRDefault="005D32B6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B55DFE1" w14:textId="77777777" w:rsidR="005D32B6" w:rsidRPr="00B41D57" w:rsidRDefault="005D32B6" w:rsidP="00EC4EBA">
      <w:pPr>
        <w:tabs>
          <w:tab w:val="clear" w:pos="567"/>
        </w:tabs>
        <w:spacing w:line="240" w:lineRule="auto"/>
        <w:rPr>
          <w:szCs w:val="22"/>
        </w:rPr>
      </w:pPr>
    </w:p>
    <w:p w14:paraId="0F314B04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1179C43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1D29EF1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8284CE7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D1B3374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791B498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20E4BF9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709F10B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9ABF2EE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48B8DB5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25018F1B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580E797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64486868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A57951B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ACE7DA2" w14:textId="77777777" w:rsidR="003D73CE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B1DC4DC" w14:textId="77777777" w:rsidR="003D73CE" w:rsidRPr="00B41D57" w:rsidRDefault="003D73CE" w:rsidP="00EC4EBA">
      <w:pPr>
        <w:tabs>
          <w:tab w:val="clear" w:pos="567"/>
        </w:tabs>
        <w:spacing w:line="240" w:lineRule="auto"/>
        <w:rPr>
          <w:szCs w:val="22"/>
        </w:rPr>
      </w:pPr>
    </w:p>
    <w:p w14:paraId="0BCA01B1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FAF87F0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6BFEFB92" w14:textId="433185DE" w:rsidR="00EC4EBA" w:rsidRPr="00B41D57" w:rsidRDefault="0044095D" w:rsidP="005D32B6">
      <w:pPr>
        <w:pStyle w:val="Style3"/>
        <w:numPr>
          <w:ilvl w:val="0"/>
          <w:numId w:val="0"/>
        </w:numPr>
      </w:pPr>
      <w:r>
        <w:t xml:space="preserve">B. </w:t>
      </w:r>
      <w:r w:rsidR="00EC4EBA" w:rsidRPr="00B41D57">
        <w:t>PŘÍBALOVÁ INFORMACE</w:t>
      </w:r>
    </w:p>
    <w:p w14:paraId="3005F3C5" w14:textId="77777777" w:rsidR="00EC4EBA" w:rsidRPr="00B41D57" w:rsidRDefault="00EC4EBA" w:rsidP="00EC4EB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F659D69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2854C4F9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71559CD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922E30A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A6CE11A" w14:textId="77777777" w:rsidR="00EC4EBA" w:rsidRPr="003D2E53" w:rsidRDefault="00EC4EBA" w:rsidP="00EC4EBA">
      <w:pPr>
        <w:pStyle w:val="Zkladntext"/>
        <w:spacing w:before="4"/>
      </w:pPr>
      <w:proofErr w:type="spellStart"/>
      <w:r w:rsidRPr="003D2E53">
        <w:t>Karbetocin</w:t>
      </w:r>
      <w:proofErr w:type="spellEnd"/>
      <w:r w:rsidRPr="003D2E53">
        <w:t xml:space="preserve"> </w:t>
      </w:r>
      <w:proofErr w:type="spellStart"/>
      <w:r w:rsidRPr="003D2E53">
        <w:t>Bioveta</w:t>
      </w:r>
      <w:proofErr w:type="spellEnd"/>
      <w:r w:rsidRPr="003D2E53">
        <w:t xml:space="preserve"> 0,07 mg/ml injekční roztok pro skot a prasata</w:t>
      </w:r>
    </w:p>
    <w:p w14:paraId="3E04A6EB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384649B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91462FB" w14:textId="77777777" w:rsidR="00EC4EBA" w:rsidRDefault="00EC4EBA" w:rsidP="00EC4EBA">
      <w:pPr>
        <w:pStyle w:val="Zkladntext"/>
        <w:spacing w:before="1"/>
      </w:pPr>
    </w:p>
    <w:p w14:paraId="3E25F467" w14:textId="3CC8D90D" w:rsidR="00EC4EBA" w:rsidRPr="003D2E53" w:rsidRDefault="008F32D9" w:rsidP="00EC4EBA">
      <w:pPr>
        <w:pStyle w:val="Zkladntext"/>
        <w:spacing w:before="1"/>
      </w:pPr>
      <w:r>
        <w:t>Každý</w:t>
      </w:r>
      <w:r w:rsidRPr="003D2E53">
        <w:t xml:space="preserve"> </w:t>
      </w:r>
      <w:r w:rsidR="00EC4EBA" w:rsidRPr="003D2E53">
        <w:t>ml obsahuje:</w:t>
      </w:r>
    </w:p>
    <w:p w14:paraId="511DD641" w14:textId="77777777" w:rsidR="00EC4EBA" w:rsidRPr="003D2E53" w:rsidRDefault="00EC4EBA" w:rsidP="00EC4EBA">
      <w:pPr>
        <w:rPr>
          <w:rFonts w:eastAsia="Arial"/>
        </w:rPr>
      </w:pPr>
    </w:p>
    <w:p w14:paraId="00B1565B" w14:textId="77777777" w:rsidR="00EC4EBA" w:rsidRPr="003D2E53" w:rsidRDefault="00EC4EBA" w:rsidP="00EC4EBA">
      <w:pPr>
        <w:pStyle w:val="Zkladntext"/>
        <w:spacing w:line="252" w:lineRule="exact"/>
      </w:pPr>
      <w:r w:rsidRPr="003D2E53">
        <w:rPr>
          <w:u w:val="single" w:color="000000"/>
        </w:rPr>
        <w:t>Léčivá látka:</w:t>
      </w:r>
    </w:p>
    <w:p w14:paraId="2E4A9343" w14:textId="77777777" w:rsidR="00EC4EBA" w:rsidRPr="003D2E53" w:rsidRDefault="00EC4EBA" w:rsidP="00EC4EBA">
      <w:pPr>
        <w:pStyle w:val="Zkladntext"/>
        <w:tabs>
          <w:tab w:val="left" w:pos="2985"/>
        </w:tabs>
        <w:spacing w:line="252" w:lineRule="exact"/>
      </w:pPr>
      <w:proofErr w:type="spellStart"/>
      <w:r w:rsidRPr="003D2E53">
        <w:t>Carbetocinum</w:t>
      </w:r>
      <w:proofErr w:type="spellEnd"/>
      <w:r w:rsidRPr="003D2E53">
        <w:tab/>
        <w:t>0,07 mg</w:t>
      </w:r>
    </w:p>
    <w:p w14:paraId="7E003FA3" w14:textId="77777777" w:rsidR="00EC4EBA" w:rsidRPr="003D2E53" w:rsidRDefault="00EC4EBA" w:rsidP="00EC4EBA">
      <w:pPr>
        <w:spacing w:before="1"/>
        <w:rPr>
          <w:rFonts w:eastAsia="Arial"/>
        </w:rPr>
      </w:pPr>
    </w:p>
    <w:p w14:paraId="6A9654CC" w14:textId="77777777" w:rsidR="00EC4EBA" w:rsidRPr="003D2E53" w:rsidRDefault="00EC4EBA" w:rsidP="00EC4EBA">
      <w:pPr>
        <w:pStyle w:val="Zkladntext"/>
      </w:pPr>
      <w:r w:rsidRPr="003D2E53">
        <w:rPr>
          <w:u w:val="single" w:color="000000"/>
        </w:rPr>
        <w:t>Pomocné látky:</w:t>
      </w:r>
    </w:p>
    <w:p w14:paraId="24401304" w14:textId="003B8970" w:rsidR="00EC4EBA" w:rsidRPr="003D2E53" w:rsidRDefault="003B3E14" w:rsidP="00EC4EBA">
      <w:pPr>
        <w:pStyle w:val="Zkladntext"/>
        <w:spacing w:before="1"/>
      </w:pPr>
      <w:proofErr w:type="spellStart"/>
      <w:r w:rsidRPr="003B3E14">
        <w:t>Hemihydrát</w:t>
      </w:r>
      <w:proofErr w:type="spellEnd"/>
      <w:r w:rsidRPr="003B3E14">
        <w:t xml:space="preserve"> </w:t>
      </w:r>
      <w:proofErr w:type="spellStart"/>
      <w:r w:rsidRPr="003B3E14">
        <w:t>chlorbutanolu</w:t>
      </w:r>
      <w:proofErr w:type="spellEnd"/>
      <w:r w:rsidR="00EC4EBA" w:rsidRPr="003D2E53">
        <w:t xml:space="preserve"> </w:t>
      </w:r>
      <w:r w:rsidR="00EC4EBA">
        <w:t xml:space="preserve">             </w:t>
      </w:r>
      <w:r w:rsidR="00EC4EBA" w:rsidRPr="003D2E53">
        <w:t>2,00 mg</w:t>
      </w:r>
    </w:p>
    <w:p w14:paraId="4926526D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E34EE7F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Čirý bezbarvý roztok. </w:t>
      </w:r>
    </w:p>
    <w:p w14:paraId="2FAE623E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4FFBB1C6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05DFDD30" w14:textId="77777777" w:rsidR="00EC4EBA" w:rsidRDefault="00EC4EBA" w:rsidP="00EC4EBA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78352F42" w14:textId="77777777" w:rsidR="00EC4EBA" w:rsidRPr="0003190F" w:rsidRDefault="00EC4EBA" w:rsidP="00EC4EBA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3D2E53">
        <w:t>Skot (krávy), prasata (prasnice)</w:t>
      </w:r>
    </w:p>
    <w:p w14:paraId="2B62F95A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0F04CDA3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65194D2" w14:textId="77777777" w:rsidR="00EC4EBA" w:rsidRDefault="00EC4EBA" w:rsidP="00EC4EBA">
      <w:pPr>
        <w:pStyle w:val="Zkladntext"/>
        <w:spacing w:before="1"/>
        <w:rPr>
          <w:u w:val="single" w:color="000000"/>
        </w:rPr>
      </w:pPr>
    </w:p>
    <w:p w14:paraId="42C71561" w14:textId="77777777" w:rsidR="00EC4EBA" w:rsidRPr="003D2E53" w:rsidRDefault="00EC4EBA" w:rsidP="00EC4EBA">
      <w:pPr>
        <w:pStyle w:val="Zkladntext"/>
        <w:spacing w:before="1"/>
      </w:pPr>
      <w:r w:rsidRPr="003D2E53">
        <w:rPr>
          <w:u w:val="single" w:color="000000"/>
        </w:rPr>
        <w:t>Krávy:</w:t>
      </w:r>
    </w:p>
    <w:p w14:paraId="6A8C02F3" w14:textId="77777777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6"/>
        </w:tabs>
        <w:spacing w:before="1" w:line="252" w:lineRule="exact"/>
        <w:ind w:hanging="142"/>
        <w:contextualSpacing w:val="0"/>
        <w:jc w:val="both"/>
        <w:rPr>
          <w:rFonts w:eastAsia="Arial"/>
        </w:rPr>
      </w:pPr>
      <w:r w:rsidRPr="003D2E53">
        <w:t>Atonie dělohy v poporodním období</w:t>
      </w:r>
    </w:p>
    <w:p w14:paraId="185A26E1" w14:textId="77777777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6"/>
        </w:tabs>
        <w:spacing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>Retence placenty v důsledku atonie dělohy</w:t>
      </w:r>
    </w:p>
    <w:p w14:paraId="55925037" w14:textId="31431080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3"/>
        </w:tabs>
        <w:spacing w:line="252" w:lineRule="exact"/>
        <w:ind w:left="282" w:hanging="134"/>
        <w:contextualSpacing w:val="0"/>
        <w:jc w:val="both"/>
        <w:rPr>
          <w:rFonts w:eastAsia="Arial"/>
        </w:rPr>
      </w:pPr>
      <w:r w:rsidRPr="003D2E53">
        <w:t xml:space="preserve">Vyvolání </w:t>
      </w:r>
      <w:r w:rsidR="00E444C1">
        <w:t>ejekce</w:t>
      </w:r>
      <w:r w:rsidR="00E444C1" w:rsidRPr="003D2E53">
        <w:t xml:space="preserve"> </w:t>
      </w:r>
      <w:r w:rsidRPr="003D2E53">
        <w:t xml:space="preserve">mléka při agalakcii vyvolané stresem nebo při stavech vyžadujících úplné vydojení </w:t>
      </w:r>
      <w:r w:rsidR="00E444C1">
        <w:t>mléčné žlázy</w:t>
      </w:r>
    </w:p>
    <w:p w14:paraId="691C3CF2" w14:textId="77777777" w:rsidR="00EC4EBA" w:rsidRPr="003D2E53" w:rsidRDefault="00EC4EBA" w:rsidP="00EC4EBA">
      <w:pPr>
        <w:rPr>
          <w:rFonts w:eastAsia="Arial"/>
        </w:rPr>
      </w:pPr>
    </w:p>
    <w:p w14:paraId="7B5B107D" w14:textId="77777777" w:rsidR="00EC4EBA" w:rsidRPr="003D2E53" w:rsidRDefault="00EC4EBA" w:rsidP="00EC4EBA">
      <w:pPr>
        <w:pStyle w:val="Zkladntext"/>
      </w:pPr>
      <w:r w:rsidRPr="003D2E53">
        <w:rPr>
          <w:u w:val="single" w:color="000000"/>
        </w:rPr>
        <w:t>Prasnice:</w:t>
      </w:r>
    </w:p>
    <w:p w14:paraId="6F947FEC" w14:textId="77777777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6"/>
        </w:tabs>
        <w:spacing w:before="1"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 xml:space="preserve">Atonie dělohy v poporodním období </w:t>
      </w:r>
    </w:p>
    <w:p w14:paraId="2EFC6BF5" w14:textId="77777777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6"/>
        </w:tabs>
        <w:spacing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 xml:space="preserve">Podpůrná léčba při syndromu poporodní </w:t>
      </w:r>
      <w:proofErr w:type="spellStart"/>
      <w:r w:rsidRPr="003D2E53">
        <w:t>dysgalacie</w:t>
      </w:r>
      <w:proofErr w:type="spellEnd"/>
      <w:r w:rsidRPr="003D2E53">
        <w:t xml:space="preserve"> (PPDS) u prasat, dříve nazývaném MMA syndrom (mastitis-metritis-agalakcie)</w:t>
      </w:r>
    </w:p>
    <w:p w14:paraId="24C66D26" w14:textId="74DCCBA3" w:rsidR="00EC4EBA" w:rsidRPr="003D2E53" w:rsidRDefault="00EC4EBA" w:rsidP="00EC4EBA">
      <w:pPr>
        <w:pStyle w:val="Odstavecseseznamem"/>
        <w:widowControl w:val="0"/>
        <w:numPr>
          <w:ilvl w:val="0"/>
          <w:numId w:val="2"/>
        </w:numPr>
        <w:tabs>
          <w:tab w:val="clear" w:pos="567"/>
          <w:tab w:val="left" w:pos="283"/>
        </w:tabs>
        <w:spacing w:line="252" w:lineRule="exact"/>
        <w:ind w:left="282" w:hanging="134"/>
        <w:contextualSpacing w:val="0"/>
        <w:jc w:val="both"/>
        <w:rPr>
          <w:rFonts w:eastAsia="Arial"/>
        </w:rPr>
      </w:pPr>
      <w:r w:rsidRPr="003D2E53">
        <w:t xml:space="preserve">Vyvolání </w:t>
      </w:r>
      <w:r w:rsidR="00E444C1">
        <w:t>ejekce</w:t>
      </w:r>
      <w:r w:rsidR="00E444C1" w:rsidRPr="003D2E53">
        <w:t xml:space="preserve"> </w:t>
      </w:r>
      <w:r w:rsidRPr="003D2E53">
        <w:t>mléka</w:t>
      </w:r>
    </w:p>
    <w:p w14:paraId="6B5607CB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Zkrácení celkové doby porodu u prasnic: buď po porodu prvního selete, nebo jako součást synchronizace porodů u prasnic, které neporodily </w:t>
      </w:r>
      <w:r>
        <w:t xml:space="preserve">do </w:t>
      </w:r>
      <w:r w:rsidRPr="003D2E53">
        <w:t>24 hodin o</w:t>
      </w:r>
      <w:r>
        <w:t>d</w:t>
      </w:r>
      <w:r w:rsidRPr="003D2E53">
        <w:t xml:space="preserve"> podání vhodného PGF</w:t>
      </w:r>
      <w:r w:rsidRPr="003D2E53">
        <w:rPr>
          <w:vertAlign w:val="subscript"/>
        </w:rPr>
        <w:t>2</w:t>
      </w:r>
      <w:r w:rsidRPr="003D2E53">
        <w:sym w:font="Symbol" w:char="F061"/>
      </w:r>
      <w:r w:rsidRPr="003D2E53">
        <w:t xml:space="preserve"> (např. kloprostenolu)</w:t>
      </w:r>
      <w:r>
        <w:t>,</w:t>
      </w:r>
      <w:r w:rsidRPr="003D2E53">
        <w:t xml:space="preserve"> nejdříve 113. den březosti.</w:t>
      </w:r>
    </w:p>
    <w:p w14:paraId="5E75F167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6DBAE397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BA1CA1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FE9213C" w14:textId="3B3C87D4" w:rsidR="00EC4EBA" w:rsidRPr="003D2E53" w:rsidRDefault="00EC4EBA" w:rsidP="00EC4EBA">
      <w:pPr>
        <w:pStyle w:val="Zkladntext"/>
        <w:spacing w:before="4"/>
        <w:ind w:right="281"/>
      </w:pPr>
      <w:r w:rsidRPr="003D2E53">
        <w:t>Nepodávat k urychlení porodu, jestliže děložní hrdlo není otevřené nebo pokud je porod opožděn z</w:t>
      </w:r>
      <w:r>
        <w:t> </w:t>
      </w:r>
      <w:r w:rsidRPr="003D2E53">
        <w:t xml:space="preserve">mechanické příčiny, jako například abnormální polohou plodu, křečovitými děložními stahy, hrozící </w:t>
      </w:r>
      <w:r w:rsidR="00E444C1">
        <w:t>rupturou</w:t>
      </w:r>
      <w:r w:rsidRPr="003D2E53">
        <w:t xml:space="preserve"> dělohy, torzí dělohy, v případech relativně velkého plodu nebo deformit porodních cest.</w:t>
      </w:r>
    </w:p>
    <w:p w14:paraId="6DACBEFB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17278844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2A34D87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48EC506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Zvláštní opatření pro bezpečné použití u cílových druhů zvířat</w:t>
      </w:r>
      <w:r w:rsidRPr="003D2E53">
        <w:t>:</w:t>
      </w:r>
    </w:p>
    <w:p w14:paraId="04294C27" w14:textId="03F6F485" w:rsidR="00EC4EBA" w:rsidRPr="003D2E53" w:rsidRDefault="00EC4EBA" w:rsidP="00EC4EBA">
      <w:pPr>
        <w:pStyle w:val="Zkladntext"/>
        <w:spacing w:before="1"/>
      </w:pPr>
      <w:r w:rsidRPr="003D2E53">
        <w:t xml:space="preserve">Interval mezi dvěma </w:t>
      </w:r>
      <w:r w:rsidR="00E444C1">
        <w:t>injekčními aplikacemi</w:t>
      </w:r>
      <w:r w:rsidRPr="003D2E53">
        <w:t xml:space="preserve"> by neměl být kratší než 24 hodin.</w:t>
      </w:r>
    </w:p>
    <w:p w14:paraId="3F5B26E5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F065B84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Zvláštní opatření pro osobu, která podává veterinární léčivý přípravek zvířatům:</w:t>
      </w:r>
    </w:p>
    <w:p w14:paraId="11F1C7CC" w14:textId="19D434A4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V případě náhodného sebepoškození injekčně </w:t>
      </w:r>
      <w:r w:rsidR="0047699B">
        <w:t>podaným</w:t>
      </w:r>
      <w:r w:rsidR="0047699B" w:rsidRPr="003D2E53">
        <w:t xml:space="preserve"> </w:t>
      </w:r>
      <w:r w:rsidRPr="003D2E53">
        <w:t>přípravkem m</w:t>
      </w:r>
      <w:r w:rsidR="0047699B">
        <w:t>ůže</w:t>
      </w:r>
      <w:r w:rsidRPr="003D2E53">
        <w:t xml:space="preserve"> u těhotných žen </w:t>
      </w:r>
      <w:r w:rsidR="0047699B">
        <w:t xml:space="preserve">dojít k </w:t>
      </w:r>
      <w:r w:rsidRPr="003D2E53">
        <w:t>vyvolán</w:t>
      </w:r>
      <w:r w:rsidR="0047699B">
        <w:t>í</w:t>
      </w:r>
      <w:r w:rsidRPr="003D2E53">
        <w:t xml:space="preserve"> děložní</w:t>
      </w:r>
      <w:r w:rsidR="0047699B">
        <w:t>ch</w:t>
      </w:r>
      <w:r w:rsidRPr="003D2E53">
        <w:t xml:space="preserve"> kontrakc</w:t>
      </w:r>
      <w:r w:rsidR="0047699B">
        <w:t>í</w:t>
      </w:r>
      <w:r w:rsidRPr="003D2E53">
        <w:t>.</w:t>
      </w:r>
    </w:p>
    <w:p w14:paraId="038AA5B8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lastRenderedPageBreak/>
        <w:t>Těhotné ženy, ženy po porodu a kojící ženy by tento přípravek neměly podávat, aby se vyvarovaly náhodné expozici.</w:t>
      </w:r>
    </w:p>
    <w:p w14:paraId="790437B1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V případě náhodného </w:t>
      </w:r>
      <w:proofErr w:type="spellStart"/>
      <w:r w:rsidRPr="003D2E53">
        <w:t>samopodání</w:t>
      </w:r>
      <w:proofErr w:type="spellEnd"/>
      <w:r w:rsidRPr="003D2E53">
        <w:t xml:space="preserve"> veterinárního léčivého přípravku u netěhotných žen se mohou vyskytnout následující účinky: zarudnutí v obličeji a návaly horka, bolest v podbřišku. Tyto účinky obvykle během krátké doby odezní.</w:t>
      </w:r>
    </w:p>
    <w:p w14:paraId="31D975D1" w14:textId="7CF43FF5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V případě náhodného sebepoškození injekčně </w:t>
      </w:r>
      <w:r w:rsidR="0047699B">
        <w:t>podaným</w:t>
      </w:r>
      <w:r w:rsidR="0047699B" w:rsidRPr="003D2E53">
        <w:t xml:space="preserve"> </w:t>
      </w:r>
      <w:r w:rsidRPr="003D2E53">
        <w:t>přípravkem vyhledejte ihned lékařskou pomoc a ukažte příbalovou informaci nebo etiketu praktickému lékaři.</w:t>
      </w:r>
    </w:p>
    <w:p w14:paraId="7E8997C8" w14:textId="414685AD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Při nakládání s veterinárním léčivým přípravkem by se měly používat osobní ochranné prostředky skládající se z </w:t>
      </w:r>
      <w:r w:rsidR="0047699B">
        <w:t>jednorázových</w:t>
      </w:r>
      <w:r w:rsidR="0047699B" w:rsidRPr="003D2E53">
        <w:t xml:space="preserve"> </w:t>
      </w:r>
      <w:r w:rsidRPr="003D2E53">
        <w:t>rukavic.</w:t>
      </w:r>
    </w:p>
    <w:p w14:paraId="7F90D115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proofErr w:type="spellStart"/>
      <w:r w:rsidRPr="003D2E53">
        <w:t>Karbetocin</w:t>
      </w:r>
      <w:proofErr w:type="spellEnd"/>
      <w:r w:rsidRPr="003D2E53">
        <w:t xml:space="preserve"> se může vstřebávat kůží. V případě náhodného potřísnění kůže důkladně omyjte postižené místo vodou a mýdlem.</w:t>
      </w:r>
    </w:p>
    <w:p w14:paraId="71B21587" w14:textId="49831870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Při zasažení očí </w:t>
      </w:r>
      <w:r w:rsidR="0047699B">
        <w:t xml:space="preserve">je </w:t>
      </w:r>
      <w:r w:rsidRPr="003D2E53">
        <w:t>důkladně vypláchněte vodou.</w:t>
      </w:r>
    </w:p>
    <w:p w14:paraId="57F0C278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Lidé se známou přecitlivělostí na </w:t>
      </w:r>
      <w:proofErr w:type="spellStart"/>
      <w:r w:rsidRPr="003D2E53">
        <w:t>karbetocin</w:t>
      </w:r>
      <w:proofErr w:type="spellEnd"/>
      <w:r w:rsidRPr="003D2E53">
        <w:t xml:space="preserve"> nebo na kteroukoli z pomocných látek by se měli vyhnout kontaktu s tímto veterinárním léčivým přípravkem.</w:t>
      </w:r>
    </w:p>
    <w:p w14:paraId="4A615B1F" w14:textId="454D4B51" w:rsidR="00EC4EBA" w:rsidRPr="003D2E53" w:rsidRDefault="00EC4EBA" w:rsidP="00EC4EBA">
      <w:pPr>
        <w:tabs>
          <w:tab w:val="clear" w:pos="567"/>
        </w:tabs>
        <w:spacing w:line="240" w:lineRule="auto"/>
        <w:rPr>
          <w:iCs/>
        </w:rPr>
      </w:pPr>
      <w:r w:rsidRPr="003D2E53">
        <w:t xml:space="preserve">Ženy v plodném věku by měly </w:t>
      </w:r>
      <w:r w:rsidR="0047699B" w:rsidRPr="003D2E53">
        <w:t xml:space="preserve">přípravek </w:t>
      </w:r>
      <w:r w:rsidRPr="003D2E53">
        <w:t>podávat se zvýšenou opatrností.</w:t>
      </w:r>
    </w:p>
    <w:p w14:paraId="13F192D3" w14:textId="77777777" w:rsidR="00EC4EBA" w:rsidRPr="003D2E53" w:rsidRDefault="00EC4EBA" w:rsidP="00EC4EBA">
      <w:pPr>
        <w:rPr>
          <w:szCs w:val="22"/>
        </w:rPr>
      </w:pPr>
    </w:p>
    <w:p w14:paraId="359A64F8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Březost a laktace</w:t>
      </w:r>
      <w:r w:rsidRPr="003D2E53">
        <w:t>:</w:t>
      </w:r>
    </w:p>
    <w:p w14:paraId="7F206065" w14:textId="17495411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Tento veterinární léčivý přípravek je indikován k vyvolání </w:t>
      </w:r>
      <w:r w:rsidR="00E444C1">
        <w:t>ejekce</w:t>
      </w:r>
      <w:r w:rsidR="00E444C1" w:rsidRPr="003D2E53">
        <w:t xml:space="preserve"> </w:t>
      </w:r>
      <w:r w:rsidRPr="003D2E53">
        <w:t xml:space="preserve">mléka. Viz </w:t>
      </w:r>
      <w:r w:rsidR="00E444C1">
        <w:t>bod</w:t>
      </w:r>
      <w:r w:rsidR="00E444C1" w:rsidRPr="003D2E53">
        <w:t xml:space="preserve"> </w:t>
      </w:r>
      <w:r w:rsidRPr="003D2E53">
        <w:t>5. Kontraindikace</w:t>
      </w:r>
    </w:p>
    <w:p w14:paraId="181F0EE3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A8AC83E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Interakce s jinými léčivými přípravky a další formy interakce:</w:t>
      </w:r>
    </w:p>
    <w:p w14:paraId="3930F20D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>Podání oxytocinu po podání tohoto veterinárního léčivého přípravku není nutné. Vzhledem k</w:t>
      </w:r>
      <w:r>
        <w:t> </w:t>
      </w:r>
      <w:r w:rsidRPr="003D2E53">
        <w:t>možnému zesílení účinku oxytocinu může dojít k vyvolání nežádoucích děložních křečí.</w:t>
      </w:r>
    </w:p>
    <w:p w14:paraId="25C2BC8F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AC879A4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Předávkování</w:t>
      </w:r>
      <w:r w:rsidRPr="003D2E53">
        <w:t>:</w:t>
      </w:r>
    </w:p>
    <w:p w14:paraId="37EF4B31" w14:textId="4EBCC002" w:rsidR="00EC4EBA" w:rsidRPr="003D2E53" w:rsidRDefault="00E444C1" w:rsidP="00EC4EBA">
      <w:pPr>
        <w:pStyle w:val="Zkladntext"/>
        <w:spacing w:before="1"/>
        <w:ind w:right="285"/>
      </w:pPr>
      <w:r>
        <w:t>Aplikace</w:t>
      </w:r>
      <w:r w:rsidR="00EC4EBA" w:rsidRPr="003D2E53">
        <w:t xml:space="preserve"> více než dvojnásobku doporučené dávky (více než 0,4 mg </w:t>
      </w:r>
      <w:proofErr w:type="spellStart"/>
      <w:r w:rsidR="00EC4EBA" w:rsidRPr="003D2E53">
        <w:t>karbetocinu</w:t>
      </w:r>
      <w:proofErr w:type="spellEnd"/>
      <w:r>
        <w:t xml:space="preserve"> </w:t>
      </w:r>
      <w:r>
        <w:rPr>
          <w:i/>
        </w:rPr>
        <w:t>pro toto</w:t>
      </w:r>
      <w:r w:rsidR="00EC4EBA" w:rsidRPr="003D2E53">
        <w:t>) by mohla u</w:t>
      </w:r>
      <w:r w:rsidR="00EC4EBA">
        <w:t> </w:t>
      </w:r>
      <w:r w:rsidR="00EC4EBA" w:rsidRPr="003D2E53">
        <w:t xml:space="preserve">starších prasnic zvýšit četnost mrtvě narozených selat, jestliže by taková dávka byla podána během prodlouženého porodu. </w:t>
      </w:r>
    </w:p>
    <w:p w14:paraId="72245CA2" w14:textId="77777777" w:rsidR="00EC4EBA" w:rsidRPr="003D2E53" w:rsidRDefault="00EC4EBA" w:rsidP="00EC4EBA">
      <w:pPr>
        <w:rPr>
          <w:rFonts w:eastAsia="Arial"/>
        </w:rPr>
      </w:pPr>
    </w:p>
    <w:p w14:paraId="780297C7" w14:textId="3A1ED9FA" w:rsidR="00EC4EBA" w:rsidRPr="003D2E53" w:rsidRDefault="00EC4EBA" w:rsidP="00EC4EBA">
      <w:pPr>
        <w:pStyle w:val="Zkladntext"/>
        <w:ind w:right="310"/>
      </w:pPr>
      <w:r w:rsidRPr="003D2E53">
        <w:t xml:space="preserve">Předávkování trojnásobnou dávkou (0,6 mg </w:t>
      </w:r>
      <w:proofErr w:type="spellStart"/>
      <w:r w:rsidRPr="003D2E53">
        <w:t>karbetocinu</w:t>
      </w:r>
      <w:proofErr w:type="spellEnd"/>
      <w:r w:rsidR="00E444C1">
        <w:t xml:space="preserve"> </w:t>
      </w:r>
      <w:r w:rsidR="00E444C1">
        <w:rPr>
          <w:i/>
        </w:rPr>
        <w:t>pro toto</w:t>
      </w:r>
      <w:r w:rsidRPr="003D2E53">
        <w:t>) může u prasnic vyvolat silnou laktaci, která může u selat způsobit průjem, nižší váhový přírůstek a zvýšenou mortalitu.</w:t>
      </w:r>
    </w:p>
    <w:p w14:paraId="1685A0E9" w14:textId="4C9D3013" w:rsidR="00EC4EBA" w:rsidRPr="003D2E53" w:rsidRDefault="00EC4EBA" w:rsidP="00EC4EBA">
      <w:pPr>
        <w:tabs>
          <w:tab w:val="clear" w:pos="567"/>
        </w:tabs>
        <w:spacing w:line="240" w:lineRule="auto"/>
      </w:pPr>
      <w:proofErr w:type="spellStart"/>
      <w:r w:rsidRPr="003D2E53">
        <w:t>Karbetocin</w:t>
      </w:r>
      <w:proofErr w:type="spellEnd"/>
      <w:r w:rsidRPr="003D2E53">
        <w:t xml:space="preserve"> je považován za středně dráždivý. Po podání vyšších dávek (1,0 mg </w:t>
      </w:r>
      <w:proofErr w:type="spellStart"/>
      <w:r w:rsidRPr="003D2E53">
        <w:t>karbetocinu</w:t>
      </w:r>
      <w:proofErr w:type="spellEnd"/>
      <w:r w:rsidR="00E444C1">
        <w:t xml:space="preserve"> </w:t>
      </w:r>
      <w:r w:rsidR="00E444C1">
        <w:rPr>
          <w:i/>
        </w:rPr>
        <w:t>pro toto</w:t>
      </w:r>
      <w:r w:rsidRPr="003D2E53">
        <w:t>) byla u léčených zvířat v místě injekčního podání pozorována ložisková lymfocytická infiltrace.</w:t>
      </w:r>
    </w:p>
    <w:p w14:paraId="1F7AC89D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446EEAD4" w14:textId="77777777" w:rsidR="00EC4EBA" w:rsidRPr="003D2E53" w:rsidRDefault="00EC4EBA" w:rsidP="00EC4EBA">
      <w:pPr>
        <w:rPr>
          <w:szCs w:val="22"/>
        </w:rPr>
      </w:pPr>
      <w:r w:rsidRPr="003D2E53">
        <w:rPr>
          <w:u w:val="single"/>
        </w:rPr>
        <w:t>Zvláštní omezení pro použití a zvláštní podmínky pro použití:</w:t>
      </w:r>
    </w:p>
    <w:p w14:paraId="6E339EE7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>Neuplatňuje se</w:t>
      </w:r>
      <w:r>
        <w:t>.</w:t>
      </w:r>
    </w:p>
    <w:p w14:paraId="4D640698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115DC6AB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rPr>
          <w:u w:val="single"/>
        </w:rPr>
        <w:t>Hlavní inkompatibility</w:t>
      </w:r>
      <w:r w:rsidRPr="003D2E53">
        <w:t>:</w:t>
      </w:r>
    </w:p>
    <w:p w14:paraId="42BCDEE6" w14:textId="454A241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>Studie kompatibility nejsou k dispozici, a proto tento veterinární léčivý přípravek nesmí být mísen s</w:t>
      </w:r>
      <w:r>
        <w:t> </w:t>
      </w:r>
      <w:r w:rsidRPr="003D2E53">
        <w:t>žádnými dalšími veterinárními léčivými přípravky.</w:t>
      </w:r>
    </w:p>
    <w:p w14:paraId="62BFE82E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73B299D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3B8645F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EF5F90" w14:textId="77777777" w:rsidR="00EC4EBA" w:rsidRPr="003D2E53" w:rsidRDefault="00EC4EBA" w:rsidP="00EC4E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D2E53">
        <w:t xml:space="preserve">Skot (krávy), prasata (prasnice): </w:t>
      </w:r>
    </w:p>
    <w:p w14:paraId="5131E2FD" w14:textId="77777777" w:rsidR="00EC4EBA" w:rsidRPr="003D2E53" w:rsidRDefault="00EC4EBA" w:rsidP="00EC4E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D2E53">
        <w:t>Nejsou známy</w:t>
      </w:r>
      <w:r>
        <w:t>.</w:t>
      </w:r>
    </w:p>
    <w:p w14:paraId="01DDEF49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318229" w14:textId="1EE579A8" w:rsidR="00EC4EBA" w:rsidRDefault="00EC4EBA" w:rsidP="00EC4EBA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6478D3DB" w14:textId="77777777" w:rsidR="00D20891" w:rsidRDefault="00D20891" w:rsidP="00EC4EBA"/>
    <w:p w14:paraId="185B330B" w14:textId="77777777" w:rsidR="00EC4EBA" w:rsidRPr="00FC5CDD" w:rsidRDefault="00EC4EBA" w:rsidP="00EC4EBA">
      <w:r w:rsidRPr="00FC5CDD">
        <w:t xml:space="preserve">Ústav pro státní kontrolu veterinárních biopreparátů a léčiv </w:t>
      </w:r>
    </w:p>
    <w:p w14:paraId="7DC1F6CC" w14:textId="77777777" w:rsidR="00EC4EBA" w:rsidRPr="00FC5CDD" w:rsidRDefault="00EC4EBA" w:rsidP="00EC4EBA">
      <w:r w:rsidRPr="00FC5CDD">
        <w:t xml:space="preserve">Hudcova 232/56a </w:t>
      </w:r>
    </w:p>
    <w:p w14:paraId="1525ED18" w14:textId="77777777" w:rsidR="00EC4EBA" w:rsidRDefault="00EC4EBA" w:rsidP="00EC4EBA">
      <w:r w:rsidRPr="00FC5CDD">
        <w:lastRenderedPageBreak/>
        <w:t xml:space="preserve">621 00 Brno </w:t>
      </w:r>
    </w:p>
    <w:p w14:paraId="6B05644B" w14:textId="77777777" w:rsidR="00EC4EBA" w:rsidRPr="00FC5CDD" w:rsidRDefault="00EC4EBA" w:rsidP="00EC4EBA">
      <w:r>
        <w:t>e</w:t>
      </w:r>
      <w:r w:rsidRPr="00FC5CDD">
        <w:t xml:space="preserve">-mail: adr@uskvbl.cz </w:t>
      </w:r>
    </w:p>
    <w:p w14:paraId="48E58263" w14:textId="77777777" w:rsidR="00EC4EBA" w:rsidRPr="00FC5CDD" w:rsidRDefault="00EC4EBA" w:rsidP="00EC4EBA">
      <w:r w:rsidRPr="006F6DD4">
        <w:t>tel.: +420 720 940 693</w:t>
      </w:r>
    </w:p>
    <w:p w14:paraId="27C7F498" w14:textId="77777777" w:rsidR="00EC4EBA" w:rsidRDefault="00EC4EBA" w:rsidP="00EC4EBA">
      <w:r w:rsidRPr="00FC5CDD">
        <w:t xml:space="preserve">Webové stránky: https://www.uskvbl.cz/cs/farmakovigilance </w:t>
      </w:r>
    </w:p>
    <w:bookmarkEnd w:id="1"/>
    <w:p w14:paraId="3CFF42E3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B5C5E0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374D9D3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4D53704" w14:textId="03E44276" w:rsidR="00EC4EBA" w:rsidRPr="003D2E53" w:rsidRDefault="00C46DFC" w:rsidP="00EC4EBA">
      <w:pPr>
        <w:pStyle w:val="Zkladntext"/>
      </w:pPr>
      <w:r>
        <w:t>J</w:t>
      </w:r>
      <w:r w:rsidR="00EC4EBA" w:rsidRPr="003D2E53">
        <w:t>ednorázov</w:t>
      </w:r>
      <w:r w:rsidR="00EC4EBA">
        <w:t>é</w:t>
      </w:r>
      <w:r w:rsidR="00EC4EBA" w:rsidRPr="003D2E53">
        <w:t xml:space="preserve"> intramuskulární nebo intravenózní podání.</w:t>
      </w:r>
    </w:p>
    <w:p w14:paraId="72AC533E" w14:textId="77777777" w:rsidR="00EC4EBA" w:rsidRPr="003D2E53" w:rsidRDefault="00EC4EBA" w:rsidP="00EC4EBA">
      <w:pPr>
        <w:pStyle w:val="Zkladntext"/>
        <w:spacing w:before="4" w:line="252" w:lineRule="exact"/>
      </w:pPr>
      <w:r w:rsidRPr="003D2E53">
        <w:rPr>
          <w:u w:val="single" w:color="000000"/>
        </w:rPr>
        <w:t>Krávy</w:t>
      </w:r>
    </w:p>
    <w:p w14:paraId="5802539A" w14:textId="77777777" w:rsidR="00EC4EBA" w:rsidRPr="003D2E53" w:rsidRDefault="00EC4EBA" w:rsidP="00EC4EBA">
      <w:pPr>
        <w:pStyle w:val="Zkladntext"/>
        <w:tabs>
          <w:tab w:val="left" w:pos="2274"/>
        </w:tabs>
      </w:pPr>
      <w:r w:rsidRPr="003D2E53">
        <w:t>Pro všechny indikace:</w:t>
      </w:r>
      <w:r w:rsidRPr="003D2E53">
        <w:tab/>
      </w:r>
    </w:p>
    <w:p w14:paraId="6C4E324E" w14:textId="5B7506BF" w:rsidR="00EC4EBA" w:rsidRPr="005D32B6" w:rsidRDefault="00EC4EBA" w:rsidP="00EC4EBA">
      <w:pPr>
        <w:pStyle w:val="Zkladntext"/>
        <w:tabs>
          <w:tab w:val="left" w:pos="2274"/>
        </w:tabs>
        <w:rPr>
          <w:i/>
        </w:rPr>
      </w:pPr>
      <w:r w:rsidRPr="003D2E53">
        <w:t xml:space="preserve">             0,21–0,35 mg </w:t>
      </w:r>
      <w:proofErr w:type="spellStart"/>
      <w:r w:rsidRPr="003D2E53">
        <w:t>karbetocinu</w:t>
      </w:r>
      <w:proofErr w:type="spellEnd"/>
      <w:r w:rsidR="00E444C1">
        <w:t xml:space="preserve"> </w:t>
      </w:r>
      <w:r w:rsidR="00E444C1">
        <w:rPr>
          <w:i/>
        </w:rPr>
        <w:t xml:space="preserve"> pro toto</w:t>
      </w:r>
      <w:r w:rsidRPr="003D2E53">
        <w:t>, což odpovídá 3,0–5,0 ml veterinárního léčivého přípravku</w:t>
      </w:r>
      <w:r w:rsidR="00E444C1">
        <w:t xml:space="preserve"> </w:t>
      </w:r>
      <w:r w:rsidR="00E444C1">
        <w:rPr>
          <w:i/>
        </w:rPr>
        <w:t>pro toto</w:t>
      </w:r>
    </w:p>
    <w:p w14:paraId="0EECC1BE" w14:textId="77777777" w:rsidR="00EC4EBA" w:rsidRPr="003D2E53" w:rsidRDefault="00EC4EBA" w:rsidP="00EC4EBA">
      <w:pPr>
        <w:pStyle w:val="Zkladntext"/>
        <w:tabs>
          <w:tab w:val="left" w:pos="2274"/>
        </w:tabs>
      </w:pPr>
      <w:r w:rsidRPr="003D2E53">
        <w:rPr>
          <w:u w:val="single"/>
        </w:rPr>
        <w:t>Prasnice</w:t>
      </w:r>
    </w:p>
    <w:p w14:paraId="2BD13C9D" w14:textId="516616FB" w:rsidR="00EC4EBA" w:rsidRPr="003D2E53" w:rsidRDefault="00EC4EBA" w:rsidP="00EC4EBA">
      <w:pPr>
        <w:pStyle w:val="Zkladntext"/>
        <w:spacing w:before="1" w:line="252" w:lineRule="exact"/>
      </w:pPr>
      <w:r w:rsidRPr="003D2E53">
        <w:t xml:space="preserve">Při atonii dělohy, PPDS a k </w:t>
      </w:r>
      <w:r w:rsidR="00E444C1">
        <w:t>ejekci</w:t>
      </w:r>
      <w:r w:rsidRPr="003D2E53">
        <w:t xml:space="preserve"> mléka:</w:t>
      </w:r>
    </w:p>
    <w:p w14:paraId="150F1B6B" w14:textId="3A356D72" w:rsidR="00EC4EBA" w:rsidRPr="005D32B6" w:rsidRDefault="00EC4EBA" w:rsidP="00EC4EBA">
      <w:pPr>
        <w:pStyle w:val="Zkladntext"/>
        <w:spacing w:line="252" w:lineRule="exact"/>
        <w:ind w:left="709"/>
        <w:rPr>
          <w:i/>
        </w:rPr>
      </w:pPr>
      <w:r w:rsidRPr="003D2E53">
        <w:t xml:space="preserve">0,105–0,21 mg </w:t>
      </w:r>
      <w:proofErr w:type="spellStart"/>
      <w:r w:rsidRPr="003D2E53">
        <w:t>karbetocinu</w:t>
      </w:r>
      <w:proofErr w:type="spellEnd"/>
      <w:r w:rsidR="00E444C1">
        <w:t xml:space="preserve"> </w:t>
      </w:r>
      <w:r w:rsidR="00E444C1">
        <w:rPr>
          <w:i/>
        </w:rPr>
        <w:t>pro toto</w:t>
      </w:r>
      <w:r w:rsidRPr="003D2E53">
        <w:t>, což odpovídá 1,5–3,0 ml veterinárního léčivého přípravku</w:t>
      </w:r>
      <w:r w:rsidR="00E444C1">
        <w:t xml:space="preserve"> </w:t>
      </w:r>
      <w:r w:rsidR="00E444C1">
        <w:rPr>
          <w:i/>
        </w:rPr>
        <w:t>pro toto</w:t>
      </w:r>
    </w:p>
    <w:p w14:paraId="7F9B9D2D" w14:textId="77777777" w:rsidR="00EC4EBA" w:rsidRPr="003D2E53" w:rsidRDefault="00EC4EBA" w:rsidP="00EC4EBA">
      <w:pPr>
        <w:pStyle w:val="Zkladntext"/>
        <w:spacing w:before="1" w:line="252" w:lineRule="exact"/>
      </w:pPr>
      <w:r w:rsidRPr="003D2E53">
        <w:t>Ke zkrácení celkové doby porodu v rámci synchronizace porodů:</w:t>
      </w:r>
    </w:p>
    <w:p w14:paraId="0FE9C83A" w14:textId="6006E9D5" w:rsidR="00EC4EBA" w:rsidRPr="005D32B6" w:rsidRDefault="00EC4EBA" w:rsidP="00EC4EBA">
      <w:pPr>
        <w:pStyle w:val="Zkladntext"/>
        <w:spacing w:line="252" w:lineRule="exact"/>
        <w:ind w:left="709"/>
        <w:rPr>
          <w:i/>
        </w:rPr>
      </w:pPr>
      <w:r w:rsidRPr="003D2E53">
        <w:t xml:space="preserve">0,07 mg </w:t>
      </w:r>
      <w:proofErr w:type="spellStart"/>
      <w:r w:rsidRPr="003D2E53">
        <w:t>karbetocinu</w:t>
      </w:r>
      <w:proofErr w:type="spellEnd"/>
      <w:r w:rsidR="00E444C1">
        <w:t xml:space="preserve"> </w:t>
      </w:r>
      <w:r w:rsidR="00E444C1">
        <w:rPr>
          <w:i/>
        </w:rPr>
        <w:t>pro toto</w:t>
      </w:r>
      <w:r w:rsidRPr="003D2E53">
        <w:t>, což odpovídá 1,0 ml veterinárního léčivého přípravku</w:t>
      </w:r>
      <w:r w:rsidR="00E444C1">
        <w:t xml:space="preserve"> </w:t>
      </w:r>
      <w:r w:rsidR="00E444C1">
        <w:rPr>
          <w:i/>
        </w:rPr>
        <w:t xml:space="preserve"> pro toto</w:t>
      </w:r>
    </w:p>
    <w:p w14:paraId="16B31CBC" w14:textId="77777777" w:rsidR="00EC4EBA" w:rsidRPr="003D2E53" w:rsidRDefault="00EC4EBA" w:rsidP="00EC4EBA">
      <w:pPr>
        <w:rPr>
          <w:rFonts w:eastAsia="Arial"/>
        </w:rPr>
      </w:pPr>
    </w:p>
    <w:p w14:paraId="70620C98" w14:textId="77777777" w:rsidR="00EC4EBA" w:rsidRPr="003D2E53" w:rsidRDefault="00EC4EBA" w:rsidP="00EC4EBA">
      <w:pPr>
        <w:pStyle w:val="Zkladntext"/>
      </w:pPr>
      <w:r w:rsidRPr="003D2E53">
        <w:t>Potřebná dávka se může pohybovat v uvedeném rozmezí podle posouzení veterinárního lékaře.</w:t>
      </w:r>
    </w:p>
    <w:p w14:paraId="7C8A1B2D" w14:textId="77777777" w:rsidR="00EC4EBA" w:rsidRPr="003D2E53" w:rsidRDefault="00EC4EBA" w:rsidP="00EC4EBA">
      <w:pPr>
        <w:rPr>
          <w:rFonts w:eastAsia="Arial"/>
        </w:rPr>
      </w:pPr>
    </w:p>
    <w:p w14:paraId="59418635" w14:textId="7ABA41F4" w:rsidR="00EC4EBA" w:rsidRPr="003D2E53" w:rsidRDefault="00EC4EBA" w:rsidP="00EC4EBA">
      <w:pPr>
        <w:pStyle w:val="Zkladntext"/>
      </w:pPr>
      <w:r w:rsidRPr="003D2E53">
        <w:t xml:space="preserve">Je-li přípravek podáván kravám nebo prasnicím k </w:t>
      </w:r>
      <w:r w:rsidR="00E444C1">
        <w:t>ejekci</w:t>
      </w:r>
      <w:r w:rsidRPr="003D2E53">
        <w:t xml:space="preserve"> mléka nebo jako podpůrná léčba syndromu</w:t>
      </w:r>
      <w:r>
        <w:t xml:space="preserve"> </w:t>
      </w:r>
      <w:r w:rsidRPr="003D2E53">
        <w:t xml:space="preserve">poporodní </w:t>
      </w:r>
      <w:proofErr w:type="spellStart"/>
      <w:r w:rsidRPr="003D2E53">
        <w:t>dysgalacie</w:t>
      </w:r>
      <w:proofErr w:type="spellEnd"/>
      <w:r w:rsidRPr="003D2E53">
        <w:t xml:space="preserve"> (PPDS) u prasnic, je možné podání po 1 až 2 dnech opakovat.  </w:t>
      </w:r>
    </w:p>
    <w:p w14:paraId="41C678A5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60F202A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D51DD60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08A677EE" w14:textId="77777777" w:rsidR="00EC4EBA" w:rsidRPr="003D2E53" w:rsidRDefault="00EC4EBA" w:rsidP="00EC4EBA">
      <w:pPr>
        <w:pStyle w:val="Zkladntext"/>
        <w:spacing w:line="237" w:lineRule="auto"/>
      </w:pPr>
      <w:r w:rsidRPr="003D2E53">
        <w:t xml:space="preserve">V době od 5. do 11. dne po porodu bude reakce </w:t>
      </w:r>
      <w:proofErr w:type="spellStart"/>
      <w:r w:rsidRPr="003D2E53">
        <w:t>myometria</w:t>
      </w:r>
      <w:proofErr w:type="spellEnd"/>
      <w:r w:rsidRPr="003D2E53">
        <w:t xml:space="preserve"> na </w:t>
      </w:r>
      <w:proofErr w:type="spellStart"/>
      <w:r w:rsidRPr="003D2E53">
        <w:t>karbetocin</w:t>
      </w:r>
      <w:proofErr w:type="spellEnd"/>
      <w:r w:rsidRPr="003D2E53">
        <w:t xml:space="preserve"> pravděpodobně téměř nulová. Podávání veterinárního léčivého přípravku v tomto období je neúčinné, a proto by neměl být podáván.</w:t>
      </w:r>
    </w:p>
    <w:p w14:paraId="7553A6F2" w14:textId="77777777" w:rsidR="00EC4EBA" w:rsidRPr="003D2E53" w:rsidRDefault="00EC4EBA" w:rsidP="00EC4EBA">
      <w:pPr>
        <w:spacing w:before="1"/>
        <w:rPr>
          <w:rFonts w:eastAsia="Arial"/>
        </w:rPr>
      </w:pPr>
    </w:p>
    <w:p w14:paraId="253888AD" w14:textId="77777777" w:rsidR="00EC4EBA" w:rsidRPr="003D2E53" w:rsidRDefault="00EC4EBA" w:rsidP="00EC4EBA">
      <w:pPr>
        <w:pStyle w:val="Zkladntext"/>
      </w:pPr>
      <w:r w:rsidRPr="003D2E53">
        <w:t xml:space="preserve">Jestliže léčba </w:t>
      </w:r>
      <w:proofErr w:type="spellStart"/>
      <w:r w:rsidRPr="003D2E53">
        <w:t>karbetocinem</w:t>
      </w:r>
      <w:proofErr w:type="spellEnd"/>
      <w:r w:rsidRPr="003D2E53">
        <w:t xml:space="preserve"> selže, doporučuje se znovu zvážit etiologii onemocnění, zejména pokud by jedním z komplikujících faktorů mohla být hypokalcémie. V případě těžké septické metritidy by měla být společně s tímto veterinárním léčivým přípravkem zahájena rovněž vhodná souběžná léčba.</w:t>
      </w:r>
    </w:p>
    <w:p w14:paraId="04E02AF2" w14:textId="77777777" w:rsidR="00EC4EBA" w:rsidRPr="003D2E53" w:rsidRDefault="00EC4EBA" w:rsidP="00EC4EBA">
      <w:pPr>
        <w:pStyle w:val="Zkladntext"/>
      </w:pPr>
    </w:p>
    <w:p w14:paraId="26DC2E14" w14:textId="56813124" w:rsidR="00EC4EBA" w:rsidRPr="003D2E53" w:rsidRDefault="00EC4EBA" w:rsidP="00EC4EBA">
      <w:pPr>
        <w:rPr>
          <w:rFonts w:eastAsia="Arial"/>
        </w:rPr>
      </w:pPr>
      <w:r w:rsidRPr="003D2E53">
        <w:t>Lahvičk</w:t>
      </w:r>
      <w:r w:rsidR="00E444C1">
        <w:t>a</w:t>
      </w:r>
      <w:r w:rsidRPr="003D2E53">
        <w:t xml:space="preserve"> 10 ml: Pryžovou zátku lze propíchnout max. 10krát.</w:t>
      </w:r>
    </w:p>
    <w:p w14:paraId="67E07687" w14:textId="3547038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  <w:r w:rsidRPr="003D2E53">
        <w:t>Lahvičk</w:t>
      </w:r>
      <w:r w:rsidR="00E444C1">
        <w:t>a</w:t>
      </w:r>
      <w:r w:rsidRPr="003D2E53">
        <w:t xml:space="preserve"> 50 ml: Pryžovou zátku lze propíchnout max. 50krát.</w:t>
      </w:r>
    </w:p>
    <w:p w14:paraId="292FFAE7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B92BF0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AD75C9F" w14:textId="77777777" w:rsidR="00EC4EBA" w:rsidRDefault="00EC4EBA" w:rsidP="00EC4EBA">
      <w:pPr>
        <w:pStyle w:val="Zkladntext"/>
        <w:tabs>
          <w:tab w:val="left" w:pos="1566"/>
          <w:tab w:val="left" w:pos="3693"/>
        </w:tabs>
        <w:spacing w:before="1"/>
        <w:ind w:right="3460"/>
      </w:pPr>
    </w:p>
    <w:p w14:paraId="43090FB6" w14:textId="472DF87B" w:rsidR="00EC4EBA" w:rsidRPr="003D2E53" w:rsidRDefault="00EC4EBA" w:rsidP="00EC4EBA">
      <w:pPr>
        <w:pStyle w:val="Zkladntext"/>
        <w:tabs>
          <w:tab w:val="left" w:pos="1566"/>
          <w:tab w:val="left" w:pos="3693"/>
        </w:tabs>
        <w:spacing w:before="1"/>
        <w:ind w:right="3460"/>
      </w:pPr>
      <w:r w:rsidRPr="003D2E53">
        <w:t>Skot, prasata:</w:t>
      </w:r>
      <w:r>
        <w:t xml:space="preserve"> </w:t>
      </w:r>
      <w:r w:rsidRPr="003D2E53">
        <w:t>Maso:</w:t>
      </w:r>
      <w:r w:rsidRPr="003D2E53">
        <w:tab/>
      </w:r>
      <w:r w:rsidR="00D03A6B">
        <w:t>Bez ochrann</w:t>
      </w:r>
      <w:r w:rsidR="003849A8">
        <w:t>ých</w:t>
      </w:r>
      <w:r w:rsidR="00D03A6B">
        <w:t xml:space="preserve"> lhůt.</w:t>
      </w:r>
      <w:r w:rsidRPr="003D2E53">
        <w:t xml:space="preserve"> </w:t>
      </w:r>
    </w:p>
    <w:p w14:paraId="4DAC8BB0" w14:textId="77073335" w:rsidR="00EC4EBA" w:rsidRPr="0003190F" w:rsidRDefault="00EC4EBA" w:rsidP="00EC4EBA">
      <w:pPr>
        <w:pStyle w:val="Zkladntext"/>
        <w:tabs>
          <w:tab w:val="left" w:pos="1566"/>
          <w:tab w:val="left" w:pos="3693"/>
        </w:tabs>
        <w:spacing w:before="1"/>
        <w:ind w:right="3460"/>
      </w:pPr>
      <w:r w:rsidRPr="003D2E53">
        <w:t xml:space="preserve">Skot:             </w:t>
      </w:r>
      <w:r>
        <w:t xml:space="preserve">  </w:t>
      </w:r>
      <w:r w:rsidRPr="003D2E53">
        <w:t>Mléko:</w:t>
      </w:r>
      <w:r w:rsidRPr="003D2E53">
        <w:tab/>
      </w:r>
      <w:r w:rsidR="00D03A6B">
        <w:t>Bez ochranných lhůt.</w:t>
      </w:r>
      <w:r w:rsidRPr="003D2E53">
        <w:t xml:space="preserve"> </w:t>
      </w:r>
    </w:p>
    <w:p w14:paraId="6F77BF38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EFB0D7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9601EB8" w14:textId="77777777" w:rsidR="00EC4EBA" w:rsidRPr="00B41D57" w:rsidRDefault="00EC4EBA" w:rsidP="00EC4E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8740ED" w14:textId="77777777" w:rsidR="00EC4EBA" w:rsidRPr="003D2E53" w:rsidRDefault="00EC4EBA" w:rsidP="00EC4E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D2E53">
        <w:t>Uchovávejte mimo dohled a dosah dětí.</w:t>
      </w:r>
    </w:p>
    <w:p w14:paraId="2AD293E6" w14:textId="77777777" w:rsidR="00EC4EBA" w:rsidRPr="003D2E53" w:rsidRDefault="00EC4EBA" w:rsidP="00EC4EBA">
      <w:pPr>
        <w:pStyle w:val="Zkladntext"/>
        <w:spacing w:before="1" w:line="252" w:lineRule="exact"/>
        <w:ind w:right="288"/>
      </w:pPr>
      <w:r w:rsidRPr="003D2E53">
        <w:t xml:space="preserve">Uchovávejte a přepravujte chlazené (2 °C – 8 °C). Uchovávejte injekční lahvičku v krabičce, aby byla chráněna před světlem. </w:t>
      </w:r>
    </w:p>
    <w:p w14:paraId="6B80A330" w14:textId="77777777" w:rsidR="00EC4EBA" w:rsidRPr="003D2E53" w:rsidRDefault="00EC4EBA" w:rsidP="00EC4EBA">
      <w:pPr>
        <w:pStyle w:val="Zkladntext"/>
        <w:spacing w:before="1" w:line="252" w:lineRule="exact"/>
        <w:ind w:right="288"/>
        <w:rPr>
          <w:rFonts w:eastAsia="Arial"/>
          <w:sz w:val="21"/>
          <w:szCs w:val="21"/>
        </w:rPr>
      </w:pPr>
      <w:r w:rsidRPr="003D2E53">
        <w:rPr>
          <w:sz w:val="21"/>
        </w:rPr>
        <w:t>Doba použitelnosti po prvním otevření vnitřního obalu: 28 dnů</w:t>
      </w:r>
    </w:p>
    <w:p w14:paraId="410150F6" w14:textId="77777777" w:rsidR="00EC4EBA" w:rsidRPr="003D2E53" w:rsidRDefault="00EC4EBA" w:rsidP="00EC4EBA">
      <w:pPr>
        <w:pStyle w:val="Zkladntext"/>
        <w:spacing w:before="1" w:line="252" w:lineRule="exact"/>
        <w:ind w:right="288"/>
      </w:pPr>
      <w:r w:rsidRPr="003D2E53">
        <w:t>Po prvním otevření uchovávejte v chladničce</w:t>
      </w:r>
      <w:r w:rsidRPr="003D2E53">
        <w:rPr>
          <w:sz w:val="21"/>
        </w:rPr>
        <w:t xml:space="preserve"> </w:t>
      </w:r>
      <w:r w:rsidRPr="003D2E53">
        <w:t>(2 °C – 8 °C).</w:t>
      </w:r>
    </w:p>
    <w:p w14:paraId="6A8BD631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11A4F410" w14:textId="77777777" w:rsidR="00EC4EBA" w:rsidRPr="00B41D57" w:rsidRDefault="00EC4EBA" w:rsidP="00EC4EB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Nepoužívejte tento veterinární léčivý přípravek po uplynutí doby použitelnosti uvedené na etiketě a krabičce </w:t>
      </w:r>
      <w:r>
        <w:t>po</w:t>
      </w:r>
      <w:r w:rsidRPr="003D2E53">
        <w:t xml:space="preserve"> Exp. </w:t>
      </w:r>
      <w:r w:rsidRPr="00B41D57">
        <w:t>Doba použitelnosti končí posledním dnem v uvedeném měsíci</w:t>
      </w:r>
      <w:r w:rsidRPr="003D2E53">
        <w:t>.</w:t>
      </w:r>
    </w:p>
    <w:p w14:paraId="0033D0A0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5ED73030" w14:textId="77777777" w:rsidR="00EC4EBA" w:rsidRPr="00B41D57" w:rsidRDefault="00EC4EBA" w:rsidP="0044095D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006085C6" w14:textId="77777777" w:rsidR="00EC4EBA" w:rsidRPr="00B41D57" w:rsidRDefault="00EC4EBA" w:rsidP="004409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F8A0C0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A3B927D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2A6F71C0" w14:textId="77777777" w:rsidR="00EC4EBA" w:rsidRPr="00B41D57" w:rsidRDefault="00EC4EBA" w:rsidP="00EC4EBA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06BA275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0C44280A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5912CD99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66425F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B0CFD8C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0C679ED5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DC4053">
        <w:rPr>
          <w:szCs w:val="22"/>
        </w:rPr>
        <w:t>Veterinární léčivý přípravek je vydáván pouze na předpis.</w:t>
      </w:r>
    </w:p>
    <w:p w14:paraId="7E4502FA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8903A77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01FB4A2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3F20BDE" w14:textId="65B5EC22" w:rsidR="005D32B6" w:rsidRDefault="005D32B6" w:rsidP="00EC4EBA">
      <w:pPr>
        <w:tabs>
          <w:tab w:val="clear" w:pos="567"/>
        </w:tabs>
        <w:spacing w:line="240" w:lineRule="auto"/>
      </w:pPr>
      <w:r>
        <w:t>96/001/26-C</w:t>
      </w:r>
    </w:p>
    <w:p w14:paraId="46E50F0C" w14:textId="77777777" w:rsidR="005D32B6" w:rsidRDefault="005D32B6" w:rsidP="00EC4EBA">
      <w:pPr>
        <w:tabs>
          <w:tab w:val="clear" w:pos="567"/>
        </w:tabs>
        <w:spacing w:line="240" w:lineRule="auto"/>
      </w:pPr>
    </w:p>
    <w:p w14:paraId="2B6176AE" w14:textId="27BE3431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>Velikost</w:t>
      </w:r>
      <w:r w:rsidR="00A76DCF">
        <w:t>i</w:t>
      </w:r>
      <w:r w:rsidRPr="003D2E53">
        <w:t xml:space="preserve"> balení: Papírová krabička obsahující skleněnou </w:t>
      </w:r>
      <w:r w:rsidR="00BD1A2F">
        <w:t xml:space="preserve">injekční </w:t>
      </w:r>
      <w:r w:rsidRPr="003D2E53">
        <w:t xml:space="preserve">lahvičku o objemu </w:t>
      </w:r>
      <w:r w:rsidR="00A76DCF">
        <w:t xml:space="preserve">1 x </w:t>
      </w:r>
      <w:r w:rsidRPr="003D2E53">
        <w:t xml:space="preserve">10 ml nebo </w:t>
      </w:r>
      <w:r w:rsidR="00A76DCF">
        <w:t xml:space="preserve">1 x </w:t>
      </w:r>
      <w:r w:rsidRPr="003D2E53">
        <w:t>50</w:t>
      </w:r>
      <w:r w:rsidR="00A76DCF">
        <w:t> </w:t>
      </w:r>
      <w:r w:rsidRPr="003D2E53">
        <w:t>ml.</w:t>
      </w:r>
    </w:p>
    <w:p w14:paraId="5512C428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>Na trhu nemusí být všechny velikosti balení.</w:t>
      </w:r>
    </w:p>
    <w:p w14:paraId="4BFC0F4B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6778832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2B0E95D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7F570B9" w14:textId="66EA4396" w:rsidR="00EC4EBA" w:rsidRPr="00B41D57" w:rsidRDefault="005D32B6" w:rsidP="00EC4EBA">
      <w:pPr>
        <w:rPr>
          <w:szCs w:val="22"/>
        </w:rPr>
      </w:pPr>
      <w:r>
        <w:t>01/2026</w:t>
      </w:r>
    </w:p>
    <w:p w14:paraId="5DF23E2D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31481D70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69E2A67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6CCD8DA7" w14:textId="77777777" w:rsidR="00EC4EBA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120CEA">
        <w:rPr>
          <w:szCs w:val="22"/>
        </w:rPr>
        <w:t>Podrobné informace o tomto veterinárním léčivém přípravku naleznete také v národní databázi (</w:t>
      </w:r>
      <w:hyperlink r:id="rId8" w:history="1">
        <w:r w:rsidRPr="000F736F">
          <w:rPr>
            <w:rStyle w:val="Hypertextovodkaz"/>
            <w:szCs w:val="22"/>
          </w:rPr>
          <w:t>https://www.uskvbl.cz</w:t>
        </w:r>
      </w:hyperlink>
      <w:r w:rsidRPr="00120CEA">
        <w:rPr>
          <w:szCs w:val="22"/>
        </w:rPr>
        <w:t>).</w:t>
      </w:r>
    </w:p>
    <w:p w14:paraId="24C03083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7C11DA58" w14:textId="77777777" w:rsidR="00EC4EBA" w:rsidRPr="00B41D57" w:rsidRDefault="00EC4EBA" w:rsidP="00EC4EBA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3F24A1E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p w14:paraId="11124D53" w14:textId="77777777" w:rsidR="00EC4EBA" w:rsidRPr="00DC4053" w:rsidRDefault="00EC4EBA" w:rsidP="00EC4EB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  <w:bookmarkEnd w:id="2"/>
      <w:r>
        <w:t xml:space="preserve"> </w:t>
      </w:r>
    </w:p>
    <w:p w14:paraId="062D1643" w14:textId="77777777" w:rsidR="00EC4EBA" w:rsidRDefault="00EC4EBA" w:rsidP="00EC4EBA">
      <w:pPr>
        <w:tabs>
          <w:tab w:val="clear" w:pos="567"/>
        </w:tabs>
        <w:spacing w:line="240" w:lineRule="auto"/>
      </w:pPr>
      <w:proofErr w:type="spellStart"/>
      <w:r w:rsidRPr="003D2E53">
        <w:t>Bioveta</w:t>
      </w:r>
      <w:proofErr w:type="spellEnd"/>
      <w:r w:rsidRPr="003D2E53">
        <w:t>, a.</w:t>
      </w:r>
      <w:r>
        <w:t xml:space="preserve"> </w:t>
      </w:r>
      <w:r w:rsidRPr="003D2E53">
        <w:t>s.</w:t>
      </w:r>
    </w:p>
    <w:p w14:paraId="0ABBC928" w14:textId="77777777" w:rsidR="00EC4EBA" w:rsidRDefault="00EC4EBA" w:rsidP="00EC4EBA">
      <w:pPr>
        <w:tabs>
          <w:tab w:val="clear" w:pos="567"/>
        </w:tabs>
        <w:spacing w:line="240" w:lineRule="auto"/>
      </w:pPr>
      <w:r w:rsidRPr="003D2E53">
        <w:t>Komenského 212/12</w:t>
      </w:r>
    </w:p>
    <w:p w14:paraId="6120BB93" w14:textId="77777777" w:rsidR="00EC4EBA" w:rsidRDefault="00EC4EBA" w:rsidP="00EC4EBA">
      <w:pPr>
        <w:tabs>
          <w:tab w:val="clear" w:pos="567"/>
        </w:tabs>
        <w:spacing w:line="240" w:lineRule="auto"/>
      </w:pPr>
      <w:r w:rsidRPr="003D2E53">
        <w:t>683 23 Ivanovice na Hané</w:t>
      </w:r>
    </w:p>
    <w:p w14:paraId="3FC8F183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Česká republika </w:t>
      </w:r>
    </w:p>
    <w:p w14:paraId="1AE5F2C7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>
        <w:t>T</w:t>
      </w:r>
      <w:r w:rsidRPr="003D2E53">
        <w:t xml:space="preserve">el. +420 517 318 911 </w:t>
      </w:r>
    </w:p>
    <w:p w14:paraId="029F7B03" w14:textId="77777777" w:rsidR="00EC4EBA" w:rsidRPr="003D2E53" w:rsidRDefault="00EC4EBA" w:rsidP="00EC4EBA">
      <w:pPr>
        <w:tabs>
          <w:tab w:val="clear" w:pos="567"/>
        </w:tabs>
        <w:spacing w:line="240" w:lineRule="auto"/>
        <w:rPr>
          <w:szCs w:val="22"/>
        </w:rPr>
      </w:pPr>
      <w:r>
        <w:t>E</w:t>
      </w:r>
      <w:r w:rsidRPr="003D2E53">
        <w:t>-mail: reklamace@bioveta.cz</w:t>
      </w:r>
    </w:p>
    <w:p w14:paraId="3B3ED6D7" w14:textId="77777777" w:rsidR="00EC4EBA" w:rsidRPr="00B41D57" w:rsidRDefault="00EC4EBA" w:rsidP="00EC4EBA">
      <w:pPr>
        <w:rPr>
          <w:bCs/>
          <w:szCs w:val="22"/>
        </w:rPr>
      </w:pPr>
    </w:p>
    <w:p w14:paraId="3CB267DE" w14:textId="77777777" w:rsidR="00EC4EBA" w:rsidRPr="00B41D57" w:rsidRDefault="00EC4EBA" w:rsidP="00EC4EBA">
      <w:pPr>
        <w:pStyle w:val="Style1"/>
        <w:ind w:left="0" w:firstLine="0"/>
      </w:pPr>
      <w:r w:rsidRPr="00B41D57">
        <w:t>&lt;</w:t>
      </w:r>
      <w:r w:rsidRPr="00B41D57">
        <w:rPr>
          <w:highlight w:val="lightGray"/>
        </w:rPr>
        <w:t>17.</w:t>
      </w:r>
      <w:r w:rsidRPr="00B41D57">
        <w:tab/>
        <w:t>Další informace&gt;</w:t>
      </w:r>
    </w:p>
    <w:p w14:paraId="23477B41" w14:textId="77777777" w:rsidR="00EC4EBA" w:rsidRPr="00B41D57" w:rsidRDefault="00EC4EBA" w:rsidP="00EC4EBA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08502AA8" w14:textId="77777777" w:rsidR="00D87741" w:rsidRDefault="00D87741"/>
    <w:sectPr w:rsidR="00D87741" w:rsidSect="005330C6">
      <w:footerReference w:type="default" r:id="rId9"/>
      <w:footerReference w:type="first" r:id="rId10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BD1911" w16cex:dateUtc="2025-11-06T09:16:00Z"/>
  <w16cex:commentExtensible w16cex:durableId="76786FE9" w16cex:dateUtc="2025-11-06T09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3A8D" w14:textId="77777777" w:rsidR="000E7288" w:rsidRDefault="000E7288">
      <w:pPr>
        <w:spacing w:line="240" w:lineRule="auto"/>
      </w:pPr>
      <w:r>
        <w:separator/>
      </w:r>
    </w:p>
  </w:endnote>
  <w:endnote w:type="continuationSeparator" w:id="0">
    <w:p w14:paraId="521B6056" w14:textId="77777777" w:rsidR="000E7288" w:rsidRDefault="000E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76F35" w14:textId="77777777" w:rsidR="00EC4EBA" w:rsidRPr="00E0068C" w:rsidRDefault="00EC4EB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96DB" w14:textId="77777777" w:rsidR="00EC4EBA" w:rsidRPr="00E0068C" w:rsidRDefault="00EC4EB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6BE4" w14:textId="77777777" w:rsidR="000E7288" w:rsidRDefault="000E7288">
      <w:pPr>
        <w:spacing w:line="240" w:lineRule="auto"/>
      </w:pPr>
      <w:r>
        <w:separator/>
      </w:r>
    </w:p>
  </w:footnote>
  <w:footnote w:type="continuationSeparator" w:id="0">
    <w:p w14:paraId="2030C479" w14:textId="77777777" w:rsidR="000E7288" w:rsidRDefault="000E72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882"/>
    <w:multiLevelType w:val="hybridMultilevel"/>
    <w:tmpl w:val="B1860FDC"/>
    <w:lvl w:ilvl="0" w:tplc="D98C55FE">
      <w:start w:val="1"/>
      <w:numFmt w:val="bullet"/>
      <w:lvlText w:val="-"/>
      <w:lvlJc w:val="left"/>
      <w:pPr>
        <w:ind w:left="290" w:hanging="138"/>
      </w:pPr>
      <w:rPr>
        <w:rFonts w:ascii="Arial" w:eastAsia="Arial" w:hAnsi="Arial" w:hint="default"/>
        <w:w w:val="100"/>
        <w:sz w:val="22"/>
        <w:szCs w:val="22"/>
      </w:rPr>
    </w:lvl>
    <w:lvl w:ilvl="1" w:tplc="7CA2B6EA">
      <w:start w:val="1"/>
      <w:numFmt w:val="bullet"/>
      <w:lvlText w:val="•"/>
      <w:lvlJc w:val="left"/>
      <w:pPr>
        <w:ind w:left="1254" w:hanging="138"/>
      </w:pPr>
      <w:rPr>
        <w:rFonts w:hint="default"/>
      </w:rPr>
    </w:lvl>
    <w:lvl w:ilvl="2" w:tplc="C838B3D0">
      <w:start w:val="1"/>
      <w:numFmt w:val="bullet"/>
      <w:lvlText w:val="•"/>
      <w:lvlJc w:val="left"/>
      <w:pPr>
        <w:ind w:left="2209" w:hanging="138"/>
      </w:pPr>
      <w:rPr>
        <w:rFonts w:hint="default"/>
      </w:rPr>
    </w:lvl>
    <w:lvl w:ilvl="3" w:tplc="CF267BE6">
      <w:start w:val="1"/>
      <w:numFmt w:val="bullet"/>
      <w:lvlText w:val="•"/>
      <w:lvlJc w:val="left"/>
      <w:pPr>
        <w:ind w:left="3163" w:hanging="138"/>
      </w:pPr>
      <w:rPr>
        <w:rFonts w:hint="default"/>
      </w:rPr>
    </w:lvl>
    <w:lvl w:ilvl="4" w:tplc="9BE42968">
      <w:start w:val="1"/>
      <w:numFmt w:val="bullet"/>
      <w:lvlText w:val="•"/>
      <w:lvlJc w:val="left"/>
      <w:pPr>
        <w:ind w:left="4118" w:hanging="138"/>
      </w:pPr>
      <w:rPr>
        <w:rFonts w:hint="default"/>
      </w:rPr>
    </w:lvl>
    <w:lvl w:ilvl="5" w:tplc="D1683F84">
      <w:start w:val="1"/>
      <w:numFmt w:val="bullet"/>
      <w:lvlText w:val="•"/>
      <w:lvlJc w:val="left"/>
      <w:pPr>
        <w:ind w:left="5073" w:hanging="138"/>
      </w:pPr>
      <w:rPr>
        <w:rFonts w:hint="default"/>
      </w:rPr>
    </w:lvl>
    <w:lvl w:ilvl="6" w:tplc="1BCCB138">
      <w:start w:val="1"/>
      <w:numFmt w:val="bullet"/>
      <w:lvlText w:val="•"/>
      <w:lvlJc w:val="left"/>
      <w:pPr>
        <w:ind w:left="6027" w:hanging="138"/>
      </w:pPr>
      <w:rPr>
        <w:rFonts w:hint="default"/>
      </w:rPr>
    </w:lvl>
    <w:lvl w:ilvl="7" w:tplc="5BF8BE10">
      <w:start w:val="1"/>
      <w:numFmt w:val="bullet"/>
      <w:lvlText w:val="•"/>
      <w:lvlJc w:val="left"/>
      <w:pPr>
        <w:ind w:left="6982" w:hanging="138"/>
      </w:pPr>
      <w:rPr>
        <w:rFonts w:hint="default"/>
      </w:rPr>
    </w:lvl>
    <w:lvl w:ilvl="8" w:tplc="1E144368">
      <w:start w:val="1"/>
      <w:numFmt w:val="bullet"/>
      <w:lvlText w:val="•"/>
      <w:lvlJc w:val="left"/>
      <w:pPr>
        <w:ind w:left="7937" w:hanging="138"/>
      </w:pPr>
      <w:rPr>
        <w:rFonts w:hint="default"/>
      </w:rPr>
    </w:lvl>
  </w:abstractNum>
  <w:abstractNum w:abstractNumId="1" w15:restartNumberingAfterBreak="0">
    <w:nsid w:val="5E0C3C1E"/>
    <w:multiLevelType w:val="hybridMultilevel"/>
    <w:tmpl w:val="BCC6941C"/>
    <w:lvl w:ilvl="0" w:tplc="2620F29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316E4D4" w:tentative="1">
      <w:start w:val="1"/>
      <w:numFmt w:val="lowerLetter"/>
      <w:lvlText w:val="%2."/>
      <w:lvlJc w:val="left"/>
      <w:pPr>
        <w:ind w:left="1440" w:hanging="360"/>
      </w:pPr>
    </w:lvl>
    <w:lvl w:ilvl="2" w:tplc="336C3D7C" w:tentative="1">
      <w:start w:val="1"/>
      <w:numFmt w:val="lowerRoman"/>
      <w:lvlText w:val="%3."/>
      <w:lvlJc w:val="right"/>
      <w:pPr>
        <w:ind w:left="2160" w:hanging="180"/>
      </w:pPr>
    </w:lvl>
    <w:lvl w:ilvl="3" w:tplc="3976F170" w:tentative="1">
      <w:start w:val="1"/>
      <w:numFmt w:val="decimal"/>
      <w:lvlText w:val="%4."/>
      <w:lvlJc w:val="left"/>
      <w:pPr>
        <w:ind w:left="2880" w:hanging="360"/>
      </w:pPr>
    </w:lvl>
    <w:lvl w:ilvl="4" w:tplc="EAE4AE1A" w:tentative="1">
      <w:start w:val="1"/>
      <w:numFmt w:val="lowerLetter"/>
      <w:lvlText w:val="%5."/>
      <w:lvlJc w:val="left"/>
      <w:pPr>
        <w:ind w:left="3600" w:hanging="360"/>
      </w:pPr>
    </w:lvl>
    <w:lvl w:ilvl="5" w:tplc="8B862C20" w:tentative="1">
      <w:start w:val="1"/>
      <w:numFmt w:val="lowerRoman"/>
      <w:lvlText w:val="%6."/>
      <w:lvlJc w:val="right"/>
      <w:pPr>
        <w:ind w:left="4320" w:hanging="180"/>
      </w:pPr>
    </w:lvl>
    <w:lvl w:ilvl="6" w:tplc="3A4615D6" w:tentative="1">
      <w:start w:val="1"/>
      <w:numFmt w:val="decimal"/>
      <w:lvlText w:val="%7."/>
      <w:lvlJc w:val="left"/>
      <w:pPr>
        <w:ind w:left="5040" w:hanging="360"/>
      </w:pPr>
    </w:lvl>
    <w:lvl w:ilvl="7" w:tplc="EFF2B272" w:tentative="1">
      <w:start w:val="1"/>
      <w:numFmt w:val="lowerLetter"/>
      <w:lvlText w:val="%8."/>
      <w:lvlJc w:val="left"/>
      <w:pPr>
        <w:ind w:left="5760" w:hanging="360"/>
      </w:pPr>
    </w:lvl>
    <w:lvl w:ilvl="8" w:tplc="3AAAEE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BA"/>
    <w:rsid w:val="000315FF"/>
    <w:rsid w:val="000E7288"/>
    <w:rsid w:val="0015694C"/>
    <w:rsid w:val="001775C5"/>
    <w:rsid w:val="002A57AC"/>
    <w:rsid w:val="00342DFE"/>
    <w:rsid w:val="00370AAC"/>
    <w:rsid w:val="003744EB"/>
    <w:rsid w:val="003849A8"/>
    <w:rsid w:val="003946CC"/>
    <w:rsid w:val="003B3E14"/>
    <w:rsid w:val="003D73CE"/>
    <w:rsid w:val="0044095D"/>
    <w:rsid w:val="0047699B"/>
    <w:rsid w:val="00520E00"/>
    <w:rsid w:val="005330C6"/>
    <w:rsid w:val="005D32B6"/>
    <w:rsid w:val="006436ED"/>
    <w:rsid w:val="00697349"/>
    <w:rsid w:val="00706DDB"/>
    <w:rsid w:val="008B63DA"/>
    <w:rsid w:val="008F32D9"/>
    <w:rsid w:val="00A76DCF"/>
    <w:rsid w:val="00B373AD"/>
    <w:rsid w:val="00B60085"/>
    <w:rsid w:val="00BD1A2F"/>
    <w:rsid w:val="00BD30CC"/>
    <w:rsid w:val="00C21912"/>
    <w:rsid w:val="00C30A51"/>
    <w:rsid w:val="00C46DFC"/>
    <w:rsid w:val="00D03A6B"/>
    <w:rsid w:val="00D20891"/>
    <w:rsid w:val="00D87741"/>
    <w:rsid w:val="00D9175F"/>
    <w:rsid w:val="00D973C2"/>
    <w:rsid w:val="00E444C1"/>
    <w:rsid w:val="00EC4EBA"/>
    <w:rsid w:val="00F03C80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085F"/>
  <w15:chartTrackingRefBased/>
  <w15:docId w15:val="{F96477FC-6692-4E17-B632-FBC53C2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EB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4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E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E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E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E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E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E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E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EC4E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E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E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EB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EC4EB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EC4EBA"/>
    <w:rPr>
      <w:rFonts w:ascii="Helvetica" w:eastAsia="Times New Roman" w:hAnsi="Helvetica" w:cs="Times New Roman"/>
      <w:kern w:val="0"/>
      <w:sz w:val="16"/>
      <w:szCs w:val="20"/>
      <w14:ligatures w14:val="none"/>
    </w:rPr>
  </w:style>
  <w:style w:type="paragraph" w:styleId="Zkladntext">
    <w:name w:val="Body Text"/>
    <w:basedOn w:val="Normln"/>
    <w:link w:val="ZkladntextChar"/>
    <w:rsid w:val="00EC4EBA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EC4EB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Odkaznakoment">
    <w:name w:val="annotation reference"/>
    <w:qFormat/>
    <w:rsid w:val="00EC4EBA"/>
    <w:rPr>
      <w:sz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EC4EBA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EC4E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textovodkaz">
    <w:name w:val="Hyperlink"/>
    <w:rsid w:val="00EC4EBA"/>
    <w:rPr>
      <w:color w:val="0000FF"/>
      <w:u w:val="single"/>
    </w:rPr>
  </w:style>
  <w:style w:type="paragraph" w:customStyle="1" w:styleId="Style1">
    <w:name w:val="Style1"/>
    <w:basedOn w:val="Normln"/>
    <w:qFormat/>
    <w:rsid w:val="00EC4EBA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EC4EBA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A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A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70AA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AA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424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1209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Balejová Veronika, Ing.</dc:creator>
  <cp:keywords/>
  <dc:description/>
  <cp:lastModifiedBy>Nepejchalová Leona</cp:lastModifiedBy>
  <cp:revision>21</cp:revision>
  <dcterms:created xsi:type="dcterms:W3CDTF">2025-11-06T11:27:00Z</dcterms:created>
  <dcterms:modified xsi:type="dcterms:W3CDTF">2026-01-09T15:03:00Z</dcterms:modified>
</cp:coreProperties>
</file>