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7ADD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</w:p>
    <w:p w14:paraId="11345876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2746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A906A3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065EB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02C5E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E3CF3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252BE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12909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41CFD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D03769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AA716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18DF1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2747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AB5C57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023E49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1C57B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5D5E6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FC1A6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8D614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D95FF7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D61989" w14:textId="77777777" w:rsidR="00EA520A" w:rsidRPr="00EA520A" w:rsidRDefault="00EA520A" w:rsidP="00EA5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>PŘÍBALOVÁ INFORMACE</w:t>
      </w:r>
    </w:p>
    <w:p w14:paraId="029E8E37" w14:textId="77777777" w:rsidR="00EA520A" w:rsidRPr="00EA520A" w:rsidRDefault="00EA520A" w:rsidP="00EA52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17C287C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EE4A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7074E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78E001F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8259" w14:textId="079EA04B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Respisure</w:t>
      </w:r>
      <w:proofErr w:type="spellEnd"/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1 </w:t>
      </w:r>
      <w:proofErr w:type="spellStart"/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One</w:t>
      </w:r>
      <w:proofErr w:type="spellEnd"/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667B1C">
        <w:rPr>
          <w:rFonts w:ascii="Times New Roman" w:eastAsia="Times New Roman" w:hAnsi="Times New Roman" w:cs="Times New Roman"/>
          <w:kern w:val="0"/>
          <w:szCs w:val="20"/>
          <w14:ligatures w14:val="none"/>
        </w:rPr>
        <w:t>i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njekční emulze </w:t>
      </w:r>
    </w:p>
    <w:p w14:paraId="06E5595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028C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485405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5FCC30D6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DBEC1CA" w14:textId="77EFBD55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Každá 2 ml dávka obsahuje:</w:t>
      </w:r>
    </w:p>
    <w:p w14:paraId="4A1D43C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FBE7B51" w14:textId="726A034E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Léčiv</w:t>
      </w:r>
      <w:r w:rsidR="00667B1C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é</w:t>
      </w:r>
      <w:r w:rsidRPr="00EA520A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 xml:space="preserve"> látk</w:t>
      </w:r>
      <w:r w:rsidR="00667B1C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y</w:t>
      </w:r>
      <w:r w:rsidRPr="00EA520A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 xml:space="preserve">: </w:t>
      </w:r>
    </w:p>
    <w:p w14:paraId="298DB196" w14:textId="680DB27B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proofErr w:type="spellStart"/>
      <w:r w:rsidRPr="00C128BD">
        <w:rPr>
          <w:rFonts w:ascii="Times New Roman" w:eastAsia="Times New Roman" w:hAnsi="Times New Roman" w:cs="Times New Roman"/>
          <w:i/>
          <w:kern w:val="0"/>
          <w14:ligatures w14:val="none"/>
        </w:rPr>
        <w:t>Mycoplasma</w:t>
      </w:r>
      <w:proofErr w:type="spellEnd"/>
      <w:r w:rsidRPr="00C128BD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proofErr w:type="spellStart"/>
      <w:r w:rsidRPr="00C128BD">
        <w:rPr>
          <w:rFonts w:ascii="Times New Roman" w:eastAsia="Times New Roman" w:hAnsi="Times New Roman" w:cs="Times New Roman"/>
          <w:i/>
          <w:kern w:val="0"/>
          <w14:ligatures w14:val="none"/>
        </w:rPr>
        <w:t>hyopneumoniae</w:t>
      </w:r>
      <w:proofErr w:type="spellEnd"/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, kmen NL1042,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inaktivovaná, mezi 4,5 a 5,2 log10 jednotek*</w:t>
      </w:r>
    </w:p>
    <w:p w14:paraId="3BE2953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E82607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*ELISA jednotky relativní účinnosti v porovnání s referenční vakcínou.</w:t>
      </w:r>
    </w:p>
    <w:p w14:paraId="6ABCF753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E69097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Adjuvans:</w:t>
      </w:r>
    </w:p>
    <w:p w14:paraId="4E9DCE2F" w14:textId="70850F4B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proofErr w:type="spellStart"/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Amphigen</w:t>
      </w:r>
      <w:proofErr w:type="spellEnd"/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báze </w:t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  <w:t>0,025 ml</w:t>
      </w:r>
    </w:p>
    <w:p w14:paraId="16FBCFE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Drakeol 5 (minerální olej)</w:t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  <w:t>0,075 ml</w:t>
      </w:r>
    </w:p>
    <w:p w14:paraId="5563507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E12E1FC" w14:textId="3BA89EB1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>Pomocné látky:</w:t>
      </w:r>
    </w:p>
    <w:p w14:paraId="15746AF3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Thiomersal</w:t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ab/>
        <w:t>0,185 mg</w:t>
      </w:r>
    </w:p>
    <w:p w14:paraId="2691057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369DB11" w14:textId="3A63F995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Bílá průhledná, jemně zakalená emulze olej ve vodě.</w:t>
      </w:r>
    </w:p>
    <w:p w14:paraId="3F0618FB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7F92E1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6B4C67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785EEFE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261448" w14:textId="6C021992" w:rsidR="00EA520A" w:rsidRPr="00EA520A" w:rsidRDefault="00EA520A" w:rsidP="00EA52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Prasata (</w:t>
      </w:r>
      <w:r w:rsidR="00667B1C">
        <w:rPr>
          <w:rFonts w:ascii="Times New Roman" w:eastAsia="Times New Roman" w:hAnsi="Times New Roman" w:cs="Times New Roman"/>
          <w:kern w:val="0"/>
          <w14:ligatures w14:val="none"/>
        </w:rPr>
        <w:t>pro výkrm</w:t>
      </w: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14:paraId="68E5042B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DDC2C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855DD9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296E31B7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75F1D5" w14:textId="279BDF8A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K aktivní imunizaci selat od stáří 3 dny za účelem redukce plicních lézí, které jsou spojeny s infekcí </w:t>
      </w:r>
      <w:r w:rsidRPr="00C128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Mycoplasma </w:t>
      </w:r>
      <w:proofErr w:type="spellStart"/>
      <w:r w:rsidRPr="00C128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hyopneumoniae</w:t>
      </w:r>
      <w:proofErr w:type="spellEnd"/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 u výkrmových zvířat.</w:t>
      </w:r>
    </w:p>
    <w:p w14:paraId="5ECB1C4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Nástup imunity: 18 dnů po vakcinaci. </w:t>
      </w:r>
    </w:p>
    <w:p w14:paraId="31085D2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Trvání imunity: 26 týdnů po vakcinaci.</w:t>
      </w:r>
    </w:p>
    <w:p w14:paraId="28E9A19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E804B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K aktivní imunizaci selat od stáří 3 týdny za účelem redukce kašle a ztrát na hmotnostním přírůstku, které jsou spojeny s infekcí </w:t>
      </w:r>
      <w:r w:rsidRPr="00C128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Mycoplasma hyopneumoniae</w:t>
      </w: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 u výkrmových zvířat. </w:t>
      </w:r>
    </w:p>
    <w:p w14:paraId="51093CB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Nástup imunity: 3 týdny po vakcinaci. </w:t>
      </w:r>
    </w:p>
    <w:p w14:paraId="6A6C063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Trvání imunity: 23 týdnů po vakcinaci.</w:t>
      </w:r>
    </w:p>
    <w:p w14:paraId="4D37208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E6DB5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7A6B34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5.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006FA3B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E8D78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Nejsou.</w:t>
      </w:r>
    </w:p>
    <w:p w14:paraId="60A168C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3C8C1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6BE8C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6558CE2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BE225" w14:textId="77777777" w:rsidR="00667B1C" w:rsidRDefault="00667B1C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Zvláštní 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upozornění:</w:t>
      </w:r>
    </w:p>
    <w:p w14:paraId="3CAC56A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Vakcinovat pouze zdravá zvířata.</w:t>
      </w:r>
    </w:p>
    <w:p w14:paraId="3A86073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06136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u w:val="single"/>
          <w14:ligatures w14:val="none"/>
        </w:rPr>
        <w:lastRenderedPageBreak/>
        <w:t>Zvláštní opatření pro osobu, která podává veterinární léčivý přípravek zvířatům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4F2E3B5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A779E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Pro uživatele:</w:t>
      </w:r>
    </w:p>
    <w:p w14:paraId="22FD8CEF" w14:textId="7CFF54AE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Tento veterinární léčivý přípravek obsahuje minerální olej. Náhodná injekce/náhodné sebepoškození injekčně podaným </w:t>
      </w:r>
      <w:r w:rsidR="00794447" w:rsidRPr="00794447">
        <w:rPr>
          <w:rFonts w:ascii="Times New Roman" w:eastAsia="Times New Roman" w:hAnsi="Times New Roman" w:cs="Times New Roman"/>
          <w:kern w:val="0"/>
          <w14:ligatures w14:val="none"/>
        </w:rPr>
        <w:t xml:space="preserve">veterinárním léčivým </w:t>
      </w: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přípravkem může způsobit silné bolesti a otok, zvláště po injekčním podání do kloubu nebo prstu, a ve vzácných případech může vést k ztrátě postiženého prstu, pokud není poskytnuta rychlá lékařská péče.</w:t>
      </w:r>
    </w:p>
    <w:p w14:paraId="74146EC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Pokud u vás došlo k náhodné injekci veterinárního léčivého přípravku, vyhledejte lékařskou pomoc, i když šlo jen o malé množství, a vezměte příbalovou informaci s sebou.</w:t>
      </w:r>
    </w:p>
    <w:p w14:paraId="4EEA02A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Pokud bolest přetrvává více než 12 hodin po lékařské prohlídce, obraťte se na lékaře znovu.</w:t>
      </w:r>
    </w:p>
    <w:p w14:paraId="0275D74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DD19C1B" w14:textId="77777777" w:rsidR="00EA520A" w:rsidRPr="00C128BD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128BD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Pro lékaře:</w:t>
      </w:r>
    </w:p>
    <w:p w14:paraId="6D5EB0AB" w14:textId="6A608D5F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Tento veterinární léčivý přípravek obsahuje minerální olej. I když bylo injekčně podané malé množství, náhodná injekce tohoto veterinárního léčivého přípravku může vyvolat intenzivní otok, který může např. končit ischemickou </w:t>
      </w:r>
      <w:proofErr w:type="gramStart"/>
      <w:r w:rsidRPr="00EA520A">
        <w:rPr>
          <w:rFonts w:ascii="Times New Roman" w:eastAsia="Times New Roman" w:hAnsi="Times New Roman" w:cs="Times New Roman"/>
          <w:kern w:val="0"/>
          <w14:ligatures w14:val="none"/>
        </w:rPr>
        <w:t>nekrózou</w:t>
      </w:r>
      <w:proofErr w:type="gramEnd"/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64AC8070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C82D5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Březost a laktace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427F5418" w14:textId="151C6096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Nebyla stanovena bezpečnost veterinárního léčivého přípravku pro použití během březosti a laktace.</w:t>
      </w:r>
    </w:p>
    <w:p w14:paraId="29C9E42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17D6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 jinými léčivými přípravky a další formy interakce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0875F50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Nejsou dostupné informace o bezpečnosti a účinnosti této vakcíny, pokud je podávána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046B28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3B2DA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Předávkování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3053F069" w14:textId="73772711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Po podání dvojnásobné dávky byly zaznamenány reakce v místě vpichu podobné reakcím po doporučené dávce. U předávkovaných zvířat je velmi častá (více než 1 z 10 zvířat) hmatná reakce v místě vpichu do 3 cm v průměru, která vymizí do 2 dnů. U zvířat vakcinovaných dvojnásobnou dávkou byla sledována nižší rychlost růstu.</w:t>
      </w:r>
    </w:p>
    <w:p w14:paraId="1F3AA637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75D0E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3D89AA1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Nemísit s jiným veterinárním léčivým přípravkem.</w:t>
      </w:r>
    </w:p>
    <w:p w14:paraId="654F238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3A0FB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137EF9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7.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4AFADC5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4E4C7AF" w14:textId="3D22ABEA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Prasata (</w:t>
      </w:r>
      <w:r w:rsidR="00794447">
        <w:rPr>
          <w:rFonts w:ascii="Times New Roman" w:eastAsia="Times New Roman" w:hAnsi="Times New Roman" w:cs="Times New Roman"/>
          <w:iCs/>
          <w:kern w:val="0"/>
          <w14:ligatures w14:val="none"/>
        </w:rPr>
        <w:t>pro výkrm</w:t>
      </w: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):</w:t>
      </w:r>
    </w:p>
    <w:p w14:paraId="27CD4DA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A520A" w:rsidRPr="00EA520A" w14:paraId="758AB63F" w14:textId="77777777" w:rsidTr="00487352">
        <w:tc>
          <w:tcPr>
            <w:tcW w:w="5000" w:type="pct"/>
          </w:tcPr>
          <w:p w14:paraId="3A414898" w14:textId="45C89B81" w:rsidR="00EA520A" w:rsidRPr="00EA520A" w:rsidRDefault="00EA520A" w:rsidP="00EA520A">
            <w:pPr>
              <w:tabs>
                <w:tab w:val="left" w:pos="567"/>
              </w:tabs>
              <w:spacing w:line="260" w:lineRule="exact"/>
              <w:rPr>
                <w:i/>
                <w:color w:val="008000"/>
              </w:rPr>
            </w:pPr>
            <w:r w:rsidRPr="00EA520A">
              <w:t>Velmi časté (&gt;1 zvíře / 10 ošetřených zvířat):</w:t>
            </w:r>
          </w:p>
        </w:tc>
      </w:tr>
      <w:tr w:rsidR="00EA520A" w:rsidRPr="00EA520A" w14:paraId="3E841DDF" w14:textId="77777777" w:rsidTr="00487352">
        <w:tc>
          <w:tcPr>
            <w:tcW w:w="5000" w:type="pct"/>
          </w:tcPr>
          <w:p w14:paraId="4463AA2B" w14:textId="4691B494" w:rsidR="00EA520A" w:rsidRPr="00EA520A" w:rsidRDefault="00EA520A" w:rsidP="00EA520A">
            <w:pPr>
              <w:tabs>
                <w:tab w:val="left" w:pos="567"/>
              </w:tabs>
              <w:spacing w:line="260" w:lineRule="exact"/>
              <w:rPr>
                <w:i/>
                <w:color w:val="008000"/>
              </w:rPr>
            </w:pPr>
            <w:r w:rsidRPr="00EA520A">
              <w:t xml:space="preserve">Otok v místě </w:t>
            </w:r>
            <w:r w:rsidR="00794447">
              <w:t>injekčního podání</w:t>
            </w:r>
            <w:r w:rsidRPr="00EA520A">
              <w:rPr>
                <w:iCs/>
                <w:vertAlign w:val="superscript"/>
              </w:rPr>
              <w:t>1</w:t>
            </w:r>
          </w:p>
        </w:tc>
      </w:tr>
      <w:tr w:rsidR="00EA520A" w:rsidRPr="00EA520A" w14:paraId="2BD04B50" w14:textId="77777777" w:rsidTr="00487352">
        <w:tc>
          <w:tcPr>
            <w:tcW w:w="5000" w:type="pct"/>
          </w:tcPr>
          <w:p w14:paraId="18B9D295" w14:textId="74ECFD2C" w:rsidR="00EA520A" w:rsidRPr="00EA520A" w:rsidRDefault="00EA520A" w:rsidP="00EA520A">
            <w:pPr>
              <w:tabs>
                <w:tab w:val="left" w:pos="567"/>
              </w:tabs>
              <w:spacing w:line="260" w:lineRule="exact"/>
              <w:rPr>
                <w:i/>
                <w:color w:val="008000"/>
              </w:rPr>
            </w:pPr>
            <w:r w:rsidRPr="00EA520A">
              <w:t>Velmi vzácné (&lt;1 zvíře / 10 000 ošetřených zvířat, včetně ojedinělých hlášení):</w:t>
            </w:r>
          </w:p>
        </w:tc>
      </w:tr>
      <w:tr w:rsidR="00EA520A" w:rsidRPr="00EA520A" w14:paraId="62B69AAB" w14:textId="77777777" w:rsidTr="00487352">
        <w:tc>
          <w:tcPr>
            <w:tcW w:w="5000" w:type="pct"/>
          </w:tcPr>
          <w:p w14:paraId="432E4FC2" w14:textId="7AF99F3D" w:rsidR="00EA520A" w:rsidRPr="00EA520A" w:rsidRDefault="00EA520A" w:rsidP="00EA520A">
            <w:pPr>
              <w:widowControl w:val="0"/>
              <w:autoSpaceDE w:val="0"/>
              <w:autoSpaceDN w:val="0"/>
              <w:spacing w:before="61" w:line="247" w:lineRule="auto"/>
              <w:ind w:right="269"/>
              <w:jc w:val="both"/>
              <w:rPr>
                <w:i/>
                <w:color w:val="008000"/>
              </w:rPr>
            </w:pPr>
            <w:r w:rsidRPr="00EA520A">
              <w:t xml:space="preserve">Fibróza v místě </w:t>
            </w:r>
            <w:r w:rsidR="00794447">
              <w:t>injekčního podání</w:t>
            </w:r>
            <w:r w:rsidRPr="00EA520A">
              <w:rPr>
                <w:vertAlign w:val="superscript"/>
              </w:rPr>
              <w:t>2</w:t>
            </w:r>
            <w:r w:rsidRPr="00EA520A">
              <w:t xml:space="preserve">, Zánět v místě </w:t>
            </w:r>
            <w:r w:rsidR="00794447">
              <w:t>injekčního podání</w:t>
            </w:r>
            <w:r w:rsidRPr="00EA520A">
              <w:rPr>
                <w:vertAlign w:val="superscript"/>
              </w:rPr>
              <w:t>2</w:t>
            </w:r>
            <w:r w:rsidRPr="00EA520A">
              <w:t>, Alergická reakce</w:t>
            </w:r>
            <w:r w:rsidRPr="00EA520A">
              <w:rPr>
                <w:vertAlign w:val="superscript"/>
              </w:rPr>
              <w:t>3</w:t>
            </w:r>
            <w:r w:rsidRPr="00EA520A">
              <w:t>, Zvýšená teplota</w:t>
            </w:r>
            <w:r w:rsidRPr="00EA520A">
              <w:rPr>
                <w:vertAlign w:val="superscript"/>
              </w:rPr>
              <w:t>4</w:t>
            </w:r>
          </w:p>
        </w:tc>
      </w:tr>
    </w:tbl>
    <w:p w14:paraId="1258801E" w14:textId="70B30BB8" w:rsidR="00EA520A" w:rsidRPr="00C128BD" w:rsidRDefault="00EA520A" w:rsidP="00C128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128BD">
        <w:rPr>
          <w:rFonts w:ascii="Times New Roman" w:eastAsia="Times New Roman" w:hAnsi="Times New Roman" w:cs="Times New Roman"/>
          <w:bCs/>
          <w:iCs/>
          <w:kern w:val="0"/>
          <w:vertAlign w:val="superscript"/>
          <w14:ligatures w14:val="none"/>
        </w:rPr>
        <w:t xml:space="preserve">1 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>Do velikosti 2,5 cm</w:t>
      </w:r>
      <w:r w:rsidR="00FA40F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 průměru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až po 3 dny. </w:t>
      </w:r>
    </w:p>
    <w:p w14:paraId="6837CB40" w14:textId="77777777" w:rsidR="00EA520A" w:rsidRPr="00C128BD" w:rsidRDefault="00EA520A" w:rsidP="00C128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128BD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14:ligatures w14:val="none"/>
        </w:rPr>
        <w:t xml:space="preserve">2 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Může přetrvávat více než </w:t>
      </w:r>
      <w:r w:rsidRPr="00EA520A">
        <w:rPr>
          <w:rFonts w:ascii="Times New Roman" w:eastAsia="Times New Roman" w:hAnsi="Times New Roman" w:cs="Times New Roman"/>
          <w:bCs/>
          <w:kern w:val="0"/>
          <w14:ligatures w14:val="none"/>
        </w:rPr>
        <w:t>2 týdny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3F7D339C" w14:textId="10C3420D" w:rsidR="00EA520A" w:rsidRPr="00C128BD" w:rsidRDefault="00EA520A" w:rsidP="00C128B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128BD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14:ligatures w14:val="none"/>
        </w:rPr>
        <w:t xml:space="preserve">3 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Zahrnující šok a </w:t>
      </w:r>
      <w:r w:rsidR="00FA40FA">
        <w:rPr>
          <w:rFonts w:ascii="Times New Roman" w:eastAsia="Times New Roman" w:hAnsi="Times New Roman" w:cs="Times New Roman"/>
          <w:bCs/>
          <w:kern w:val="0"/>
          <w14:ligatures w14:val="none"/>
        </w:rPr>
        <w:t>úhyn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B959FC" w:rsidRPr="00B959FC">
        <w:rPr>
          <w:rFonts w:ascii="Times New Roman" w:eastAsia="Times New Roman" w:hAnsi="Times New Roman" w:cs="Times New Roman"/>
          <w:bCs/>
          <w:kern w:val="0"/>
          <w14:ligatures w14:val="none"/>
        </w:rPr>
        <w:t>Měla by být podána vhodná léčba, která může zahrnovat intravenózní podání glukokortikoidů nebo intramuskulární podání adrenalinu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</w:p>
    <w:p w14:paraId="4131CDF3" w14:textId="487FCE79" w:rsidR="00EA520A" w:rsidRPr="00C128BD" w:rsidRDefault="00EA520A" w:rsidP="00C128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128BD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14:ligatures w14:val="none"/>
        </w:rPr>
        <w:t xml:space="preserve">4 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Až o 1,9 °C, </w:t>
      </w:r>
      <w:r w:rsidR="00FA40FA">
        <w:rPr>
          <w:rFonts w:ascii="Times New Roman" w:eastAsia="Times New Roman" w:hAnsi="Times New Roman" w:cs="Times New Roman"/>
          <w:bCs/>
          <w:kern w:val="0"/>
          <w14:ligatures w14:val="none"/>
        </w:rPr>
        <w:t>až p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>o 4 dn</w:t>
      </w:r>
      <w:r w:rsidR="00FA40FA">
        <w:rPr>
          <w:rFonts w:ascii="Times New Roman" w:eastAsia="Times New Roman" w:hAnsi="Times New Roman" w:cs="Times New Roman"/>
          <w:bCs/>
          <w:kern w:val="0"/>
          <w14:ligatures w14:val="none"/>
        </w:rPr>
        <w:t>y</w:t>
      </w:r>
      <w:r w:rsidRPr="00C128BD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2EB6BAC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</w:p>
    <w:p w14:paraId="3328DD95" w14:textId="77777777" w:rsidR="00EA520A" w:rsidRPr="00EA520A" w:rsidRDefault="00EA520A" w:rsidP="00EA52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s využitím kontaktních </w:t>
      </w:r>
      <w:r w:rsidRPr="00EA520A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lastRenderedPageBreak/>
        <w:t xml:space="preserve">údajů uvedených na konci této příbalové informace nebo prostřednictvím národního systému hlášení nežádoucích účinků: </w:t>
      </w:r>
    </w:p>
    <w:p w14:paraId="41C95CD1" w14:textId="77777777" w:rsidR="00EA520A" w:rsidRPr="00EA520A" w:rsidRDefault="00EA520A" w:rsidP="00EA520A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4FAA6E6" w14:textId="77777777" w:rsidR="00EA520A" w:rsidRPr="00C128BD" w:rsidRDefault="00EA520A" w:rsidP="00EA520A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C128B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Ústav pro státní kontrolu veterinárních biopreparátů a léčiv </w:t>
      </w:r>
    </w:p>
    <w:p w14:paraId="7EE1B1BF" w14:textId="77777777" w:rsidR="00EA520A" w:rsidRPr="00C128BD" w:rsidRDefault="00EA520A" w:rsidP="00EA520A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C128B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Hudcova 232/56a </w:t>
      </w:r>
    </w:p>
    <w:p w14:paraId="336CF7AE" w14:textId="77777777" w:rsidR="00EA520A" w:rsidRPr="00C128BD" w:rsidRDefault="00EA520A" w:rsidP="00EA520A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C128BD">
        <w:rPr>
          <w:rFonts w:ascii="Times New Roman" w:eastAsia="Times New Roman" w:hAnsi="Times New Roman" w:cs="Times New Roman"/>
          <w:kern w:val="0"/>
          <w:szCs w:val="20"/>
          <w14:ligatures w14:val="none"/>
        </w:rPr>
        <w:t>621 00 Brno</w:t>
      </w:r>
    </w:p>
    <w:p w14:paraId="76669B76" w14:textId="77777777" w:rsidR="00EA520A" w:rsidRPr="00C128BD" w:rsidRDefault="00EA520A" w:rsidP="00EA520A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C128B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e-mail: </w:t>
      </w:r>
      <w:hyperlink r:id="rId9" w:history="1">
        <w:r w:rsidRPr="00C128BD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adr@uskvbl.cz</w:t>
        </w:r>
      </w:hyperlink>
      <w:r w:rsidRPr="00C128BD"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14:ligatures w14:val="none"/>
        </w:rPr>
        <w:br/>
      </w:r>
      <w:r w:rsidRPr="00C128B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tel.: +420 720 940 693</w:t>
      </w:r>
    </w:p>
    <w:p w14:paraId="5966E21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C128B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Webové stránky: </w:t>
      </w:r>
      <w:hyperlink r:id="rId10" w:history="1">
        <w:r w:rsidRPr="00C128BD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http://www.uskvbl.cz/cs/farmakovigilance</w:t>
        </w:r>
      </w:hyperlink>
    </w:p>
    <w:p w14:paraId="60A0829D" w14:textId="77777777" w:rsidR="00EA520A" w:rsidRPr="00EA520A" w:rsidRDefault="00EA520A" w:rsidP="00EA520A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08BF9DE0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A184FE0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51BD1260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76CA16" w14:textId="43E6AAB3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Lékovku protřepat a asepticky podat 2 ml hluboko intramuskulárně do laterální krční svaloviny. Délka a průměr jehly by měly být uzpůsobeny věku zvířat.</w:t>
      </w:r>
    </w:p>
    <w:p w14:paraId="3133865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B54AA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Vakcinační program:</w:t>
      </w:r>
    </w:p>
    <w:p w14:paraId="65FD2E4C" w14:textId="4D611075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Podává se jed</w:t>
      </w:r>
      <w:r w:rsidR="00FA40FA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 dávka 2 ml </w:t>
      </w:r>
      <w:bookmarkStart w:id="1" w:name="_Hlk210214390"/>
      <w:r w:rsidRPr="00EA520A">
        <w:rPr>
          <w:rFonts w:ascii="Times New Roman" w:eastAsia="Times New Roman" w:hAnsi="Times New Roman" w:cs="Times New Roman"/>
          <w:kern w:val="0"/>
          <w14:ligatures w14:val="none"/>
        </w:rPr>
        <w:t>selatům od 3 dnů stáří</w:t>
      </w:r>
      <w:bookmarkEnd w:id="1"/>
      <w:r w:rsidRPr="00EA52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E606B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C1336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Vakcinace by měla být provedena před rizikovým obdobím. Infekce se obvykle objevuje během prvního měsíce života.</w:t>
      </w:r>
    </w:p>
    <w:p w14:paraId="0199E71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4258F6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5B8A6A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76DA00E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2626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Zabraňte vícenásobnému propíchnutí zátky a kontaminaci v průběhu používání.</w:t>
      </w:r>
    </w:p>
    <w:p w14:paraId="6D670A2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4FE2FA0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675C77E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2F7319B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6DAE85B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iCs/>
          <w:kern w:val="0"/>
          <w14:ligatures w14:val="none"/>
        </w:rPr>
        <w:t>Bez ochranných lhůt.</w:t>
      </w:r>
    </w:p>
    <w:p w14:paraId="5B4D2143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901E85F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93C66F8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3D47057F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AA4F6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Uchovávat mimo dohled a dosah dětí.</w:t>
      </w:r>
    </w:p>
    <w:p w14:paraId="75876AAC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144B9B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Uchovávejte v chladničce (2 °C–8 °C). </w:t>
      </w:r>
    </w:p>
    <w:p w14:paraId="10A574B8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Chraňte před mrazem. </w:t>
      </w:r>
    </w:p>
    <w:p w14:paraId="367B708A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Chraňte před světlem.</w:t>
      </w:r>
    </w:p>
    <w:p w14:paraId="683BE62E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A6008" w14:textId="5427E673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Nepoužívejte tento veterinární léčivý přípravek po uplynutí doby použitelnosti uvedené na etiketě po Exp. Doba použitelnosti končí posledním dnem v uvedeném měsíci.</w:t>
      </w:r>
    </w:p>
    <w:p w14:paraId="7E954C26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 xml:space="preserve">Doba použitelnosti po prvním otevření vnitřního obalu: 10 hodin. </w:t>
      </w:r>
    </w:p>
    <w:p w14:paraId="40975713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Během skladování se může v lahvičce objevit malé množství černé usazeniny.</w:t>
      </w:r>
    </w:p>
    <w:p w14:paraId="08F444C1" w14:textId="77777777" w:rsidR="00EA520A" w:rsidRPr="00EA520A" w:rsidRDefault="00EA520A" w:rsidP="00EA520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DFE5337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B3A2D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4F8397F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D4ED4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Léčivé přípravky se nesmí likvidovat prostřednictvím odpadní vody či domovního odpadu.</w:t>
      </w:r>
    </w:p>
    <w:p w14:paraId="179F2139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ECA412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40334166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960CF0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>O možnostech likvidace nepotřebných léčivých přípravků se poraďte s vaším veterinárním lékařem nebo lékárníkem.</w:t>
      </w:r>
    </w:p>
    <w:p w14:paraId="61F32BB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8E1D697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1AF22C09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57900C3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30931C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Veterinární léčivý přípravek je vydáván pouze na předpis.</w:t>
      </w:r>
    </w:p>
    <w:p w14:paraId="7E8874CE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F608A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6FEC2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14.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2758174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816DC8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97/082/03-C</w:t>
      </w:r>
    </w:p>
    <w:p w14:paraId="755D88F0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28FFC8D" w14:textId="18CB653C" w:rsidR="00B81E79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Injekční lahvičky z polyetylénu (High Density Polyethylene) s obsahem 50 nebo 125 dávek (respektive 100 nebo 250 ml). </w:t>
      </w:r>
    </w:p>
    <w:p w14:paraId="205B65FC" w14:textId="69758B20" w:rsidR="00EA520A" w:rsidRPr="00EA520A" w:rsidRDefault="00B959FC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P</w:t>
      </w:r>
      <w:r w:rsidR="00B81E79">
        <w:rPr>
          <w:rFonts w:ascii="Times New Roman" w:eastAsia="Times New Roman" w:hAnsi="Times New Roman" w:cs="Times New Roman"/>
          <w:kern w:val="0"/>
          <w:szCs w:val="20"/>
          <w14:ligatures w14:val="none"/>
        </w:rPr>
        <w:t>apírová krabička</w:t>
      </w:r>
      <w:r w:rsidR="00EA520A"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obsahující 10 injekčních lahviček po 50 dávkách nebo krabičk</w:t>
      </w:r>
      <w:r w:rsidR="00B81E79">
        <w:rPr>
          <w:rFonts w:ascii="Times New Roman" w:eastAsia="Times New Roman" w:hAnsi="Times New Roman" w:cs="Times New Roman"/>
          <w:kern w:val="0"/>
          <w:szCs w:val="20"/>
          <w14:ligatures w14:val="none"/>
        </w:rPr>
        <w:t>a</w:t>
      </w:r>
      <w:r w:rsidR="00EA520A"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obsahující 4 injekční lahvičky po 125 dávkách. </w:t>
      </w:r>
    </w:p>
    <w:p w14:paraId="6D6445B1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AD28CA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 trhu nemusí být všechny velikosti balení.</w:t>
      </w:r>
    </w:p>
    <w:p w14:paraId="3A6A3470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6A83C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4D5F7F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6F5589E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98BCBC" w14:textId="5AD764EA" w:rsidR="00EA520A" w:rsidRPr="00EA520A" w:rsidRDefault="00B81E79" w:rsidP="00EA52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10</w:t>
      </w:r>
      <w:r w:rsidR="00EA520A"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/2025</w:t>
      </w:r>
    </w:p>
    <w:p w14:paraId="618D535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C2D85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F17F9B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Podrobné informace o tomto veterinárním léčivém přípravku jsou k dispozici v databázi přípravků Unie </w:t>
      </w: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(</w:t>
      </w:r>
      <w:hyperlink r:id="rId11" w:history="1">
        <w:r w:rsidRPr="00EA520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EA520A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31B93187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ADE82D" w14:textId="77777777" w:rsidR="00EA520A" w:rsidRPr="00EA520A" w:rsidRDefault="00EA520A" w:rsidP="00EA5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bookmarkStart w:id="2" w:name="_Hlk210214724"/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Podrobné informace o tomto veterinárním léčivém přípravku naleznete také v národní databázi (</w:t>
      </w:r>
      <w:hyperlink r:id="rId12" w:history="1">
        <w:r w:rsidRPr="00EA520A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14:ligatures w14:val="none"/>
          </w:rPr>
          <w:t>https://www.uskvbl.cz</w:t>
        </w:r>
      </w:hyperlink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).</w:t>
      </w:r>
    </w:p>
    <w:bookmarkEnd w:id="2"/>
    <w:p w14:paraId="32B0E1E9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D78022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5B860C" w14:textId="77777777" w:rsidR="00EA520A" w:rsidRPr="00EA520A" w:rsidRDefault="00EA520A" w:rsidP="00EA520A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EA520A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56325133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61FF5F" w14:textId="77777777" w:rsidR="00EA520A" w:rsidRPr="00EA520A" w:rsidRDefault="00EA520A" w:rsidP="00EA52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14:ligatures w14:val="none"/>
        </w:rPr>
      </w:pPr>
      <w:bookmarkStart w:id="3" w:name="_Hlk73552578"/>
      <w:r w:rsidRPr="00EA520A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 a kontaktní údaje pro hlášení podezření na nežádoucí účinky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bookmarkEnd w:id="3"/>
    <w:p w14:paraId="418EC44A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Elanco GmbH, Heinz-Lohmann-Str. 4, 27472 Cuxhaven, Německo</w:t>
      </w:r>
    </w:p>
    <w:p w14:paraId="1D0D307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09EA94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PV.CZE@elancoah.com</w:t>
      </w:r>
    </w:p>
    <w:p w14:paraId="7D78E7F5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kern w:val="0"/>
          <w14:ligatures w14:val="none"/>
        </w:rPr>
        <w:t>+420228880231</w:t>
      </w:r>
    </w:p>
    <w:p w14:paraId="2267AB0D" w14:textId="77777777" w:rsidR="00EA520A" w:rsidRPr="00EA520A" w:rsidRDefault="00EA520A" w:rsidP="00EA520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19CDBD" w14:textId="77777777" w:rsidR="00EA520A" w:rsidRPr="00EA520A" w:rsidRDefault="00EA520A" w:rsidP="00EA52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Cs/>
          <w:kern w:val="0"/>
          <w:u w:val="single"/>
          <w14:ligatures w14:val="none"/>
        </w:rPr>
        <w:t>Výrobce odpovědný za uvolnění šarže</w:t>
      </w:r>
      <w:r w:rsidRPr="00EA520A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: </w:t>
      </w:r>
    </w:p>
    <w:p w14:paraId="3EF6B875" w14:textId="77777777" w:rsidR="00EA520A" w:rsidRPr="00EA520A" w:rsidRDefault="00EA520A" w:rsidP="00EA520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A520A">
        <w:rPr>
          <w:rFonts w:ascii="Times New Roman" w:eastAsia="Times New Roman" w:hAnsi="Times New Roman" w:cs="Times New Roman"/>
          <w:bCs/>
          <w:kern w:val="0"/>
          <w14:ligatures w14:val="none"/>
        </w:rPr>
        <w:t>Laboratorios SYVA S.A., Calle Nicostrato Vela M15-M16, Parque Tecnológico de León, León, 24009, Španělsko</w:t>
      </w:r>
    </w:p>
    <w:p w14:paraId="1A0F3074" w14:textId="77777777" w:rsidR="00B8739A" w:rsidRDefault="00B8739A"/>
    <w:sectPr w:rsidR="00B873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ECCEC" w14:textId="77777777" w:rsidR="00FA268B" w:rsidRDefault="00FA268B" w:rsidP="00BF6072">
      <w:pPr>
        <w:spacing w:after="0" w:line="240" w:lineRule="auto"/>
      </w:pPr>
      <w:r>
        <w:separator/>
      </w:r>
    </w:p>
  </w:endnote>
  <w:endnote w:type="continuationSeparator" w:id="0">
    <w:p w14:paraId="258851DE" w14:textId="77777777" w:rsidR="00FA268B" w:rsidRDefault="00FA268B" w:rsidP="00BF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DB58" w14:textId="77777777" w:rsidR="00BF6072" w:rsidRDefault="00BF6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6E0CA" w14:textId="77777777" w:rsidR="00BF6072" w:rsidRPr="00BF6072" w:rsidRDefault="00BF6072">
    <w:pPr>
      <w:pStyle w:val="Zpat"/>
      <w:jc w:val="center"/>
      <w:rPr>
        <w:rFonts w:asciiTheme="majorBidi" w:hAnsiTheme="majorBidi" w:cstheme="majorBidi"/>
        <w:caps/>
        <w:noProof/>
      </w:rPr>
    </w:pPr>
    <w:r w:rsidRPr="00BF6072">
      <w:rPr>
        <w:rFonts w:asciiTheme="majorBidi" w:hAnsiTheme="majorBidi" w:cstheme="majorBidi"/>
        <w:caps/>
      </w:rPr>
      <w:fldChar w:fldCharType="begin"/>
    </w:r>
    <w:r w:rsidRPr="00BF6072">
      <w:rPr>
        <w:rFonts w:asciiTheme="majorBidi" w:hAnsiTheme="majorBidi" w:cstheme="majorBidi"/>
        <w:caps/>
      </w:rPr>
      <w:instrText xml:space="preserve"> PAGE   \* MERGEFORMAT </w:instrText>
    </w:r>
    <w:r w:rsidRPr="00BF6072">
      <w:rPr>
        <w:rFonts w:asciiTheme="majorBidi" w:hAnsiTheme="majorBidi" w:cstheme="majorBidi"/>
        <w:caps/>
      </w:rPr>
      <w:fldChar w:fldCharType="separate"/>
    </w:r>
    <w:r w:rsidRPr="00BF6072">
      <w:rPr>
        <w:rFonts w:asciiTheme="majorBidi" w:hAnsiTheme="majorBidi" w:cstheme="majorBidi"/>
        <w:caps/>
        <w:noProof/>
      </w:rPr>
      <w:t>2</w:t>
    </w:r>
    <w:r w:rsidRPr="00BF6072">
      <w:rPr>
        <w:rFonts w:asciiTheme="majorBidi" w:hAnsiTheme="majorBidi" w:cstheme="majorBidi"/>
        <w:caps/>
        <w:noProof/>
      </w:rPr>
      <w:fldChar w:fldCharType="end"/>
    </w:r>
  </w:p>
  <w:p w14:paraId="6506037D" w14:textId="77777777" w:rsidR="00BF6072" w:rsidRDefault="00BF60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10D0" w14:textId="77777777" w:rsidR="00BF6072" w:rsidRDefault="00BF6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C54F" w14:textId="77777777" w:rsidR="00FA268B" w:rsidRDefault="00FA268B" w:rsidP="00BF6072">
      <w:pPr>
        <w:spacing w:after="0" w:line="240" w:lineRule="auto"/>
      </w:pPr>
      <w:r>
        <w:separator/>
      </w:r>
    </w:p>
  </w:footnote>
  <w:footnote w:type="continuationSeparator" w:id="0">
    <w:p w14:paraId="72004C82" w14:textId="77777777" w:rsidR="00FA268B" w:rsidRDefault="00FA268B" w:rsidP="00BF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F655F" w14:textId="77777777" w:rsidR="00BF6072" w:rsidRDefault="00BF60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FDF3" w14:textId="77777777" w:rsidR="00BF6072" w:rsidRDefault="00BF60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413B" w14:textId="77777777" w:rsidR="00BF6072" w:rsidRDefault="00BF60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0A"/>
    <w:rsid w:val="00030142"/>
    <w:rsid w:val="00031BDB"/>
    <w:rsid w:val="001C30C1"/>
    <w:rsid w:val="002C5001"/>
    <w:rsid w:val="0056428F"/>
    <w:rsid w:val="00625B70"/>
    <w:rsid w:val="00667B1C"/>
    <w:rsid w:val="00695939"/>
    <w:rsid w:val="0076210C"/>
    <w:rsid w:val="00794447"/>
    <w:rsid w:val="007A2A09"/>
    <w:rsid w:val="008E1196"/>
    <w:rsid w:val="00920143"/>
    <w:rsid w:val="00934764"/>
    <w:rsid w:val="00A81897"/>
    <w:rsid w:val="00AD73C7"/>
    <w:rsid w:val="00AE294F"/>
    <w:rsid w:val="00B81E79"/>
    <w:rsid w:val="00B8739A"/>
    <w:rsid w:val="00B959FC"/>
    <w:rsid w:val="00BF6072"/>
    <w:rsid w:val="00C128BD"/>
    <w:rsid w:val="00D77E3D"/>
    <w:rsid w:val="00E86933"/>
    <w:rsid w:val="00EA520A"/>
    <w:rsid w:val="00EE54EB"/>
    <w:rsid w:val="00F92CB7"/>
    <w:rsid w:val="00FA268B"/>
    <w:rsid w:val="00FA40FA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236A"/>
  <w15:chartTrackingRefBased/>
  <w15:docId w15:val="{3E902405-3CD6-4C90-A408-8706E44B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EA5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2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2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2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2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2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2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2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2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2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2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20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EA52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BF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072"/>
  </w:style>
  <w:style w:type="paragraph" w:styleId="Zpat">
    <w:name w:val="footer"/>
    <w:basedOn w:val="Normln"/>
    <w:link w:val="ZpatChar"/>
    <w:uiPriority w:val="99"/>
    <w:unhideWhenUsed/>
    <w:rsid w:val="00BF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072"/>
  </w:style>
  <w:style w:type="paragraph" w:styleId="Textbubliny">
    <w:name w:val="Balloon Text"/>
    <w:basedOn w:val="Normln"/>
    <w:link w:val="TextbublinyChar"/>
    <w:uiPriority w:val="99"/>
    <w:semiHidden/>
    <w:unhideWhenUsed/>
    <w:rsid w:val="0066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uskvbl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EAEEC-A0BB-4F79-AC9C-3A8B4E006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F7D07-853D-4DD4-927B-8E4D44D3D90C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F7676D00-DA96-4F92-BAC6-7AE0F1A3F2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Malanová Zdena</cp:lastModifiedBy>
  <cp:revision>6</cp:revision>
  <cp:lastPrinted>2025-10-08T08:58:00Z</cp:lastPrinted>
  <dcterms:created xsi:type="dcterms:W3CDTF">2025-09-19T09:47:00Z</dcterms:created>
  <dcterms:modified xsi:type="dcterms:W3CDTF">2025-10-08T08:58:00Z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</Properties>
</file>