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6397E" w14:textId="30C7904E" w:rsidR="00396D93" w:rsidRDefault="00396D93" w:rsidP="00396D93">
      <w:pPr>
        <w:jc w:val="center"/>
        <w:rPr>
          <w:b/>
          <w:szCs w:val="22"/>
          <w:lang w:val="cs-CZ"/>
        </w:rPr>
      </w:pPr>
      <w:bookmarkStart w:id="0" w:name="_GoBack"/>
      <w:bookmarkEnd w:id="0"/>
    </w:p>
    <w:p w14:paraId="72F7CA24" w14:textId="2712B4B3" w:rsidR="001A129B" w:rsidRDefault="001A129B" w:rsidP="00396D93">
      <w:pPr>
        <w:jc w:val="center"/>
        <w:rPr>
          <w:b/>
          <w:szCs w:val="22"/>
          <w:lang w:val="cs-CZ"/>
        </w:rPr>
      </w:pPr>
    </w:p>
    <w:p w14:paraId="13AB06FB" w14:textId="23377765" w:rsidR="001A129B" w:rsidRDefault="001A129B" w:rsidP="00396D93">
      <w:pPr>
        <w:jc w:val="center"/>
        <w:rPr>
          <w:b/>
          <w:szCs w:val="22"/>
          <w:lang w:val="cs-CZ"/>
        </w:rPr>
      </w:pPr>
    </w:p>
    <w:p w14:paraId="21EC179D" w14:textId="7952A52B" w:rsidR="001A129B" w:rsidRDefault="001A129B" w:rsidP="00396D93">
      <w:pPr>
        <w:jc w:val="center"/>
        <w:rPr>
          <w:b/>
          <w:szCs w:val="22"/>
          <w:lang w:val="cs-CZ"/>
        </w:rPr>
      </w:pPr>
    </w:p>
    <w:p w14:paraId="7297593B" w14:textId="65D366DB" w:rsidR="001A129B" w:rsidRDefault="001A129B" w:rsidP="00396D93">
      <w:pPr>
        <w:jc w:val="center"/>
        <w:rPr>
          <w:b/>
          <w:szCs w:val="22"/>
          <w:lang w:val="cs-CZ"/>
        </w:rPr>
      </w:pPr>
    </w:p>
    <w:p w14:paraId="7A1DD531" w14:textId="77777777" w:rsidR="0041784F" w:rsidRDefault="0041784F" w:rsidP="00396D93">
      <w:pPr>
        <w:jc w:val="center"/>
        <w:rPr>
          <w:b/>
          <w:szCs w:val="22"/>
          <w:lang w:val="cs-CZ"/>
        </w:rPr>
      </w:pPr>
    </w:p>
    <w:p w14:paraId="49E1D97B" w14:textId="77777777" w:rsidR="001A129B" w:rsidRDefault="001A129B" w:rsidP="00396D93">
      <w:pPr>
        <w:jc w:val="center"/>
        <w:rPr>
          <w:b/>
          <w:szCs w:val="22"/>
          <w:lang w:val="cs-CZ"/>
        </w:rPr>
      </w:pPr>
    </w:p>
    <w:p w14:paraId="4E23B8EE" w14:textId="77777777" w:rsidR="00396D93" w:rsidRDefault="00396D93" w:rsidP="00396D93">
      <w:pPr>
        <w:jc w:val="center"/>
        <w:rPr>
          <w:b/>
          <w:szCs w:val="22"/>
          <w:lang w:val="cs-CZ"/>
        </w:rPr>
      </w:pPr>
    </w:p>
    <w:p w14:paraId="2F874F68" w14:textId="77777777" w:rsidR="00396D93" w:rsidRDefault="00396D93" w:rsidP="00396D93">
      <w:pPr>
        <w:jc w:val="center"/>
        <w:rPr>
          <w:b/>
          <w:szCs w:val="22"/>
          <w:lang w:val="cs-CZ"/>
        </w:rPr>
      </w:pPr>
    </w:p>
    <w:p w14:paraId="514164F0" w14:textId="77777777" w:rsidR="00396D93" w:rsidRDefault="00396D93" w:rsidP="00396D93">
      <w:pPr>
        <w:jc w:val="center"/>
        <w:rPr>
          <w:b/>
          <w:szCs w:val="22"/>
          <w:lang w:val="cs-CZ"/>
        </w:rPr>
      </w:pPr>
    </w:p>
    <w:p w14:paraId="6ACA45E7" w14:textId="77777777" w:rsidR="00396D93" w:rsidRDefault="00396D93" w:rsidP="00396D93">
      <w:pPr>
        <w:jc w:val="center"/>
        <w:rPr>
          <w:b/>
          <w:szCs w:val="22"/>
          <w:lang w:val="cs-CZ"/>
        </w:rPr>
      </w:pPr>
    </w:p>
    <w:p w14:paraId="3148FB6A" w14:textId="77777777" w:rsidR="00396D93" w:rsidRDefault="00396D93" w:rsidP="00396D93">
      <w:pPr>
        <w:jc w:val="center"/>
        <w:rPr>
          <w:b/>
          <w:szCs w:val="22"/>
          <w:lang w:val="cs-CZ"/>
        </w:rPr>
      </w:pPr>
    </w:p>
    <w:p w14:paraId="0C7F7B83" w14:textId="77777777" w:rsidR="00396D93" w:rsidRDefault="00396D93" w:rsidP="00396D93">
      <w:pPr>
        <w:jc w:val="center"/>
        <w:rPr>
          <w:b/>
          <w:szCs w:val="22"/>
          <w:lang w:val="cs-CZ"/>
        </w:rPr>
      </w:pPr>
    </w:p>
    <w:p w14:paraId="78C82A03" w14:textId="77777777" w:rsidR="00396D93" w:rsidRDefault="00396D93" w:rsidP="00396D93">
      <w:pPr>
        <w:jc w:val="center"/>
        <w:rPr>
          <w:b/>
          <w:szCs w:val="22"/>
          <w:lang w:val="cs-CZ"/>
        </w:rPr>
      </w:pPr>
    </w:p>
    <w:p w14:paraId="5FA81675" w14:textId="77777777" w:rsidR="00396D93" w:rsidRDefault="00396D93" w:rsidP="00396D93">
      <w:pPr>
        <w:jc w:val="center"/>
        <w:rPr>
          <w:b/>
          <w:szCs w:val="22"/>
          <w:lang w:val="cs-CZ"/>
        </w:rPr>
      </w:pPr>
    </w:p>
    <w:p w14:paraId="18031DD2" w14:textId="77777777" w:rsidR="00396D93" w:rsidRDefault="00396D93" w:rsidP="00396D93">
      <w:pPr>
        <w:jc w:val="center"/>
        <w:rPr>
          <w:b/>
          <w:szCs w:val="22"/>
          <w:lang w:val="cs-CZ"/>
        </w:rPr>
      </w:pPr>
    </w:p>
    <w:p w14:paraId="53C8A57C" w14:textId="77777777" w:rsidR="00396D93" w:rsidRDefault="00396D93" w:rsidP="00396D93">
      <w:pPr>
        <w:jc w:val="center"/>
        <w:rPr>
          <w:b/>
          <w:szCs w:val="22"/>
          <w:lang w:val="cs-CZ"/>
        </w:rPr>
      </w:pPr>
    </w:p>
    <w:p w14:paraId="26762B8F" w14:textId="77777777" w:rsidR="00396D93" w:rsidRDefault="00396D93" w:rsidP="00396D93">
      <w:pPr>
        <w:jc w:val="center"/>
        <w:rPr>
          <w:b/>
          <w:szCs w:val="22"/>
          <w:lang w:val="cs-CZ"/>
        </w:rPr>
      </w:pPr>
    </w:p>
    <w:p w14:paraId="11035854" w14:textId="77777777" w:rsidR="00396D93" w:rsidRDefault="00396D93" w:rsidP="00396D93">
      <w:pPr>
        <w:jc w:val="center"/>
        <w:rPr>
          <w:b/>
          <w:szCs w:val="22"/>
          <w:lang w:val="cs-CZ"/>
        </w:rPr>
      </w:pPr>
    </w:p>
    <w:p w14:paraId="2FC7DF56" w14:textId="77777777" w:rsidR="00396D93" w:rsidRDefault="00396D93" w:rsidP="00396D93">
      <w:pPr>
        <w:jc w:val="center"/>
        <w:rPr>
          <w:b/>
          <w:szCs w:val="22"/>
          <w:lang w:val="cs-CZ"/>
        </w:rPr>
      </w:pPr>
    </w:p>
    <w:p w14:paraId="361204F4" w14:textId="77777777" w:rsidR="00396D93" w:rsidRDefault="00396D93" w:rsidP="00396D93">
      <w:pPr>
        <w:jc w:val="center"/>
        <w:rPr>
          <w:b/>
          <w:szCs w:val="22"/>
          <w:lang w:val="cs-CZ"/>
        </w:rPr>
      </w:pPr>
    </w:p>
    <w:p w14:paraId="0E60CC70" w14:textId="77777777" w:rsidR="00396D93" w:rsidRDefault="00396D93" w:rsidP="00396D93">
      <w:pPr>
        <w:jc w:val="center"/>
        <w:rPr>
          <w:b/>
          <w:szCs w:val="22"/>
          <w:lang w:val="cs-CZ"/>
        </w:rPr>
      </w:pPr>
    </w:p>
    <w:p w14:paraId="16F0A819" w14:textId="6C54DAF5" w:rsidR="00396D93" w:rsidRPr="00050E60" w:rsidRDefault="00396D93" w:rsidP="00396D93">
      <w:pPr>
        <w:jc w:val="center"/>
        <w:rPr>
          <w:b/>
          <w:bCs/>
          <w:szCs w:val="22"/>
          <w:lang w:val="cs-CZ"/>
        </w:rPr>
      </w:pPr>
      <w:r>
        <w:rPr>
          <w:b/>
          <w:szCs w:val="22"/>
          <w:lang w:val="cs-CZ"/>
        </w:rPr>
        <w:t xml:space="preserve">B. </w:t>
      </w:r>
      <w:r w:rsidRPr="00050E60">
        <w:rPr>
          <w:b/>
          <w:szCs w:val="22"/>
          <w:lang w:val="cs-CZ"/>
        </w:rPr>
        <w:t>PŘÍBALOVÁ INFORMACE</w:t>
      </w:r>
    </w:p>
    <w:p w14:paraId="66D1BA9B" w14:textId="77777777" w:rsidR="00396D93" w:rsidRDefault="00396D93" w:rsidP="00C61DA5">
      <w:pPr>
        <w:jc w:val="center"/>
        <w:rPr>
          <w:b/>
          <w:szCs w:val="22"/>
          <w:lang w:val="cs-CZ"/>
        </w:rPr>
      </w:pPr>
    </w:p>
    <w:p w14:paraId="4A06D258" w14:textId="77777777" w:rsidR="00396D93" w:rsidRDefault="00396D93">
      <w:pPr>
        <w:ind w:left="0" w:firstLine="0"/>
        <w:rPr>
          <w:b/>
          <w:szCs w:val="22"/>
          <w:lang w:val="cs-CZ"/>
        </w:rPr>
      </w:pPr>
      <w:r>
        <w:rPr>
          <w:b/>
          <w:szCs w:val="22"/>
          <w:lang w:val="cs-CZ"/>
        </w:rPr>
        <w:br w:type="page"/>
      </w:r>
    </w:p>
    <w:p w14:paraId="31DC2B18" w14:textId="328F99AA" w:rsidR="00CB22E4" w:rsidRPr="00050E60" w:rsidRDefault="00CB22E4" w:rsidP="00C61DA5">
      <w:pPr>
        <w:jc w:val="center"/>
        <w:rPr>
          <w:b/>
          <w:bCs/>
          <w:szCs w:val="22"/>
          <w:lang w:val="cs-CZ"/>
        </w:rPr>
      </w:pPr>
      <w:r w:rsidRPr="00050E60">
        <w:rPr>
          <w:b/>
          <w:szCs w:val="22"/>
          <w:lang w:val="cs-CZ"/>
        </w:rPr>
        <w:lastRenderedPageBreak/>
        <w:t>PŘÍBALOVÁ INFORMACE</w:t>
      </w:r>
    </w:p>
    <w:p w14:paraId="500B2F47" w14:textId="77777777" w:rsidR="00C61DA5" w:rsidRDefault="00C61DA5">
      <w:pPr>
        <w:rPr>
          <w:szCs w:val="22"/>
          <w:lang w:val="cs-CZ"/>
        </w:rPr>
      </w:pPr>
    </w:p>
    <w:p w14:paraId="68334FE8" w14:textId="77777777" w:rsidR="005C0872" w:rsidRPr="00050E60" w:rsidRDefault="005C0872" w:rsidP="00247D02">
      <w:pPr>
        <w:rPr>
          <w:szCs w:val="22"/>
          <w:lang w:val="cs-CZ"/>
        </w:rPr>
      </w:pPr>
    </w:p>
    <w:p w14:paraId="7C543EC8" w14:textId="4AECC0E2" w:rsidR="00CB22E4" w:rsidRPr="00761204" w:rsidRDefault="00152CB8" w:rsidP="00761204">
      <w:pPr>
        <w:rPr>
          <w:b/>
          <w:bCs/>
          <w:szCs w:val="22"/>
          <w:lang w:val="cs-CZ"/>
        </w:rPr>
      </w:pPr>
      <w:r w:rsidRPr="00761204">
        <w:rPr>
          <w:b/>
          <w:bCs/>
          <w:szCs w:val="22"/>
          <w:highlight w:val="lightGray"/>
          <w:lang w:val="cs-CZ"/>
        </w:rPr>
        <w:t>1</w:t>
      </w:r>
      <w:r w:rsidR="00CB22E4" w:rsidRPr="00761204">
        <w:rPr>
          <w:b/>
          <w:bCs/>
          <w:szCs w:val="22"/>
          <w:highlight w:val="lightGray"/>
          <w:lang w:val="cs-CZ"/>
        </w:rPr>
        <w:t>.</w:t>
      </w:r>
      <w:r w:rsidR="00CB22E4" w:rsidRPr="00761204">
        <w:rPr>
          <w:b/>
          <w:bCs/>
          <w:szCs w:val="22"/>
          <w:lang w:val="cs-CZ"/>
        </w:rPr>
        <w:tab/>
      </w:r>
      <w:r w:rsidRPr="00761204">
        <w:rPr>
          <w:b/>
          <w:szCs w:val="22"/>
          <w:lang w:val="cs-CZ"/>
        </w:rPr>
        <w:t>Název veterinárního léčivého přípravku</w:t>
      </w:r>
    </w:p>
    <w:p w14:paraId="46F97232" w14:textId="77777777" w:rsidR="00CB22E4" w:rsidRPr="00761204" w:rsidRDefault="00CB22E4" w:rsidP="00761204">
      <w:pPr>
        <w:rPr>
          <w:szCs w:val="22"/>
          <w:lang w:val="cs-CZ"/>
        </w:rPr>
      </w:pPr>
    </w:p>
    <w:p w14:paraId="6A9EC599" w14:textId="77777777" w:rsidR="00CB22E4" w:rsidRPr="00761204" w:rsidRDefault="00CB22E4" w:rsidP="00761204">
      <w:pPr>
        <w:rPr>
          <w:szCs w:val="22"/>
          <w:lang w:val="cs-CZ"/>
        </w:rPr>
      </w:pPr>
      <w:r w:rsidRPr="00761204">
        <w:rPr>
          <w:szCs w:val="22"/>
          <w:lang w:val="cs-CZ" w:eastAsia="de-DE"/>
        </w:rPr>
        <w:t>Ubrolexin</w:t>
      </w:r>
      <w:r w:rsidRPr="00761204">
        <w:rPr>
          <w:szCs w:val="22"/>
          <w:lang w:val="cs-CZ"/>
        </w:rPr>
        <w:t xml:space="preserve"> intramamární suspenze pro dojnice v laktaci</w:t>
      </w:r>
    </w:p>
    <w:p w14:paraId="73C485DF" w14:textId="77777777" w:rsidR="00891F36" w:rsidRPr="00761204" w:rsidRDefault="00891F36" w:rsidP="00761204">
      <w:pPr>
        <w:rPr>
          <w:szCs w:val="22"/>
          <w:lang w:val="cs-CZ"/>
        </w:rPr>
      </w:pPr>
    </w:p>
    <w:p w14:paraId="32A87769" w14:textId="77777777" w:rsidR="00CB22E4" w:rsidRPr="00761204" w:rsidRDefault="00CB22E4" w:rsidP="00761204">
      <w:pPr>
        <w:rPr>
          <w:szCs w:val="22"/>
          <w:lang w:val="cs-CZ"/>
        </w:rPr>
      </w:pPr>
    </w:p>
    <w:p w14:paraId="03F9D75B" w14:textId="5B01AF06" w:rsidR="00CB22E4" w:rsidRPr="00761204" w:rsidRDefault="00B52B67" w:rsidP="00761204">
      <w:pPr>
        <w:rPr>
          <w:b/>
          <w:bCs/>
          <w:szCs w:val="22"/>
          <w:lang w:val="cs-CZ"/>
        </w:rPr>
      </w:pPr>
      <w:r w:rsidRPr="00761204">
        <w:rPr>
          <w:b/>
          <w:bCs/>
          <w:szCs w:val="22"/>
          <w:highlight w:val="lightGray"/>
          <w:lang w:val="cs-CZ"/>
        </w:rPr>
        <w:t>2</w:t>
      </w:r>
      <w:r w:rsidR="00CB22E4" w:rsidRPr="00761204">
        <w:rPr>
          <w:b/>
          <w:bCs/>
          <w:szCs w:val="22"/>
          <w:highlight w:val="lightGray"/>
          <w:lang w:val="cs-CZ"/>
        </w:rPr>
        <w:t>.</w:t>
      </w:r>
      <w:r w:rsidR="00CB22E4" w:rsidRPr="00761204">
        <w:rPr>
          <w:b/>
          <w:bCs/>
          <w:szCs w:val="22"/>
          <w:lang w:val="cs-CZ"/>
        </w:rPr>
        <w:tab/>
      </w:r>
      <w:r w:rsidRPr="00761204">
        <w:rPr>
          <w:b/>
          <w:szCs w:val="22"/>
          <w:lang w:val="cs-CZ"/>
        </w:rPr>
        <w:t>Složení</w:t>
      </w:r>
    </w:p>
    <w:p w14:paraId="22C77A3A" w14:textId="77777777" w:rsidR="00CB22E4" w:rsidRPr="00761204" w:rsidRDefault="00CB22E4" w:rsidP="00761204">
      <w:pPr>
        <w:tabs>
          <w:tab w:val="left" w:pos="3060"/>
        </w:tabs>
        <w:rPr>
          <w:iCs/>
          <w:szCs w:val="22"/>
          <w:lang w:val="cs-CZ"/>
        </w:rPr>
      </w:pPr>
    </w:p>
    <w:p w14:paraId="59A8D770" w14:textId="0BE1B2E4" w:rsidR="00CB22E4" w:rsidRPr="00761204" w:rsidRDefault="00CB22E4" w:rsidP="00761204">
      <w:pPr>
        <w:tabs>
          <w:tab w:val="left" w:pos="2880"/>
        </w:tabs>
        <w:rPr>
          <w:szCs w:val="22"/>
          <w:lang w:val="cs-CZ"/>
        </w:rPr>
      </w:pPr>
      <w:r w:rsidRPr="00761204">
        <w:rPr>
          <w:szCs w:val="22"/>
          <w:lang w:val="cs-CZ"/>
        </w:rPr>
        <w:t xml:space="preserve">Každý 10g (12ml) </w:t>
      </w:r>
      <w:proofErr w:type="spellStart"/>
      <w:r w:rsidRPr="00761204">
        <w:rPr>
          <w:szCs w:val="22"/>
          <w:lang w:val="cs-CZ"/>
        </w:rPr>
        <w:t>intramamární</w:t>
      </w:r>
      <w:proofErr w:type="spellEnd"/>
      <w:r w:rsidRPr="00761204">
        <w:rPr>
          <w:szCs w:val="22"/>
          <w:lang w:val="cs-CZ"/>
        </w:rPr>
        <w:t xml:space="preserve"> injektor obsahuje:</w:t>
      </w:r>
    </w:p>
    <w:p w14:paraId="7787C013" w14:textId="77777777" w:rsidR="00B52B67" w:rsidRPr="00761204" w:rsidRDefault="00B52B67" w:rsidP="00761204">
      <w:pPr>
        <w:tabs>
          <w:tab w:val="left" w:pos="2880"/>
        </w:tabs>
        <w:rPr>
          <w:iCs/>
          <w:szCs w:val="22"/>
          <w:lang w:val="cs-CZ"/>
        </w:rPr>
      </w:pPr>
    </w:p>
    <w:p w14:paraId="381697C2" w14:textId="6C989138" w:rsidR="00B52B67" w:rsidRPr="00761204" w:rsidRDefault="00F3305C" w:rsidP="00761204">
      <w:pPr>
        <w:tabs>
          <w:tab w:val="left" w:pos="2880"/>
        </w:tabs>
        <w:rPr>
          <w:b/>
          <w:bCs/>
          <w:iCs/>
          <w:szCs w:val="22"/>
          <w:lang w:val="cs-CZ"/>
        </w:rPr>
      </w:pPr>
      <w:r w:rsidRPr="00761204">
        <w:rPr>
          <w:b/>
          <w:bCs/>
          <w:iCs/>
          <w:szCs w:val="22"/>
          <w:lang w:val="cs-CZ"/>
        </w:rPr>
        <w:t>Léčivé</w:t>
      </w:r>
      <w:r w:rsidR="00B52B67" w:rsidRPr="00761204">
        <w:rPr>
          <w:b/>
          <w:bCs/>
          <w:iCs/>
          <w:szCs w:val="22"/>
          <w:lang w:val="cs-CZ"/>
        </w:rPr>
        <w:t xml:space="preserve"> látky:</w:t>
      </w:r>
    </w:p>
    <w:p w14:paraId="3D5DD1C2" w14:textId="2B7D7F2E" w:rsidR="00CB22E4" w:rsidRPr="00761204" w:rsidRDefault="00DE53C3" w:rsidP="00761204">
      <w:pPr>
        <w:tabs>
          <w:tab w:val="left" w:pos="2880"/>
        </w:tabs>
        <w:rPr>
          <w:iCs/>
          <w:szCs w:val="22"/>
          <w:lang w:val="cs-CZ"/>
        </w:rPr>
      </w:pPr>
      <w:r w:rsidRPr="00761204">
        <w:rPr>
          <w:iCs/>
          <w:szCs w:val="22"/>
          <w:lang w:val="cs-CZ"/>
        </w:rPr>
        <w:t>200</w:t>
      </w:r>
      <w:r w:rsidR="000C223D" w:rsidRPr="00761204">
        <w:rPr>
          <w:iCs/>
          <w:szCs w:val="22"/>
          <w:lang w:val="cs-CZ"/>
        </w:rPr>
        <w:t> </w:t>
      </w:r>
      <w:r w:rsidRPr="00761204">
        <w:rPr>
          <w:iCs/>
          <w:szCs w:val="22"/>
          <w:lang w:val="cs-CZ"/>
        </w:rPr>
        <w:t xml:space="preserve">mg </w:t>
      </w:r>
      <w:proofErr w:type="spellStart"/>
      <w:r w:rsidRPr="00761204">
        <w:rPr>
          <w:iCs/>
          <w:szCs w:val="22"/>
          <w:lang w:val="cs-CZ"/>
        </w:rPr>
        <w:t>c</w:t>
      </w:r>
      <w:r w:rsidR="00CB22E4" w:rsidRPr="00761204">
        <w:rPr>
          <w:iCs/>
          <w:szCs w:val="22"/>
          <w:lang w:val="cs-CZ"/>
        </w:rPr>
        <w:t>efalexinum</w:t>
      </w:r>
      <w:proofErr w:type="spellEnd"/>
      <w:r w:rsidR="00CB22E4" w:rsidRPr="00761204">
        <w:rPr>
          <w:iCs/>
          <w:szCs w:val="22"/>
          <w:lang w:val="cs-CZ"/>
        </w:rPr>
        <w:t xml:space="preserve"> (</w:t>
      </w:r>
      <w:r w:rsidR="00D62973" w:rsidRPr="00761204">
        <w:rPr>
          <w:iCs/>
          <w:szCs w:val="22"/>
          <w:lang w:val="cs-CZ"/>
        </w:rPr>
        <w:t>ekvivalentní</w:t>
      </w:r>
      <w:r w:rsidR="000E704F" w:rsidRPr="00761204">
        <w:rPr>
          <w:iCs/>
          <w:szCs w:val="22"/>
          <w:lang w:val="cs-CZ"/>
        </w:rPr>
        <w:t xml:space="preserve"> 210 mg </w:t>
      </w:r>
      <w:proofErr w:type="spellStart"/>
      <w:r w:rsidR="000E704F" w:rsidRPr="00761204">
        <w:rPr>
          <w:iCs/>
          <w:szCs w:val="22"/>
          <w:lang w:val="cs-CZ"/>
        </w:rPr>
        <w:t>cefalexinum</w:t>
      </w:r>
      <w:proofErr w:type="spellEnd"/>
      <w:r w:rsidR="009C4ED8" w:rsidRPr="00761204">
        <w:rPr>
          <w:iCs/>
          <w:szCs w:val="22"/>
          <w:lang w:val="cs-CZ"/>
        </w:rPr>
        <w:t xml:space="preserve"> </w:t>
      </w:r>
      <w:proofErr w:type="spellStart"/>
      <w:r w:rsidR="009C4ED8" w:rsidRPr="00761204">
        <w:rPr>
          <w:iCs/>
          <w:szCs w:val="22"/>
          <w:lang w:val="cs-CZ"/>
        </w:rPr>
        <w:t>monohydricum</w:t>
      </w:r>
      <w:proofErr w:type="spellEnd"/>
      <w:r w:rsidR="00CB22E4" w:rsidRPr="00761204">
        <w:rPr>
          <w:iCs/>
          <w:szCs w:val="22"/>
          <w:lang w:val="cs-CZ"/>
        </w:rPr>
        <w:t>)</w:t>
      </w:r>
    </w:p>
    <w:p w14:paraId="5344D2CC" w14:textId="18CB4F44" w:rsidR="00CB22E4" w:rsidRPr="00761204" w:rsidRDefault="00DE53C3" w:rsidP="00761204">
      <w:pPr>
        <w:tabs>
          <w:tab w:val="left" w:pos="720"/>
          <w:tab w:val="left" w:pos="3060"/>
        </w:tabs>
        <w:rPr>
          <w:iCs/>
          <w:szCs w:val="22"/>
          <w:lang w:val="cs-CZ"/>
        </w:rPr>
      </w:pPr>
      <w:r w:rsidRPr="00761204">
        <w:rPr>
          <w:iCs/>
          <w:szCs w:val="22"/>
          <w:lang w:val="cs-CZ"/>
        </w:rPr>
        <w:t>100 000</w:t>
      </w:r>
      <w:r w:rsidR="000C223D" w:rsidRPr="00761204">
        <w:rPr>
          <w:iCs/>
          <w:szCs w:val="22"/>
          <w:lang w:val="cs-CZ"/>
        </w:rPr>
        <w:t> </w:t>
      </w:r>
      <w:r w:rsidRPr="00761204">
        <w:rPr>
          <w:iCs/>
          <w:szCs w:val="22"/>
          <w:lang w:val="cs-CZ"/>
        </w:rPr>
        <w:t xml:space="preserve">IU </w:t>
      </w:r>
      <w:proofErr w:type="spellStart"/>
      <w:r w:rsidRPr="00761204">
        <w:rPr>
          <w:iCs/>
          <w:szCs w:val="22"/>
          <w:lang w:val="cs-CZ"/>
        </w:rPr>
        <w:t>k</w:t>
      </w:r>
      <w:r w:rsidR="00CB22E4" w:rsidRPr="00761204">
        <w:rPr>
          <w:iCs/>
          <w:szCs w:val="22"/>
          <w:lang w:val="cs-CZ"/>
        </w:rPr>
        <w:t>anamycin</w:t>
      </w:r>
      <w:r w:rsidR="00D62973" w:rsidRPr="00761204">
        <w:rPr>
          <w:iCs/>
          <w:szCs w:val="22"/>
          <w:lang w:val="cs-CZ"/>
        </w:rPr>
        <w:t>i</w:t>
      </w:r>
      <w:proofErr w:type="spellEnd"/>
      <w:r w:rsidR="009C4ED8" w:rsidRPr="00761204">
        <w:rPr>
          <w:iCs/>
          <w:szCs w:val="22"/>
          <w:lang w:val="cs-CZ"/>
        </w:rPr>
        <w:t xml:space="preserve"> </w:t>
      </w:r>
      <w:proofErr w:type="spellStart"/>
      <w:r w:rsidR="00B52B67" w:rsidRPr="00761204">
        <w:rPr>
          <w:iCs/>
          <w:szCs w:val="22"/>
          <w:lang w:val="cs-CZ"/>
        </w:rPr>
        <w:t>mono</w:t>
      </w:r>
      <w:r w:rsidR="009C4ED8" w:rsidRPr="00761204">
        <w:rPr>
          <w:iCs/>
          <w:szCs w:val="22"/>
          <w:lang w:val="cs-CZ"/>
        </w:rPr>
        <w:t>sulfas</w:t>
      </w:r>
      <w:proofErr w:type="spellEnd"/>
    </w:p>
    <w:p w14:paraId="2D56661F" w14:textId="77777777" w:rsidR="00B52B67" w:rsidRPr="00761204" w:rsidRDefault="00B52B67" w:rsidP="00761204">
      <w:pPr>
        <w:rPr>
          <w:szCs w:val="22"/>
          <w:lang w:val="cs-CZ"/>
        </w:rPr>
      </w:pPr>
    </w:p>
    <w:p w14:paraId="1257B55A" w14:textId="4AACABC9" w:rsidR="00CB22E4" w:rsidRPr="00761204" w:rsidRDefault="00FE6CDB" w:rsidP="00761204">
      <w:pPr>
        <w:rPr>
          <w:szCs w:val="22"/>
          <w:lang w:val="cs-CZ"/>
        </w:rPr>
      </w:pPr>
      <w:r w:rsidRPr="00761204">
        <w:rPr>
          <w:szCs w:val="22"/>
          <w:lang w:val="cs-CZ"/>
        </w:rPr>
        <w:t xml:space="preserve">Našedlá </w:t>
      </w:r>
      <w:r w:rsidR="00F44857">
        <w:rPr>
          <w:szCs w:val="22"/>
          <w:lang w:val="cs-CZ"/>
        </w:rPr>
        <w:t>jemná</w:t>
      </w:r>
      <w:r w:rsidR="00516EA4" w:rsidRPr="00761204">
        <w:rPr>
          <w:szCs w:val="22"/>
          <w:lang w:val="cs-CZ"/>
        </w:rPr>
        <w:t xml:space="preserve"> </w:t>
      </w:r>
      <w:r w:rsidRPr="00761204">
        <w:rPr>
          <w:szCs w:val="22"/>
          <w:lang w:val="cs-CZ"/>
        </w:rPr>
        <w:t>olejov</w:t>
      </w:r>
      <w:r w:rsidR="00516EA4" w:rsidRPr="00761204">
        <w:rPr>
          <w:szCs w:val="22"/>
          <w:lang w:val="cs-CZ"/>
        </w:rPr>
        <w:t>it</w:t>
      </w:r>
      <w:r w:rsidRPr="00761204">
        <w:rPr>
          <w:szCs w:val="22"/>
          <w:lang w:val="cs-CZ"/>
        </w:rPr>
        <w:t>á pasta.</w:t>
      </w:r>
    </w:p>
    <w:p w14:paraId="49D4FDFC" w14:textId="77777777" w:rsidR="00FE6CDB" w:rsidRPr="00761204" w:rsidRDefault="00FE6CDB" w:rsidP="00761204">
      <w:pPr>
        <w:rPr>
          <w:szCs w:val="22"/>
          <w:lang w:val="cs-CZ"/>
        </w:rPr>
      </w:pPr>
    </w:p>
    <w:p w14:paraId="0B20808C" w14:textId="77777777" w:rsidR="00CB22E4" w:rsidRPr="00761204" w:rsidRDefault="00CB22E4" w:rsidP="00761204">
      <w:pPr>
        <w:rPr>
          <w:szCs w:val="22"/>
          <w:lang w:val="cs-CZ"/>
        </w:rPr>
      </w:pPr>
    </w:p>
    <w:p w14:paraId="78F01FB9" w14:textId="4F378576" w:rsidR="00CB22E4" w:rsidRPr="00761204" w:rsidRDefault="00B52B67" w:rsidP="00761204">
      <w:pPr>
        <w:rPr>
          <w:b/>
          <w:bCs/>
          <w:szCs w:val="22"/>
          <w:lang w:val="cs-CZ"/>
        </w:rPr>
      </w:pPr>
      <w:r w:rsidRPr="00761204">
        <w:rPr>
          <w:b/>
          <w:bCs/>
          <w:szCs w:val="22"/>
          <w:highlight w:val="lightGray"/>
          <w:lang w:val="cs-CZ"/>
        </w:rPr>
        <w:t>3</w:t>
      </w:r>
      <w:r w:rsidR="00CB22E4" w:rsidRPr="00761204">
        <w:rPr>
          <w:b/>
          <w:bCs/>
          <w:szCs w:val="22"/>
          <w:highlight w:val="lightGray"/>
          <w:lang w:val="cs-CZ"/>
        </w:rPr>
        <w:t>.</w:t>
      </w:r>
      <w:r w:rsidR="00CB22E4" w:rsidRPr="00761204">
        <w:rPr>
          <w:b/>
          <w:bCs/>
          <w:szCs w:val="22"/>
          <w:lang w:val="cs-CZ"/>
        </w:rPr>
        <w:tab/>
      </w:r>
      <w:r w:rsidRPr="00761204">
        <w:rPr>
          <w:b/>
          <w:szCs w:val="22"/>
          <w:lang w:val="cs-CZ"/>
        </w:rPr>
        <w:t>Cílové druhy zvířat</w:t>
      </w:r>
    </w:p>
    <w:p w14:paraId="2EFDE422" w14:textId="734D6EE2" w:rsidR="00CB22E4" w:rsidRPr="00761204" w:rsidRDefault="00CB22E4" w:rsidP="00761204">
      <w:pPr>
        <w:ind w:left="0" w:firstLine="0"/>
        <w:rPr>
          <w:b/>
          <w:bCs/>
          <w:szCs w:val="22"/>
          <w:lang w:val="cs-CZ"/>
        </w:rPr>
      </w:pPr>
    </w:p>
    <w:p w14:paraId="7CA3DB1E" w14:textId="095294FD" w:rsidR="00B52B67" w:rsidRPr="00761204" w:rsidRDefault="00B52B67" w:rsidP="00761204">
      <w:pPr>
        <w:rPr>
          <w:szCs w:val="22"/>
          <w:lang w:val="cs-CZ"/>
        </w:rPr>
      </w:pPr>
      <w:r w:rsidRPr="00761204">
        <w:rPr>
          <w:szCs w:val="22"/>
          <w:lang w:val="cs-CZ"/>
        </w:rPr>
        <w:t>Skot (dojnice v laktaci)</w:t>
      </w:r>
      <w:r w:rsidR="000C223D" w:rsidRPr="00761204">
        <w:rPr>
          <w:szCs w:val="22"/>
          <w:lang w:val="cs-CZ"/>
        </w:rPr>
        <w:t>.</w:t>
      </w:r>
    </w:p>
    <w:p w14:paraId="2BDBDF3D" w14:textId="77777777" w:rsidR="00F27FC6" w:rsidRPr="00761204" w:rsidRDefault="00F27FC6" w:rsidP="00761204">
      <w:pPr>
        <w:rPr>
          <w:b/>
          <w:bCs/>
          <w:szCs w:val="22"/>
          <w:lang w:val="cs-CZ"/>
        </w:rPr>
      </w:pPr>
    </w:p>
    <w:p w14:paraId="0048FE5E" w14:textId="77777777" w:rsidR="003012F4" w:rsidRPr="00761204" w:rsidRDefault="003012F4" w:rsidP="00761204">
      <w:pPr>
        <w:rPr>
          <w:b/>
          <w:bCs/>
          <w:szCs w:val="22"/>
          <w:lang w:val="cs-CZ"/>
        </w:rPr>
      </w:pPr>
    </w:p>
    <w:p w14:paraId="0947AC0F" w14:textId="77777777" w:rsidR="003012F4" w:rsidRPr="00761204" w:rsidRDefault="003012F4" w:rsidP="00761204">
      <w:pPr>
        <w:rPr>
          <w:b/>
          <w:bCs/>
          <w:szCs w:val="22"/>
          <w:lang w:val="cs-CZ"/>
        </w:rPr>
      </w:pPr>
      <w:r w:rsidRPr="00761204">
        <w:rPr>
          <w:b/>
          <w:bCs/>
          <w:szCs w:val="22"/>
          <w:highlight w:val="lightGray"/>
          <w:lang w:val="cs-CZ"/>
        </w:rPr>
        <w:t>4.</w:t>
      </w:r>
      <w:r w:rsidRPr="00761204">
        <w:rPr>
          <w:b/>
          <w:bCs/>
          <w:szCs w:val="22"/>
          <w:lang w:val="cs-CZ"/>
        </w:rPr>
        <w:tab/>
      </w:r>
      <w:r w:rsidRPr="00761204">
        <w:rPr>
          <w:b/>
          <w:szCs w:val="22"/>
          <w:lang w:val="cs-CZ"/>
        </w:rPr>
        <w:t>Indikace pro použití</w:t>
      </w:r>
    </w:p>
    <w:p w14:paraId="4F2B4FE5" w14:textId="77777777" w:rsidR="003012F4" w:rsidRPr="00761204" w:rsidRDefault="003012F4" w:rsidP="00761204">
      <w:pPr>
        <w:ind w:left="0" w:firstLine="0"/>
        <w:rPr>
          <w:szCs w:val="22"/>
          <w:lang w:val="cs-CZ"/>
        </w:rPr>
      </w:pPr>
    </w:p>
    <w:p w14:paraId="5D25C3CB" w14:textId="739697B9" w:rsidR="00CB22E4" w:rsidRPr="00761204" w:rsidDel="00B52B67" w:rsidRDefault="00CB22E4" w:rsidP="00761204">
      <w:pPr>
        <w:ind w:left="0" w:firstLine="0"/>
        <w:rPr>
          <w:szCs w:val="22"/>
          <w:lang w:val="cs-CZ"/>
        </w:rPr>
      </w:pPr>
      <w:r w:rsidRPr="00761204" w:rsidDel="00B52B67">
        <w:rPr>
          <w:szCs w:val="22"/>
          <w:lang w:val="cs-CZ"/>
        </w:rPr>
        <w:t xml:space="preserve">Léčba klinických mastitid dojnic v laktaci </w:t>
      </w:r>
      <w:r w:rsidR="00A42E25">
        <w:rPr>
          <w:szCs w:val="22"/>
          <w:lang w:val="cs-CZ"/>
        </w:rPr>
        <w:t xml:space="preserve">vyvolaných </w:t>
      </w:r>
      <w:r w:rsidRPr="00761204" w:rsidDel="00B52B67">
        <w:rPr>
          <w:szCs w:val="22"/>
          <w:lang w:val="cs-CZ"/>
        </w:rPr>
        <w:t xml:space="preserve">bakteriemi citlivými na kombinaci cefalexinu a </w:t>
      </w:r>
      <w:proofErr w:type="spellStart"/>
      <w:r w:rsidRPr="00761204" w:rsidDel="00B52B67">
        <w:rPr>
          <w:szCs w:val="22"/>
          <w:lang w:val="cs-CZ"/>
        </w:rPr>
        <w:t>kanamycinu</w:t>
      </w:r>
      <w:proofErr w:type="spellEnd"/>
      <w:r w:rsidRPr="00761204" w:rsidDel="00B52B67">
        <w:rPr>
          <w:szCs w:val="22"/>
          <w:lang w:val="cs-CZ"/>
        </w:rPr>
        <w:t xml:space="preserve"> jako jsou </w:t>
      </w:r>
      <w:proofErr w:type="spellStart"/>
      <w:r w:rsidRPr="00761204" w:rsidDel="00B52B67">
        <w:rPr>
          <w:i/>
          <w:szCs w:val="22"/>
          <w:lang w:val="cs-CZ"/>
        </w:rPr>
        <w:t>Staphylococcus</w:t>
      </w:r>
      <w:proofErr w:type="spellEnd"/>
      <w:r w:rsidRPr="00761204" w:rsidDel="00B52B67">
        <w:rPr>
          <w:i/>
          <w:szCs w:val="22"/>
          <w:lang w:val="cs-CZ"/>
        </w:rPr>
        <w:t xml:space="preserve"> aureus</w:t>
      </w:r>
      <w:r w:rsidRPr="00761204" w:rsidDel="00B52B67">
        <w:rPr>
          <w:szCs w:val="22"/>
          <w:lang w:val="cs-CZ"/>
        </w:rPr>
        <w:t xml:space="preserve">, </w:t>
      </w:r>
      <w:proofErr w:type="spellStart"/>
      <w:r w:rsidRPr="00761204" w:rsidDel="00B52B67">
        <w:rPr>
          <w:i/>
          <w:szCs w:val="22"/>
          <w:lang w:val="cs-CZ"/>
        </w:rPr>
        <w:t>Streptococcus</w:t>
      </w:r>
      <w:proofErr w:type="spellEnd"/>
      <w:r w:rsidRPr="00761204" w:rsidDel="00B52B67">
        <w:rPr>
          <w:i/>
          <w:szCs w:val="22"/>
          <w:lang w:val="cs-CZ"/>
        </w:rPr>
        <w:t xml:space="preserve"> </w:t>
      </w:r>
      <w:proofErr w:type="spellStart"/>
      <w:r w:rsidRPr="00761204" w:rsidDel="00B52B67">
        <w:rPr>
          <w:i/>
          <w:szCs w:val="22"/>
          <w:lang w:val="cs-CZ"/>
        </w:rPr>
        <w:t>dysgalactiae</w:t>
      </w:r>
      <w:proofErr w:type="spellEnd"/>
      <w:r w:rsidRPr="00761204" w:rsidDel="00B52B67">
        <w:rPr>
          <w:szCs w:val="22"/>
          <w:lang w:val="cs-CZ"/>
        </w:rPr>
        <w:t xml:space="preserve">, </w:t>
      </w:r>
      <w:proofErr w:type="spellStart"/>
      <w:r w:rsidRPr="00761204" w:rsidDel="00B52B67">
        <w:rPr>
          <w:i/>
          <w:szCs w:val="22"/>
          <w:lang w:val="cs-CZ"/>
        </w:rPr>
        <w:t>Streptococcus</w:t>
      </w:r>
      <w:proofErr w:type="spellEnd"/>
      <w:r w:rsidRPr="00761204" w:rsidDel="00B52B67">
        <w:rPr>
          <w:i/>
          <w:szCs w:val="22"/>
          <w:lang w:val="cs-CZ"/>
        </w:rPr>
        <w:t xml:space="preserve"> </w:t>
      </w:r>
      <w:proofErr w:type="spellStart"/>
      <w:r w:rsidRPr="00761204" w:rsidDel="00B52B67">
        <w:rPr>
          <w:i/>
          <w:szCs w:val="22"/>
          <w:lang w:val="cs-CZ"/>
        </w:rPr>
        <w:t>uberis</w:t>
      </w:r>
      <w:proofErr w:type="spellEnd"/>
      <w:r w:rsidRPr="00761204" w:rsidDel="00B52B67">
        <w:rPr>
          <w:szCs w:val="22"/>
          <w:lang w:val="cs-CZ"/>
        </w:rPr>
        <w:t xml:space="preserve"> a</w:t>
      </w:r>
      <w:r w:rsidR="008F2AB4" w:rsidRPr="00761204">
        <w:rPr>
          <w:szCs w:val="22"/>
          <w:lang w:val="cs-CZ"/>
        </w:rPr>
        <w:t> </w:t>
      </w:r>
      <w:proofErr w:type="spellStart"/>
      <w:r w:rsidRPr="00761204" w:rsidDel="00B52B67">
        <w:rPr>
          <w:i/>
          <w:szCs w:val="22"/>
          <w:lang w:val="cs-CZ"/>
        </w:rPr>
        <w:t>Escherichia</w:t>
      </w:r>
      <w:proofErr w:type="spellEnd"/>
      <w:r w:rsidRPr="00761204" w:rsidDel="00B52B67">
        <w:rPr>
          <w:i/>
          <w:szCs w:val="22"/>
          <w:lang w:val="cs-CZ"/>
        </w:rPr>
        <w:t xml:space="preserve"> coli</w:t>
      </w:r>
      <w:r w:rsidRPr="00761204" w:rsidDel="00B52B67">
        <w:rPr>
          <w:szCs w:val="22"/>
          <w:lang w:val="cs-CZ"/>
        </w:rPr>
        <w:t>.</w:t>
      </w:r>
    </w:p>
    <w:p w14:paraId="016DE7E6" w14:textId="7BC12363" w:rsidR="00CB22E4" w:rsidRPr="00761204" w:rsidRDefault="00CB22E4" w:rsidP="00761204">
      <w:pPr>
        <w:rPr>
          <w:szCs w:val="22"/>
          <w:lang w:val="cs-CZ"/>
        </w:rPr>
      </w:pPr>
    </w:p>
    <w:p w14:paraId="3B777963" w14:textId="77777777" w:rsidR="00B52B67" w:rsidRPr="00761204" w:rsidRDefault="00B52B67" w:rsidP="00761204">
      <w:pPr>
        <w:ind w:left="0" w:firstLine="0"/>
        <w:rPr>
          <w:szCs w:val="22"/>
          <w:lang w:val="cs-CZ"/>
        </w:rPr>
      </w:pPr>
    </w:p>
    <w:p w14:paraId="61024BF9" w14:textId="77777777" w:rsidR="003012F4" w:rsidRPr="00761204" w:rsidRDefault="003012F4" w:rsidP="00761204">
      <w:pPr>
        <w:rPr>
          <w:b/>
          <w:bCs/>
          <w:szCs w:val="22"/>
          <w:lang w:val="cs-CZ"/>
        </w:rPr>
      </w:pPr>
      <w:r w:rsidRPr="00761204">
        <w:rPr>
          <w:b/>
          <w:bCs/>
          <w:szCs w:val="22"/>
          <w:highlight w:val="lightGray"/>
          <w:lang w:val="cs-CZ"/>
        </w:rPr>
        <w:t>5.</w:t>
      </w:r>
      <w:r w:rsidRPr="00761204">
        <w:rPr>
          <w:b/>
          <w:bCs/>
          <w:szCs w:val="22"/>
          <w:lang w:val="cs-CZ"/>
        </w:rPr>
        <w:tab/>
      </w:r>
      <w:r w:rsidRPr="00761204">
        <w:rPr>
          <w:b/>
          <w:szCs w:val="22"/>
          <w:lang w:val="cs-CZ"/>
        </w:rPr>
        <w:t>Kontraindikace</w:t>
      </w:r>
    </w:p>
    <w:p w14:paraId="11FDA249" w14:textId="77777777" w:rsidR="003012F4" w:rsidRPr="00761204" w:rsidRDefault="003012F4" w:rsidP="00761204">
      <w:pPr>
        <w:rPr>
          <w:szCs w:val="22"/>
          <w:lang w:val="cs-CZ"/>
        </w:rPr>
      </w:pPr>
    </w:p>
    <w:p w14:paraId="70660F5C" w14:textId="45CF6CEC" w:rsidR="00CB22E4" w:rsidRPr="00761204" w:rsidDel="00CE7F39" w:rsidRDefault="00CB22E4" w:rsidP="00761204">
      <w:pPr>
        <w:rPr>
          <w:szCs w:val="22"/>
          <w:lang w:val="cs-CZ"/>
        </w:rPr>
      </w:pPr>
      <w:r w:rsidRPr="00761204" w:rsidDel="00CE7F39">
        <w:rPr>
          <w:szCs w:val="22"/>
          <w:lang w:val="cs-CZ"/>
        </w:rPr>
        <w:t xml:space="preserve">Nepoužívat </w:t>
      </w:r>
      <w:r w:rsidR="0064516D" w:rsidRPr="00761204">
        <w:rPr>
          <w:szCs w:val="22"/>
          <w:lang w:val="cs-CZ"/>
        </w:rPr>
        <w:t>v případech</w:t>
      </w:r>
      <w:r w:rsidRPr="00761204" w:rsidDel="00CE7F39">
        <w:rPr>
          <w:szCs w:val="22"/>
          <w:lang w:val="cs-CZ"/>
        </w:rPr>
        <w:t xml:space="preserve"> přecitlivělost</w:t>
      </w:r>
      <w:r w:rsidR="008102B2" w:rsidRPr="00761204">
        <w:rPr>
          <w:szCs w:val="22"/>
          <w:lang w:val="cs-CZ"/>
        </w:rPr>
        <w:t>i</w:t>
      </w:r>
      <w:r w:rsidRPr="00761204" w:rsidDel="00CE7F39">
        <w:rPr>
          <w:szCs w:val="22"/>
          <w:lang w:val="cs-CZ"/>
        </w:rPr>
        <w:t xml:space="preserve"> na</w:t>
      </w:r>
      <w:r w:rsidR="00E84EC4" w:rsidRPr="00761204">
        <w:rPr>
          <w:szCs w:val="22"/>
          <w:lang w:val="cs-CZ"/>
        </w:rPr>
        <w:t xml:space="preserve"> </w:t>
      </w:r>
      <w:r w:rsidR="008102B2" w:rsidRPr="00761204">
        <w:rPr>
          <w:szCs w:val="22"/>
          <w:lang w:val="cs-CZ"/>
        </w:rPr>
        <w:t>léčiv</w:t>
      </w:r>
      <w:r w:rsidR="00BA7400" w:rsidRPr="00761204">
        <w:rPr>
          <w:szCs w:val="22"/>
          <w:lang w:val="cs-CZ"/>
        </w:rPr>
        <w:t>é látky, nebo na některou z pomocných látek</w:t>
      </w:r>
      <w:r w:rsidRPr="00761204" w:rsidDel="00CE7F39">
        <w:rPr>
          <w:szCs w:val="22"/>
          <w:lang w:val="cs-CZ"/>
        </w:rPr>
        <w:t>.</w:t>
      </w:r>
    </w:p>
    <w:p w14:paraId="16682E18" w14:textId="419285B5" w:rsidR="00CB22E4" w:rsidRPr="00761204" w:rsidDel="00CE7F39" w:rsidRDefault="00CB22E4" w:rsidP="00761204">
      <w:pPr>
        <w:rPr>
          <w:szCs w:val="22"/>
          <w:lang w:val="cs-CZ"/>
        </w:rPr>
      </w:pPr>
      <w:r w:rsidRPr="00761204" w:rsidDel="00CE7F39">
        <w:rPr>
          <w:szCs w:val="22"/>
          <w:lang w:val="cs-CZ"/>
        </w:rPr>
        <w:t>Nepoužívat u skotu</w:t>
      </w:r>
      <w:r w:rsidR="003C7F3A" w:rsidRPr="00761204">
        <w:rPr>
          <w:szCs w:val="22"/>
          <w:lang w:val="cs-CZ"/>
        </w:rPr>
        <w:t xml:space="preserve"> mimo laktaci</w:t>
      </w:r>
      <w:r w:rsidRPr="00761204" w:rsidDel="00CE7F39">
        <w:rPr>
          <w:szCs w:val="22"/>
          <w:lang w:val="cs-CZ"/>
        </w:rPr>
        <w:t>.</w:t>
      </w:r>
    </w:p>
    <w:p w14:paraId="35BCFC80" w14:textId="798277F1" w:rsidR="00CB22E4" w:rsidRPr="00761204" w:rsidDel="00CE7F39" w:rsidRDefault="00CB22E4" w:rsidP="00761204">
      <w:pPr>
        <w:rPr>
          <w:szCs w:val="22"/>
          <w:lang w:val="cs-CZ"/>
        </w:rPr>
      </w:pPr>
      <w:r w:rsidRPr="00761204" w:rsidDel="00CE7F39">
        <w:rPr>
          <w:szCs w:val="22"/>
          <w:lang w:val="cs-CZ"/>
        </w:rPr>
        <w:t>Nepoužívat v případě známé rezistence</w:t>
      </w:r>
      <w:r w:rsidR="00FE6CDB" w:rsidRPr="00761204" w:rsidDel="00CE7F39">
        <w:rPr>
          <w:szCs w:val="22"/>
          <w:lang w:val="cs-CZ"/>
        </w:rPr>
        <w:t xml:space="preserve"> na cefalexin a/nebo kanamycin</w:t>
      </w:r>
      <w:r w:rsidRPr="00761204" w:rsidDel="00CE7F39">
        <w:rPr>
          <w:szCs w:val="22"/>
          <w:lang w:val="cs-CZ"/>
        </w:rPr>
        <w:t>.</w:t>
      </w:r>
    </w:p>
    <w:p w14:paraId="1068AF41" w14:textId="77777777" w:rsidR="00CF7BF4" w:rsidRPr="00761204" w:rsidRDefault="00CF7BF4" w:rsidP="00761204">
      <w:pPr>
        <w:rPr>
          <w:b/>
          <w:bCs/>
          <w:szCs w:val="22"/>
          <w:highlight w:val="lightGray"/>
          <w:lang w:val="cs-CZ"/>
        </w:rPr>
      </w:pPr>
    </w:p>
    <w:p w14:paraId="2E1339D5" w14:textId="77777777" w:rsidR="00CF7BF4" w:rsidRPr="00761204" w:rsidRDefault="00CF7BF4" w:rsidP="00761204">
      <w:pPr>
        <w:rPr>
          <w:b/>
          <w:bCs/>
          <w:szCs w:val="22"/>
          <w:highlight w:val="lightGray"/>
          <w:lang w:val="cs-CZ"/>
        </w:rPr>
      </w:pPr>
    </w:p>
    <w:p w14:paraId="4AD352A3" w14:textId="7C7EF894" w:rsidR="00CF7BF4" w:rsidRPr="00761204" w:rsidRDefault="00CF7BF4" w:rsidP="00761204">
      <w:pPr>
        <w:rPr>
          <w:b/>
          <w:bCs/>
          <w:szCs w:val="22"/>
          <w:lang w:val="cs-CZ"/>
        </w:rPr>
      </w:pPr>
      <w:r w:rsidRPr="00761204">
        <w:rPr>
          <w:b/>
          <w:bCs/>
          <w:szCs w:val="22"/>
          <w:highlight w:val="lightGray"/>
          <w:lang w:val="cs-CZ"/>
        </w:rPr>
        <w:t>6.</w:t>
      </w:r>
      <w:r w:rsidRPr="00761204">
        <w:rPr>
          <w:b/>
          <w:bCs/>
          <w:szCs w:val="22"/>
          <w:lang w:val="cs-CZ"/>
        </w:rPr>
        <w:tab/>
      </w:r>
      <w:r w:rsidRPr="00761204">
        <w:rPr>
          <w:b/>
          <w:szCs w:val="22"/>
          <w:lang w:val="cs-CZ"/>
        </w:rPr>
        <w:t>Zvláštní upozornění</w:t>
      </w:r>
    </w:p>
    <w:p w14:paraId="4A5E9BA8" w14:textId="77777777" w:rsidR="00CF7BF4" w:rsidRPr="00761204" w:rsidRDefault="00CF7BF4" w:rsidP="00761204">
      <w:pPr>
        <w:rPr>
          <w:szCs w:val="22"/>
          <w:lang w:val="cs-CZ"/>
        </w:rPr>
      </w:pPr>
    </w:p>
    <w:p w14:paraId="2D1FACA7" w14:textId="77777777" w:rsidR="00326F7A" w:rsidRPr="00761204" w:rsidRDefault="00CF7BF4" w:rsidP="00761204">
      <w:pPr>
        <w:ind w:left="0" w:firstLine="0"/>
        <w:rPr>
          <w:szCs w:val="22"/>
          <w:u w:val="single"/>
          <w:lang w:val="cs-CZ"/>
        </w:rPr>
      </w:pPr>
      <w:r w:rsidRPr="00761204">
        <w:rPr>
          <w:szCs w:val="22"/>
          <w:u w:val="single"/>
          <w:lang w:val="cs-CZ"/>
        </w:rPr>
        <w:t>Zvláštní opatření pro bezpečné použití u cílových druhů</w:t>
      </w:r>
      <w:r w:rsidR="00326F7A" w:rsidRPr="00761204">
        <w:rPr>
          <w:szCs w:val="22"/>
          <w:u w:val="single"/>
          <w:lang w:val="cs-CZ"/>
        </w:rPr>
        <w:t>:</w:t>
      </w:r>
    </w:p>
    <w:p w14:paraId="193ABC89" w14:textId="4CA1268A" w:rsidR="00CF7BF4" w:rsidRPr="00761204" w:rsidRDefault="006B5C4F" w:rsidP="00761204">
      <w:pPr>
        <w:ind w:left="0" w:firstLine="0"/>
        <w:rPr>
          <w:bCs/>
          <w:szCs w:val="22"/>
          <w:lang w:val="cs-CZ"/>
        </w:rPr>
      </w:pPr>
      <w:r w:rsidRPr="00761204">
        <w:rPr>
          <w:bCs/>
          <w:szCs w:val="22"/>
          <w:lang w:val="cs-CZ"/>
        </w:rPr>
        <w:t>Veterinární léčivý p</w:t>
      </w:r>
      <w:r w:rsidR="00CF7BF4" w:rsidRPr="00761204">
        <w:rPr>
          <w:bCs/>
          <w:szCs w:val="22"/>
          <w:lang w:val="cs-CZ"/>
        </w:rPr>
        <w:t>řípravek je určen pouze k léčbě klinických mastitid.</w:t>
      </w:r>
    </w:p>
    <w:p w14:paraId="5F9846E0" w14:textId="7B436D25" w:rsidR="009F00A1" w:rsidRPr="00761204" w:rsidRDefault="009F00A1" w:rsidP="00761204">
      <w:pPr>
        <w:ind w:left="0" w:firstLine="0"/>
        <w:rPr>
          <w:szCs w:val="22"/>
          <w:lang w:val="cs-CZ"/>
        </w:rPr>
      </w:pPr>
      <w:r w:rsidRPr="00761204">
        <w:rPr>
          <w:bCs/>
          <w:szCs w:val="22"/>
          <w:lang w:val="cs-CZ"/>
        </w:rPr>
        <w:t xml:space="preserve">Použití </w:t>
      </w:r>
      <w:r w:rsidR="00A42E25">
        <w:rPr>
          <w:bCs/>
          <w:szCs w:val="22"/>
          <w:lang w:val="cs-CZ"/>
        </w:rPr>
        <w:t xml:space="preserve">veterinárního léčivého </w:t>
      </w:r>
      <w:r w:rsidRPr="00761204">
        <w:rPr>
          <w:bCs/>
          <w:szCs w:val="22"/>
          <w:lang w:val="cs-CZ"/>
        </w:rPr>
        <w:t>přípravku</w:t>
      </w:r>
      <w:r w:rsidRPr="00761204">
        <w:rPr>
          <w:szCs w:val="22"/>
          <w:lang w:val="cs-CZ"/>
        </w:rPr>
        <w:t xml:space="preserve"> by mělo být založeno na kultivaci a výsledku stanovení citlivosti mikroorgani</w:t>
      </w:r>
      <w:r w:rsidR="005637FB" w:rsidRPr="00761204">
        <w:rPr>
          <w:szCs w:val="22"/>
          <w:lang w:val="cs-CZ"/>
        </w:rPr>
        <w:t>s</w:t>
      </w:r>
      <w:r w:rsidRPr="00761204">
        <w:rPr>
          <w:szCs w:val="22"/>
          <w:lang w:val="cs-CZ"/>
        </w:rPr>
        <w:t>mů pocházejících z výskytů případů onemocnění. Pokud to není možné, je nutné založit terapii na místních (regionální, na úrovni farmy) epizootologických informacích a znalostech o citlivosti cílové bakterie. Při použití přípravku je nutno vzít v úvahu oficiální a místní pravidla antibiotické politiky.</w:t>
      </w:r>
    </w:p>
    <w:p w14:paraId="24D3F376" w14:textId="77777777" w:rsidR="009F00A1" w:rsidRPr="00761204" w:rsidRDefault="009F00A1" w:rsidP="00761204">
      <w:pPr>
        <w:ind w:left="0" w:firstLine="0"/>
        <w:rPr>
          <w:bCs/>
          <w:szCs w:val="22"/>
          <w:lang w:val="cs-CZ"/>
        </w:rPr>
      </w:pPr>
    </w:p>
    <w:p w14:paraId="57D6AAE6" w14:textId="77F70AB3" w:rsidR="00CF7BF4" w:rsidRPr="00761204" w:rsidRDefault="00CF7BF4" w:rsidP="00761204">
      <w:pPr>
        <w:ind w:left="0" w:firstLine="0"/>
        <w:rPr>
          <w:bCs/>
          <w:szCs w:val="22"/>
          <w:lang w:val="cs-CZ"/>
        </w:rPr>
      </w:pPr>
      <w:r w:rsidRPr="00761204">
        <w:rPr>
          <w:bCs/>
          <w:szCs w:val="22"/>
          <w:lang w:val="cs-CZ"/>
        </w:rPr>
        <w:t xml:space="preserve">Nevhodné použití </w:t>
      </w:r>
      <w:r w:rsidR="00D16A98" w:rsidRPr="00761204">
        <w:rPr>
          <w:bCs/>
          <w:szCs w:val="22"/>
          <w:lang w:val="cs-CZ"/>
        </w:rPr>
        <w:t xml:space="preserve">tohoto veterinárního léčivého </w:t>
      </w:r>
      <w:r w:rsidRPr="00761204">
        <w:rPr>
          <w:bCs/>
          <w:szCs w:val="22"/>
          <w:lang w:val="cs-CZ"/>
        </w:rPr>
        <w:t>přípravku může zvýšit prevalenci baktérií rezistentních na cefalexin a kanamycin a snížit účinnost léčby jinými cefalosporiny nebo aminoglykosidy v důsledku možné zkřížené rezistence.</w:t>
      </w:r>
    </w:p>
    <w:p w14:paraId="61671B2F" w14:textId="77777777" w:rsidR="00CF7BF4" w:rsidRPr="00761204" w:rsidRDefault="00CF7BF4" w:rsidP="00761204">
      <w:pPr>
        <w:ind w:left="0" w:firstLine="0"/>
        <w:rPr>
          <w:bCs/>
          <w:szCs w:val="22"/>
          <w:lang w:val="cs-CZ"/>
        </w:rPr>
      </w:pPr>
    </w:p>
    <w:p w14:paraId="53F4F486" w14:textId="77777777" w:rsidR="006C3B79" w:rsidRPr="00761204" w:rsidRDefault="006C3B79" w:rsidP="00761204">
      <w:pPr>
        <w:ind w:left="0" w:firstLine="0"/>
        <w:rPr>
          <w:bCs/>
          <w:szCs w:val="22"/>
          <w:u w:val="single"/>
          <w:lang w:val="cs-CZ"/>
        </w:rPr>
      </w:pPr>
      <w:r w:rsidRPr="00761204">
        <w:rPr>
          <w:bCs/>
          <w:szCs w:val="22"/>
          <w:u w:val="single"/>
          <w:lang w:val="cs-CZ"/>
        </w:rPr>
        <w:t>Zvláštní opatření pro osobu, která podává veterinární léčivý přípravek zvířatům:</w:t>
      </w:r>
    </w:p>
    <w:p w14:paraId="270A5CCE" w14:textId="1A0466FB" w:rsidR="00CF7BF4" w:rsidRPr="00761204" w:rsidRDefault="00CF7BF4" w:rsidP="00761204">
      <w:pPr>
        <w:ind w:left="0" w:firstLine="0"/>
        <w:rPr>
          <w:bCs/>
          <w:szCs w:val="22"/>
          <w:lang w:val="cs-CZ"/>
        </w:rPr>
      </w:pPr>
      <w:r w:rsidRPr="00761204">
        <w:rPr>
          <w:bCs/>
          <w:szCs w:val="22"/>
          <w:lang w:val="cs-CZ"/>
        </w:rPr>
        <w:t xml:space="preserve">Peniciliny a cefalosporiny mohou vyvolat hypersenzitivní (alergickou) reakci po injekci, vdechnutí, požití nebo kontaktu s pokožkou. Přecitlivělost na peniciliny může vést ke zkříženým reakcím na cefalosporiny a naopak. Alergické reakce na tyto látky mohou být </w:t>
      </w:r>
      <w:r w:rsidR="008452EB">
        <w:rPr>
          <w:bCs/>
          <w:szCs w:val="22"/>
          <w:lang w:val="cs-CZ"/>
        </w:rPr>
        <w:t>v některých případech</w:t>
      </w:r>
      <w:r w:rsidRPr="00761204">
        <w:rPr>
          <w:bCs/>
          <w:szCs w:val="22"/>
          <w:lang w:val="cs-CZ"/>
        </w:rPr>
        <w:t xml:space="preserve"> vážné.</w:t>
      </w:r>
    </w:p>
    <w:p w14:paraId="39CCEB12" w14:textId="77777777" w:rsidR="00D16A98" w:rsidRPr="00761204" w:rsidRDefault="00D16A98" w:rsidP="00761204">
      <w:pPr>
        <w:ind w:left="0" w:firstLine="0"/>
        <w:rPr>
          <w:iCs/>
          <w:szCs w:val="22"/>
          <w:lang w:val="cs-CZ"/>
        </w:rPr>
      </w:pPr>
      <w:r w:rsidRPr="00761204">
        <w:rPr>
          <w:iCs/>
          <w:szCs w:val="22"/>
          <w:lang w:val="cs-CZ"/>
        </w:rPr>
        <w:lastRenderedPageBreak/>
        <w:t>Lidé se známou přecitlivělostí na cefalexin a kanamycin by se měli vyhnout kontaktu s veterinárním léčivým přípravkem.</w:t>
      </w:r>
    </w:p>
    <w:p w14:paraId="69E99D61" w14:textId="16BA49AB" w:rsidR="0053250A" w:rsidRPr="00761204" w:rsidRDefault="00CF7BF4" w:rsidP="00761204">
      <w:pPr>
        <w:ind w:left="0" w:firstLine="0"/>
        <w:rPr>
          <w:bCs/>
          <w:szCs w:val="22"/>
          <w:lang w:val="cs-CZ"/>
        </w:rPr>
      </w:pPr>
      <w:r w:rsidRPr="00761204">
        <w:rPr>
          <w:bCs/>
          <w:szCs w:val="22"/>
          <w:lang w:val="cs-CZ"/>
        </w:rPr>
        <w:t xml:space="preserve">Dodržujte </w:t>
      </w:r>
      <w:r w:rsidR="008452EB" w:rsidRPr="00761204">
        <w:rPr>
          <w:bCs/>
          <w:szCs w:val="22"/>
          <w:lang w:val="cs-CZ"/>
        </w:rPr>
        <w:t>všechn</w:t>
      </w:r>
      <w:r w:rsidR="008452EB">
        <w:rPr>
          <w:bCs/>
          <w:szCs w:val="22"/>
          <w:lang w:val="cs-CZ"/>
        </w:rPr>
        <w:t>a</w:t>
      </w:r>
      <w:r w:rsidR="008452EB" w:rsidRPr="00761204">
        <w:rPr>
          <w:bCs/>
          <w:szCs w:val="22"/>
          <w:lang w:val="cs-CZ"/>
        </w:rPr>
        <w:t xml:space="preserve"> doporučen</w:t>
      </w:r>
      <w:r w:rsidR="008C60D3">
        <w:rPr>
          <w:bCs/>
          <w:szCs w:val="22"/>
          <w:lang w:val="cs-CZ"/>
        </w:rPr>
        <w:t>á</w:t>
      </w:r>
      <w:r w:rsidR="008452EB" w:rsidRPr="00761204">
        <w:rPr>
          <w:bCs/>
          <w:szCs w:val="22"/>
          <w:lang w:val="cs-CZ"/>
        </w:rPr>
        <w:t xml:space="preserve"> </w:t>
      </w:r>
      <w:r w:rsidRPr="00761204">
        <w:rPr>
          <w:bCs/>
          <w:szCs w:val="22"/>
          <w:lang w:val="cs-CZ"/>
        </w:rPr>
        <w:t xml:space="preserve">bezpečnostní opatření. Zacházejte s tímto </w:t>
      </w:r>
      <w:r w:rsidR="00D16A98" w:rsidRPr="00761204">
        <w:rPr>
          <w:bCs/>
          <w:szCs w:val="22"/>
          <w:lang w:val="cs-CZ"/>
        </w:rPr>
        <w:t xml:space="preserve">veterinárním léčivým </w:t>
      </w:r>
      <w:r w:rsidRPr="00761204">
        <w:rPr>
          <w:bCs/>
          <w:szCs w:val="22"/>
          <w:lang w:val="cs-CZ"/>
        </w:rPr>
        <w:t>přípravkem velmi obezřetně, aby</w:t>
      </w:r>
      <w:r w:rsidR="008452EB">
        <w:rPr>
          <w:bCs/>
          <w:szCs w:val="22"/>
          <w:lang w:val="cs-CZ"/>
        </w:rPr>
        <w:t xml:space="preserve"> nedošlo k náhodnému </w:t>
      </w:r>
      <w:r w:rsidRPr="00761204">
        <w:rPr>
          <w:bCs/>
          <w:szCs w:val="22"/>
          <w:lang w:val="cs-CZ"/>
        </w:rPr>
        <w:t xml:space="preserve">kontaktu s kůží. </w:t>
      </w:r>
      <w:r w:rsidR="00733D4A" w:rsidRPr="00761204">
        <w:rPr>
          <w:iCs/>
          <w:szCs w:val="22"/>
          <w:lang w:val="cs-CZ"/>
        </w:rPr>
        <w:t>Při nakládání s veterinárním léčivým přípravkem by se měly používat osobní ochranné prostředky skládající se z</w:t>
      </w:r>
      <w:r w:rsidRPr="00761204">
        <w:rPr>
          <w:bCs/>
          <w:szCs w:val="22"/>
          <w:lang w:val="cs-CZ"/>
        </w:rPr>
        <w:t xml:space="preserve"> rukavic. </w:t>
      </w:r>
    </w:p>
    <w:p w14:paraId="66C04587" w14:textId="03A8D54E" w:rsidR="00CF7BF4" w:rsidRPr="00761204" w:rsidRDefault="00CF7BF4" w:rsidP="00761204">
      <w:pPr>
        <w:ind w:left="0" w:firstLine="0"/>
        <w:rPr>
          <w:bCs/>
          <w:szCs w:val="22"/>
          <w:lang w:val="cs-CZ"/>
        </w:rPr>
      </w:pPr>
      <w:r w:rsidRPr="00761204">
        <w:rPr>
          <w:bCs/>
          <w:szCs w:val="22"/>
          <w:lang w:val="cs-CZ"/>
        </w:rPr>
        <w:t xml:space="preserve">Po použití umyjte </w:t>
      </w:r>
      <w:r w:rsidR="008452EB">
        <w:rPr>
          <w:bCs/>
          <w:szCs w:val="22"/>
          <w:lang w:val="cs-CZ"/>
        </w:rPr>
        <w:t>exponovanou</w:t>
      </w:r>
      <w:r w:rsidR="008452EB" w:rsidRPr="00761204">
        <w:rPr>
          <w:bCs/>
          <w:szCs w:val="22"/>
          <w:lang w:val="cs-CZ"/>
        </w:rPr>
        <w:t xml:space="preserve"> </w:t>
      </w:r>
      <w:r w:rsidRPr="00761204">
        <w:rPr>
          <w:bCs/>
          <w:szCs w:val="22"/>
          <w:lang w:val="cs-CZ"/>
        </w:rPr>
        <w:t>pokožku.</w:t>
      </w:r>
    </w:p>
    <w:p w14:paraId="793843C6" w14:textId="17D7FF62" w:rsidR="00CF7BF4" w:rsidRPr="00761204" w:rsidRDefault="008452EB" w:rsidP="00761204">
      <w:pPr>
        <w:ind w:left="0" w:firstLine="0"/>
        <w:rPr>
          <w:bCs/>
          <w:szCs w:val="22"/>
          <w:lang w:val="cs-CZ"/>
        </w:rPr>
      </w:pPr>
      <w:r>
        <w:rPr>
          <w:bCs/>
          <w:szCs w:val="22"/>
          <w:lang w:val="cs-CZ"/>
        </w:rPr>
        <w:t>Pokud se po expozici objeví příznaky</w:t>
      </w:r>
      <w:r w:rsidR="001D372D">
        <w:rPr>
          <w:bCs/>
          <w:szCs w:val="22"/>
          <w:lang w:val="cs-CZ"/>
        </w:rPr>
        <w:t xml:space="preserve">, </w:t>
      </w:r>
      <w:r w:rsidR="00CF7BF4" w:rsidRPr="00761204">
        <w:rPr>
          <w:bCs/>
          <w:szCs w:val="22"/>
          <w:lang w:val="cs-CZ"/>
        </w:rPr>
        <w:t>j</w:t>
      </w:r>
      <w:r w:rsidR="001D372D">
        <w:rPr>
          <w:bCs/>
          <w:szCs w:val="22"/>
          <w:lang w:val="cs-CZ"/>
        </w:rPr>
        <w:t xml:space="preserve">ako je </w:t>
      </w:r>
      <w:r w:rsidR="00CF7BF4" w:rsidRPr="00761204">
        <w:rPr>
          <w:bCs/>
          <w:szCs w:val="22"/>
          <w:lang w:val="cs-CZ"/>
        </w:rPr>
        <w:t xml:space="preserve">kožní vyrážka, vyhledejte lékařskou pomoc a ukažte </w:t>
      </w:r>
      <w:r w:rsidR="00733D4A" w:rsidRPr="00761204">
        <w:rPr>
          <w:iCs/>
          <w:szCs w:val="22"/>
          <w:lang w:val="cs-CZ"/>
        </w:rPr>
        <w:t>příbalovou informaci nebo etiketu</w:t>
      </w:r>
      <w:r w:rsidR="001D372D" w:rsidRPr="001D372D">
        <w:rPr>
          <w:bCs/>
          <w:szCs w:val="22"/>
          <w:lang w:val="cs-CZ"/>
        </w:rPr>
        <w:t xml:space="preserve"> </w:t>
      </w:r>
      <w:r w:rsidR="001D372D" w:rsidRPr="00761204">
        <w:rPr>
          <w:bCs/>
          <w:szCs w:val="22"/>
          <w:lang w:val="cs-CZ"/>
        </w:rPr>
        <w:t>lékaři</w:t>
      </w:r>
      <w:r w:rsidR="00CF7BF4" w:rsidRPr="00761204">
        <w:rPr>
          <w:bCs/>
          <w:szCs w:val="22"/>
          <w:lang w:val="cs-CZ"/>
        </w:rPr>
        <w:t>. Otok obličeje, rtů</w:t>
      </w:r>
      <w:r w:rsidR="001D372D">
        <w:rPr>
          <w:bCs/>
          <w:szCs w:val="22"/>
          <w:lang w:val="cs-CZ"/>
        </w:rPr>
        <w:t>,</w:t>
      </w:r>
      <w:r w:rsidR="00733D4A" w:rsidRPr="00761204">
        <w:rPr>
          <w:bCs/>
          <w:szCs w:val="22"/>
          <w:lang w:val="cs-CZ"/>
        </w:rPr>
        <w:t xml:space="preserve"> </w:t>
      </w:r>
      <w:r w:rsidR="00CF7BF4" w:rsidRPr="00761204">
        <w:rPr>
          <w:bCs/>
          <w:szCs w:val="22"/>
          <w:lang w:val="cs-CZ"/>
        </w:rPr>
        <w:t>očí nebo problémy s dýcháním jsou vážn</w:t>
      </w:r>
      <w:r w:rsidR="001D372D">
        <w:rPr>
          <w:bCs/>
          <w:szCs w:val="22"/>
          <w:lang w:val="cs-CZ"/>
        </w:rPr>
        <w:t>é</w:t>
      </w:r>
      <w:r w:rsidR="00CF7BF4" w:rsidRPr="00761204">
        <w:rPr>
          <w:bCs/>
          <w:szCs w:val="22"/>
          <w:lang w:val="cs-CZ"/>
        </w:rPr>
        <w:t xml:space="preserve"> příznaky a vyžadují okamžité lékařské ošetření. </w:t>
      </w:r>
    </w:p>
    <w:p w14:paraId="7E8D0D2B" w14:textId="77777777" w:rsidR="00CF7BF4" w:rsidRPr="00761204" w:rsidRDefault="00CF7BF4" w:rsidP="00761204">
      <w:pPr>
        <w:ind w:left="0" w:firstLine="0"/>
        <w:rPr>
          <w:bCs/>
          <w:szCs w:val="22"/>
          <w:lang w:val="cs-CZ"/>
        </w:rPr>
      </w:pPr>
    </w:p>
    <w:p w14:paraId="043F2FC6" w14:textId="7743EB47" w:rsidR="00CF7BF4" w:rsidRPr="00761204" w:rsidRDefault="0091026C" w:rsidP="00761204">
      <w:pPr>
        <w:ind w:left="0" w:firstLine="0"/>
        <w:rPr>
          <w:bCs/>
          <w:szCs w:val="22"/>
          <w:lang w:val="cs-CZ"/>
        </w:rPr>
      </w:pPr>
      <w:r w:rsidRPr="00761204">
        <w:rPr>
          <w:bCs/>
          <w:szCs w:val="22"/>
          <w:u w:val="single"/>
          <w:lang w:val="cs-CZ"/>
        </w:rPr>
        <w:t>B</w:t>
      </w:r>
      <w:r w:rsidR="00CF7BF4" w:rsidRPr="00761204">
        <w:rPr>
          <w:bCs/>
          <w:szCs w:val="22"/>
          <w:u w:val="single"/>
          <w:lang w:val="cs-CZ"/>
        </w:rPr>
        <w:t>řezost a laktace</w:t>
      </w:r>
      <w:r w:rsidRPr="00761204">
        <w:rPr>
          <w:bCs/>
          <w:szCs w:val="22"/>
          <w:u w:val="single"/>
          <w:lang w:val="cs-CZ"/>
        </w:rPr>
        <w:t>:</w:t>
      </w:r>
    </w:p>
    <w:p w14:paraId="19A9FB70" w14:textId="06CB10FD" w:rsidR="005637FB" w:rsidRPr="00761204" w:rsidRDefault="00631988" w:rsidP="00761204">
      <w:pPr>
        <w:ind w:left="0" w:firstLine="0"/>
        <w:rPr>
          <w:bCs/>
          <w:szCs w:val="22"/>
          <w:lang w:val="cs-CZ"/>
        </w:rPr>
      </w:pPr>
      <w:r w:rsidRPr="00761204">
        <w:rPr>
          <w:szCs w:val="22"/>
          <w:lang w:val="cs-CZ"/>
        </w:rPr>
        <w:t>Laboratorní studie u zvířat nepodaly důkaz o teratogenních účincích.</w:t>
      </w:r>
      <w:r w:rsidRPr="00761204">
        <w:rPr>
          <w:iCs/>
          <w:szCs w:val="22"/>
          <w:lang w:val="cs-CZ"/>
        </w:rPr>
        <w:t xml:space="preserve"> Terénní studie u dojnic nepodaly důkaz o teratogenním, fetotoxickém účinku ani maternální toxicitě. Lze použít během březosti. Lze použít během laktace.</w:t>
      </w:r>
    </w:p>
    <w:p w14:paraId="502873F3" w14:textId="77777777" w:rsidR="00CF7BF4" w:rsidRPr="00761204" w:rsidRDefault="00CF7BF4" w:rsidP="00761204">
      <w:pPr>
        <w:ind w:left="0" w:firstLine="0"/>
        <w:rPr>
          <w:bCs/>
          <w:szCs w:val="22"/>
          <w:lang w:val="cs-CZ"/>
        </w:rPr>
      </w:pPr>
    </w:p>
    <w:p w14:paraId="7EC4B940" w14:textId="2E6854DC" w:rsidR="004527B8" w:rsidRPr="00761204" w:rsidRDefault="00E64B0D" w:rsidP="00761204">
      <w:pPr>
        <w:ind w:left="0" w:firstLine="0"/>
        <w:rPr>
          <w:bCs/>
          <w:szCs w:val="22"/>
          <w:lang w:val="cs-CZ"/>
        </w:rPr>
      </w:pPr>
      <w:r w:rsidRPr="00761204">
        <w:rPr>
          <w:szCs w:val="22"/>
          <w:u w:val="single"/>
          <w:lang w:val="cs-CZ"/>
        </w:rPr>
        <w:t>Interakce s jinými léčivými přípravky a další formy interakce:</w:t>
      </w:r>
    </w:p>
    <w:p w14:paraId="6944A6B3" w14:textId="77777777" w:rsidR="00CF7BF4" w:rsidRPr="00761204" w:rsidRDefault="00CF7BF4" w:rsidP="00761204">
      <w:pPr>
        <w:ind w:left="0" w:firstLine="0"/>
        <w:rPr>
          <w:bCs/>
          <w:szCs w:val="22"/>
          <w:lang w:val="cs-CZ"/>
        </w:rPr>
      </w:pPr>
      <w:r w:rsidRPr="00761204">
        <w:rPr>
          <w:bCs/>
          <w:szCs w:val="22"/>
          <w:lang w:val="cs-CZ"/>
        </w:rPr>
        <w:t>Obecně bychom se měli vyhnout kombinaci s bakteriostatickými antibitiky.</w:t>
      </w:r>
    </w:p>
    <w:p w14:paraId="09BC22E2" w14:textId="77777777" w:rsidR="00CF7BF4" w:rsidRPr="00761204" w:rsidRDefault="00CF7BF4" w:rsidP="00761204">
      <w:pPr>
        <w:ind w:left="0" w:firstLine="0"/>
        <w:rPr>
          <w:bCs/>
          <w:szCs w:val="22"/>
          <w:lang w:val="cs-CZ"/>
        </w:rPr>
      </w:pPr>
      <w:r w:rsidRPr="00761204">
        <w:rPr>
          <w:bCs/>
          <w:szCs w:val="22"/>
          <w:lang w:val="cs-CZ"/>
        </w:rPr>
        <w:t>V případě rezistence na cefalexin se pravděpodobně objeví zkřížená rezistence s jinými cefalosporiny.</w:t>
      </w:r>
    </w:p>
    <w:p w14:paraId="1192E343" w14:textId="68221E43" w:rsidR="00CF7BF4" w:rsidRPr="00761204" w:rsidRDefault="00CF7BF4" w:rsidP="00761204">
      <w:pPr>
        <w:ind w:left="0" w:firstLine="0"/>
        <w:rPr>
          <w:bCs/>
          <w:szCs w:val="22"/>
          <w:lang w:val="cs-CZ"/>
        </w:rPr>
      </w:pPr>
      <w:r w:rsidRPr="00761204">
        <w:rPr>
          <w:bCs/>
          <w:szCs w:val="22"/>
          <w:lang w:val="cs-CZ"/>
        </w:rPr>
        <w:t xml:space="preserve">V případě rezistence na kanamycin se objevuje zkřížená rezistence mezi </w:t>
      </w:r>
      <w:proofErr w:type="spellStart"/>
      <w:r w:rsidRPr="00761204">
        <w:rPr>
          <w:bCs/>
          <w:szCs w:val="22"/>
          <w:lang w:val="cs-CZ"/>
        </w:rPr>
        <w:t>kanamycinem</w:t>
      </w:r>
      <w:proofErr w:type="spellEnd"/>
      <w:r w:rsidRPr="00761204">
        <w:rPr>
          <w:bCs/>
          <w:szCs w:val="22"/>
          <w:lang w:val="cs-CZ"/>
        </w:rPr>
        <w:t>, neomycinem a</w:t>
      </w:r>
      <w:r w:rsidR="004527B8" w:rsidRPr="00761204">
        <w:rPr>
          <w:bCs/>
          <w:szCs w:val="22"/>
          <w:lang w:val="cs-CZ"/>
        </w:rPr>
        <w:t> </w:t>
      </w:r>
      <w:proofErr w:type="spellStart"/>
      <w:r w:rsidRPr="00761204">
        <w:rPr>
          <w:bCs/>
          <w:szCs w:val="22"/>
          <w:lang w:val="cs-CZ"/>
        </w:rPr>
        <w:t>paromomycinem</w:t>
      </w:r>
      <w:proofErr w:type="spellEnd"/>
      <w:r w:rsidRPr="00761204">
        <w:rPr>
          <w:bCs/>
          <w:szCs w:val="22"/>
          <w:lang w:val="cs-CZ"/>
        </w:rPr>
        <w:t>. U kmenů rezistentních ke kanamycinu lze předpokládat rezistenci i ke</w:t>
      </w:r>
      <w:r w:rsidR="004527B8" w:rsidRPr="00761204">
        <w:rPr>
          <w:bCs/>
          <w:szCs w:val="22"/>
          <w:lang w:val="cs-CZ"/>
        </w:rPr>
        <w:t xml:space="preserve"> </w:t>
      </w:r>
      <w:r w:rsidRPr="00761204">
        <w:rPr>
          <w:bCs/>
          <w:szCs w:val="22"/>
          <w:lang w:val="cs-CZ"/>
        </w:rPr>
        <w:t>streptomycinu, naopak kmeny rezistentní ke streptomycinu si mohou zachovat účinnost ke kanamycinu.</w:t>
      </w:r>
    </w:p>
    <w:p w14:paraId="4B254CCB" w14:textId="77777777" w:rsidR="00CF7BF4" w:rsidRPr="00761204" w:rsidRDefault="00CF7BF4" w:rsidP="00761204">
      <w:pPr>
        <w:ind w:left="0" w:firstLine="0"/>
        <w:rPr>
          <w:bCs/>
          <w:szCs w:val="22"/>
          <w:lang w:val="cs-CZ"/>
        </w:rPr>
      </w:pPr>
    </w:p>
    <w:p w14:paraId="70FFDE36" w14:textId="5411ECBA" w:rsidR="00CF7BF4" w:rsidRPr="00761204" w:rsidRDefault="00CF7BF4" w:rsidP="00761204">
      <w:pPr>
        <w:ind w:left="0" w:firstLine="0"/>
        <w:rPr>
          <w:bCs/>
          <w:szCs w:val="22"/>
          <w:u w:val="single"/>
          <w:lang w:val="cs-CZ"/>
        </w:rPr>
      </w:pPr>
      <w:r w:rsidRPr="00761204">
        <w:rPr>
          <w:bCs/>
          <w:szCs w:val="22"/>
          <w:u w:val="single"/>
          <w:lang w:val="cs-CZ"/>
        </w:rPr>
        <w:t>Předávkování</w:t>
      </w:r>
      <w:r w:rsidR="00E55C2C" w:rsidRPr="00761204">
        <w:rPr>
          <w:bCs/>
          <w:szCs w:val="22"/>
          <w:u w:val="single"/>
          <w:lang w:val="cs-CZ"/>
        </w:rPr>
        <w:t>:</w:t>
      </w:r>
    </w:p>
    <w:p w14:paraId="22FCAEFC" w14:textId="77777777" w:rsidR="00CF7BF4" w:rsidRPr="00761204" w:rsidRDefault="00CF7BF4" w:rsidP="00761204">
      <w:pPr>
        <w:ind w:left="0" w:firstLine="0"/>
        <w:rPr>
          <w:bCs/>
          <w:szCs w:val="22"/>
          <w:lang w:val="cs-CZ"/>
        </w:rPr>
      </w:pPr>
      <w:r w:rsidRPr="00761204">
        <w:rPr>
          <w:bCs/>
          <w:szCs w:val="22"/>
          <w:lang w:val="cs-CZ"/>
        </w:rPr>
        <w:t>Údaje nejsou k dispozici.</w:t>
      </w:r>
    </w:p>
    <w:p w14:paraId="2E2F93AB" w14:textId="77777777" w:rsidR="00CB22E4" w:rsidRPr="00761204" w:rsidRDefault="00CB22E4" w:rsidP="00761204">
      <w:pPr>
        <w:rPr>
          <w:szCs w:val="22"/>
          <w:lang w:val="cs-CZ"/>
        </w:rPr>
      </w:pPr>
    </w:p>
    <w:p w14:paraId="7240C070" w14:textId="77777777" w:rsidR="00CB22E4" w:rsidRPr="00761204" w:rsidRDefault="00CB22E4" w:rsidP="00761204">
      <w:pPr>
        <w:rPr>
          <w:szCs w:val="22"/>
          <w:lang w:val="cs-CZ"/>
        </w:rPr>
      </w:pPr>
    </w:p>
    <w:p w14:paraId="2305477A" w14:textId="47BA88B8" w:rsidR="00CB22E4" w:rsidRPr="00761204" w:rsidRDefault="003320AE" w:rsidP="00761204">
      <w:pPr>
        <w:rPr>
          <w:bCs/>
          <w:szCs w:val="22"/>
          <w:lang w:val="cs-CZ"/>
        </w:rPr>
      </w:pPr>
      <w:r w:rsidRPr="00761204">
        <w:rPr>
          <w:b/>
          <w:bCs/>
          <w:szCs w:val="22"/>
          <w:highlight w:val="lightGray"/>
          <w:lang w:val="cs-CZ"/>
        </w:rPr>
        <w:t>7.</w:t>
      </w:r>
      <w:r w:rsidRPr="00761204">
        <w:rPr>
          <w:b/>
          <w:bCs/>
          <w:szCs w:val="22"/>
          <w:lang w:val="cs-CZ"/>
        </w:rPr>
        <w:tab/>
      </w:r>
      <w:r w:rsidRPr="00761204">
        <w:rPr>
          <w:b/>
          <w:szCs w:val="22"/>
          <w:lang w:val="cs-CZ"/>
        </w:rPr>
        <w:t>Nežádoucí účinky</w:t>
      </w:r>
    </w:p>
    <w:p w14:paraId="7626B5B2" w14:textId="21B88864" w:rsidR="00CE7F39" w:rsidRPr="00761204" w:rsidDel="00CE7F39" w:rsidRDefault="00CE7F39" w:rsidP="005E1BE3">
      <w:pPr>
        <w:jc w:val="both"/>
        <w:rPr>
          <w:bCs/>
          <w:szCs w:val="22"/>
          <w:lang w:val="cs-CZ"/>
        </w:rPr>
      </w:pPr>
    </w:p>
    <w:p w14:paraId="1C93D868" w14:textId="42CED9D9" w:rsidR="00CB22E4" w:rsidRPr="00761204" w:rsidRDefault="00CB22E4" w:rsidP="005E1BE3">
      <w:pPr>
        <w:ind w:left="0" w:firstLine="0"/>
        <w:jc w:val="both"/>
        <w:rPr>
          <w:szCs w:val="22"/>
          <w:lang w:val="cs-CZ"/>
        </w:rPr>
      </w:pPr>
      <w:r w:rsidRPr="00761204" w:rsidDel="00CE7F39">
        <w:rPr>
          <w:szCs w:val="22"/>
          <w:lang w:val="cs-CZ"/>
        </w:rPr>
        <w:t>Nejsou známy.</w:t>
      </w:r>
    </w:p>
    <w:p w14:paraId="5A9AE7CA" w14:textId="77777777" w:rsidR="00E32AC4" w:rsidRPr="00761204" w:rsidDel="00CE7F39" w:rsidRDefault="00E32AC4" w:rsidP="005E1BE3">
      <w:pPr>
        <w:ind w:left="0" w:firstLine="0"/>
        <w:jc w:val="both"/>
        <w:rPr>
          <w:bCs/>
          <w:szCs w:val="22"/>
          <w:lang w:val="cs-CZ"/>
        </w:rPr>
      </w:pPr>
    </w:p>
    <w:p w14:paraId="679D3AF3" w14:textId="4DC8B262" w:rsidR="008D5849" w:rsidRDefault="008D5849" w:rsidP="005E1BE3">
      <w:pPr>
        <w:tabs>
          <w:tab w:val="left" w:pos="567"/>
        </w:tabs>
        <w:ind w:left="0" w:firstLine="0"/>
        <w:jc w:val="both"/>
        <w:rPr>
          <w:szCs w:val="22"/>
          <w:lang w:val="cs-CZ" w:eastAsia="en-US"/>
        </w:rPr>
      </w:pPr>
      <w:r w:rsidRPr="00761204">
        <w:rPr>
          <w:szCs w:val="22"/>
          <w:lang w:val="cs-CZ" w:eastAsia="en-US"/>
        </w:rP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</w:t>
      </w:r>
      <w:r w:rsidR="0053250A" w:rsidRPr="00761204">
        <w:rPr>
          <w:szCs w:val="22"/>
          <w:lang w:val="cs-CZ" w:eastAsia="en-US"/>
        </w:rPr>
        <w:t>jeh</w:t>
      </w:r>
      <w:r w:rsidRPr="00761204">
        <w:rPr>
          <w:szCs w:val="22"/>
          <w:lang w:val="cs-CZ" w:eastAsia="en-US"/>
        </w:rPr>
        <w:t xml:space="preserve">o místnímu zástupci s využitím kontaktních údajů uvedených na konci této příbalové informace nebo prostřednictvím národního systému hlášení nežádoucích účinků: </w:t>
      </w:r>
    </w:p>
    <w:p w14:paraId="277028CD" w14:textId="77777777" w:rsidR="005E1BE3" w:rsidRPr="00761204" w:rsidRDefault="005E1BE3" w:rsidP="005E1BE3">
      <w:pPr>
        <w:tabs>
          <w:tab w:val="left" w:pos="567"/>
        </w:tabs>
        <w:ind w:left="0" w:firstLine="0"/>
        <w:jc w:val="both"/>
        <w:rPr>
          <w:i/>
          <w:iCs/>
          <w:szCs w:val="22"/>
          <w:lang w:val="cs-CZ" w:eastAsia="en-US"/>
        </w:rPr>
      </w:pPr>
    </w:p>
    <w:p w14:paraId="117EA4DC" w14:textId="77777777" w:rsidR="00C0171A" w:rsidRPr="00761204" w:rsidRDefault="00C0171A" w:rsidP="005E1BE3">
      <w:pPr>
        <w:ind w:left="0" w:firstLine="0"/>
        <w:jc w:val="both"/>
        <w:rPr>
          <w:szCs w:val="22"/>
          <w:lang w:val="cs-CZ"/>
        </w:rPr>
      </w:pPr>
      <w:r w:rsidRPr="00761204">
        <w:rPr>
          <w:szCs w:val="22"/>
          <w:lang w:val="cs-CZ"/>
        </w:rPr>
        <w:t xml:space="preserve">Ústav pro státní kontrolu veterinárních biopreparátů a léčiv </w:t>
      </w:r>
    </w:p>
    <w:p w14:paraId="42874F22" w14:textId="3B548D83" w:rsidR="00C0171A" w:rsidRPr="00761204" w:rsidRDefault="00C0171A" w:rsidP="005E1BE3">
      <w:pPr>
        <w:ind w:left="0" w:firstLine="0"/>
        <w:jc w:val="both"/>
        <w:rPr>
          <w:szCs w:val="22"/>
          <w:lang w:val="cs-CZ"/>
        </w:rPr>
      </w:pPr>
      <w:r w:rsidRPr="00761204">
        <w:rPr>
          <w:szCs w:val="22"/>
          <w:lang w:val="cs-CZ"/>
        </w:rPr>
        <w:t>Hudcova 232/56</w:t>
      </w:r>
      <w:r w:rsidR="001F09EC">
        <w:rPr>
          <w:szCs w:val="22"/>
          <w:lang w:val="cs-CZ"/>
        </w:rPr>
        <w:t xml:space="preserve"> </w:t>
      </w:r>
      <w:r w:rsidRPr="00761204">
        <w:rPr>
          <w:szCs w:val="22"/>
          <w:lang w:val="cs-CZ"/>
        </w:rPr>
        <w:t xml:space="preserve">a </w:t>
      </w:r>
    </w:p>
    <w:p w14:paraId="5BF3A291" w14:textId="77777777" w:rsidR="00C0171A" w:rsidRPr="00761204" w:rsidRDefault="00C0171A" w:rsidP="005E1BE3">
      <w:pPr>
        <w:ind w:left="0" w:firstLine="0"/>
        <w:jc w:val="both"/>
        <w:rPr>
          <w:szCs w:val="22"/>
          <w:lang w:val="cs-CZ"/>
        </w:rPr>
      </w:pPr>
      <w:r w:rsidRPr="00761204">
        <w:rPr>
          <w:szCs w:val="22"/>
          <w:lang w:val="cs-CZ"/>
        </w:rPr>
        <w:t>621 00 Brno</w:t>
      </w:r>
    </w:p>
    <w:p w14:paraId="2CB07F00" w14:textId="306DB2E1" w:rsidR="00C0171A" w:rsidRDefault="001F09EC" w:rsidP="005E1BE3">
      <w:pPr>
        <w:ind w:left="0" w:firstLine="0"/>
        <w:jc w:val="both"/>
        <w:rPr>
          <w:szCs w:val="22"/>
          <w:lang w:val="cs-CZ"/>
        </w:rPr>
      </w:pPr>
      <w:r>
        <w:rPr>
          <w:szCs w:val="22"/>
          <w:lang w:val="cs-CZ"/>
        </w:rPr>
        <w:t>E</w:t>
      </w:r>
      <w:r w:rsidR="00C0171A" w:rsidRPr="00761204">
        <w:rPr>
          <w:szCs w:val="22"/>
          <w:lang w:val="cs-CZ"/>
        </w:rPr>
        <w:t xml:space="preserve">-mail: </w:t>
      </w:r>
      <w:hyperlink r:id="rId11" w:history="1">
        <w:r w:rsidRPr="00336D58">
          <w:rPr>
            <w:rStyle w:val="Hypertextovodkaz"/>
            <w:szCs w:val="22"/>
            <w:lang w:val="cs-CZ"/>
          </w:rPr>
          <w:t>adr@uskvbl.cz</w:t>
        </w:r>
      </w:hyperlink>
    </w:p>
    <w:p w14:paraId="14DFB0A3" w14:textId="05D10BCD" w:rsidR="001F09EC" w:rsidRDefault="001F09EC" w:rsidP="001F09EC">
      <w:pPr>
        <w:rPr>
          <w:szCs w:val="22"/>
          <w:lang w:val="cs-CZ"/>
        </w:rPr>
      </w:pPr>
      <w:r>
        <w:t>Tel.: +420 720 940 693</w:t>
      </w:r>
    </w:p>
    <w:p w14:paraId="663C8638" w14:textId="0209BCBC" w:rsidR="00F27FC6" w:rsidRPr="00761204" w:rsidRDefault="00447092" w:rsidP="005E1BE3">
      <w:pPr>
        <w:ind w:left="0" w:firstLine="0"/>
        <w:jc w:val="both"/>
        <w:rPr>
          <w:szCs w:val="22"/>
          <w:lang w:val="cs-CZ"/>
        </w:rPr>
      </w:pPr>
      <w:hyperlink r:id="rId12" w:history="1">
        <w:r w:rsidR="001F09EC" w:rsidRPr="001F09EC">
          <w:rPr>
            <w:rStyle w:val="Hypertextovodkaz"/>
            <w:szCs w:val="22"/>
            <w:lang w:val="cs-CZ"/>
          </w:rPr>
          <w:t>http://www.uskvbl.cz/cs/farmakovigilance</w:t>
        </w:r>
      </w:hyperlink>
    </w:p>
    <w:p w14:paraId="4B1BD9DF" w14:textId="77777777" w:rsidR="00C0171A" w:rsidRPr="00761204" w:rsidRDefault="00C0171A" w:rsidP="00761204">
      <w:pPr>
        <w:ind w:left="0" w:firstLine="0"/>
        <w:rPr>
          <w:szCs w:val="22"/>
          <w:highlight w:val="lightGray"/>
          <w:lang w:val="cs-CZ"/>
        </w:rPr>
      </w:pPr>
    </w:p>
    <w:p w14:paraId="5CFD6985" w14:textId="77777777" w:rsidR="00F27FC6" w:rsidRPr="00761204" w:rsidRDefault="00F27FC6" w:rsidP="00761204">
      <w:pPr>
        <w:rPr>
          <w:b/>
          <w:bCs/>
          <w:szCs w:val="22"/>
          <w:highlight w:val="lightGray"/>
          <w:lang w:val="cs-CZ"/>
        </w:rPr>
      </w:pPr>
    </w:p>
    <w:p w14:paraId="225B0B94" w14:textId="71DD972C" w:rsidR="00F27FC6" w:rsidRPr="00761204" w:rsidRDefault="00F27FC6" w:rsidP="00761204">
      <w:pPr>
        <w:rPr>
          <w:b/>
          <w:bCs/>
          <w:szCs w:val="22"/>
          <w:lang w:val="cs-CZ"/>
        </w:rPr>
      </w:pPr>
      <w:r w:rsidRPr="00761204">
        <w:rPr>
          <w:b/>
          <w:bCs/>
          <w:szCs w:val="22"/>
          <w:highlight w:val="lightGray"/>
          <w:lang w:val="cs-CZ"/>
        </w:rPr>
        <w:t>8.</w:t>
      </w:r>
      <w:r w:rsidRPr="00761204">
        <w:rPr>
          <w:b/>
          <w:bCs/>
          <w:szCs w:val="22"/>
          <w:lang w:val="cs-CZ"/>
        </w:rPr>
        <w:tab/>
        <w:t>Dávkování pro každý druh, cesty a způsob podání</w:t>
      </w:r>
    </w:p>
    <w:p w14:paraId="20A9F9F2" w14:textId="77777777" w:rsidR="00F27FC6" w:rsidRPr="00761204" w:rsidRDefault="00F27FC6" w:rsidP="00761204">
      <w:pPr>
        <w:rPr>
          <w:b/>
          <w:bCs/>
          <w:szCs w:val="22"/>
          <w:lang w:val="cs-CZ"/>
        </w:rPr>
      </w:pPr>
    </w:p>
    <w:p w14:paraId="20B6E6AC" w14:textId="279DFC31" w:rsidR="00CB22E4" w:rsidRPr="00761204" w:rsidRDefault="00CB22E4" w:rsidP="00761204">
      <w:pPr>
        <w:ind w:left="0" w:firstLine="0"/>
        <w:rPr>
          <w:szCs w:val="22"/>
          <w:lang w:val="cs-CZ"/>
        </w:rPr>
      </w:pPr>
      <w:r w:rsidRPr="00761204" w:rsidDel="004C5D63">
        <w:rPr>
          <w:szCs w:val="22"/>
          <w:lang w:val="cs-CZ"/>
        </w:rPr>
        <w:t>Intramamární podání.</w:t>
      </w:r>
    </w:p>
    <w:p w14:paraId="32F49197" w14:textId="77777777" w:rsidR="0038698F" w:rsidRPr="00761204" w:rsidDel="004C5D63" w:rsidRDefault="0038698F" w:rsidP="00761204">
      <w:pPr>
        <w:ind w:left="0" w:firstLine="0"/>
        <w:rPr>
          <w:szCs w:val="22"/>
          <w:lang w:val="cs-CZ"/>
        </w:rPr>
      </w:pPr>
    </w:p>
    <w:p w14:paraId="23BC0F01" w14:textId="7B743548" w:rsidR="00CB22E4" w:rsidRPr="00761204" w:rsidDel="004C5D63" w:rsidRDefault="00CB22E4" w:rsidP="00761204">
      <w:pPr>
        <w:ind w:left="0" w:firstLine="0"/>
        <w:rPr>
          <w:szCs w:val="22"/>
          <w:lang w:val="cs-CZ"/>
        </w:rPr>
      </w:pPr>
      <w:r w:rsidRPr="00761204" w:rsidDel="004C5D63">
        <w:rPr>
          <w:szCs w:val="22"/>
          <w:lang w:val="cs-CZ"/>
        </w:rPr>
        <w:t>Ošetřete infikovanou čtvrť dvakrát</w:t>
      </w:r>
      <w:r w:rsidR="009C4ED8" w:rsidRPr="00761204" w:rsidDel="004C5D63">
        <w:rPr>
          <w:szCs w:val="22"/>
          <w:lang w:val="cs-CZ"/>
        </w:rPr>
        <w:t>,</w:t>
      </w:r>
      <w:r w:rsidRPr="00761204" w:rsidDel="004C5D63">
        <w:rPr>
          <w:szCs w:val="22"/>
          <w:lang w:val="cs-CZ"/>
        </w:rPr>
        <w:t xml:space="preserve"> </w:t>
      </w:r>
      <w:r w:rsidR="009C4ED8" w:rsidRPr="00761204" w:rsidDel="004C5D63">
        <w:rPr>
          <w:szCs w:val="22"/>
          <w:lang w:val="cs-CZ"/>
        </w:rPr>
        <w:t>s intervalem 24 hodin mezi jednotlivými dávkami</w:t>
      </w:r>
      <w:r w:rsidRPr="00761204" w:rsidDel="004C5D63">
        <w:rPr>
          <w:szCs w:val="22"/>
          <w:lang w:val="cs-CZ"/>
        </w:rPr>
        <w:t xml:space="preserve">. K léčbě </w:t>
      </w:r>
      <w:r w:rsidR="009C4ED8" w:rsidRPr="00761204" w:rsidDel="004C5D63">
        <w:rPr>
          <w:szCs w:val="22"/>
          <w:lang w:val="cs-CZ"/>
        </w:rPr>
        <w:t xml:space="preserve">jedné čtvrti </w:t>
      </w:r>
      <w:r w:rsidRPr="00761204" w:rsidDel="004C5D63">
        <w:rPr>
          <w:szCs w:val="22"/>
          <w:lang w:val="cs-CZ"/>
        </w:rPr>
        <w:t xml:space="preserve">použijte obsah jednoho injektoru (obsahujícího 200 mg cefalexin monohydrátu a 100 000 I.U. kanamycin monosulfátu). </w:t>
      </w:r>
      <w:r w:rsidRPr="00761204" w:rsidDel="004C5D63">
        <w:rPr>
          <w:iCs/>
          <w:szCs w:val="22"/>
          <w:lang w:val="cs-CZ"/>
        </w:rPr>
        <w:t>Každý injektor je určen pouze pro jedno použití.</w:t>
      </w:r>
    </w:p>
    <w:p w14:paraId="00986DE3" w14:textId="77777777" w:rsidR="00CB22E4" w:rsidRPr="00761204" w:rsidRDefault="00CB22E4" w:rsidP="00761204">
      <w:pPr>
        <w:ind w:left="0" w:firstLine="0"/>
        <w:rPr>
          <w:bCs/>
          <w:szCs w:val="22"/>
          <w:lang w:val="cs-CZ"/>
        </w:rPr>
      </w:pPr>
    </w:p>
    <w:p w14:paraId="72BC4CBE" w14:textId="77777777" w:rsidR="00CB22E4" w:rsidRPr="00761204" w:rsidRDefault="00CB22E4" w:rsidP="00761204">
      <w:pPr>
        <w:rPr>
          <w:bCs/>
          <w:szCs w:val="22"/>
          <w:lang w:val="cs-CZ"/>
        </w:rPr>
      </w:pPr>
    </w:p>
    <w:p w14:paraId="590B168F" w14:textId="77777777" w:rsidR="00F27FC6" w:rsidRPr="00761204" w:rsidRDefault="00F27FC6" w:rsidP="00761204">
      <w:pPr>
        <w:rPr>
          <w:b/>
          <w:bCs/>
          <w:szCs w:val="22"/>
          <w:lang w:val="cs-CZ"/>
        </w:rPr>
      </w:pPr>
      <w:r w:rsidRPr="00761204">
        <w:rPr>
          <w:b/>
          <w:bCs/>
          <w:szCs w:val="22"/>
          <w:highlight w:val="lightGray"/>
          <w:lang w:val="cs-CZ"/>
        </w:rPr>
        <w:t>9.</w:t>
      </w:r>
      <w:r w:rsidRPr="00761204">
        <w:rPr>
          <w:b/>
          <w:bCs/>
          <w:szCs w:val="22"/>
          <w:lang w:val="cs-CZ"/>
        </w:rPr>
        <w:tab/>
      </w:r>
      <w:r w:rsidRPr="00761204">
        <w:rPr>
          <w:b/>
          <w:szCs w:val="22"/>
          <w:lang w:val="cs-CZ"/>
        </w:rPr>
        <w:t>Informace o správném podávání</w:t>
      </w:r>
    </w:p>
    <w:p w14:paraId="7D204AEB" w14:textId="77777777" w:rsidR="004C5D63" w:rsidRPr="00761204" w:rsidRDefault="004C5D63" w:rsidP="00761204">
      <w:pPr>
        <w:ind w:left="0" w:firstLine="0"/>
        <w:rPr>
          <w:szCs w:val="22"/>
          <w:lang w:val="cs-CZ"/>
        </w:rPr>
      </w:pPr>
    </w:p>
    <w:p w14:paraId="7EC33908" w14:textId="00A952AA" w:rsidR="00CB22E4" w:rsidRPr="00761204" w:rsidDel="004C5D63" w:rsidRDefault="00CB22E4" w:rsidP="00761204">
      <w:pPr>
        <w:ind w:left="0" w:firstLine="0"/>
        <w:rPr>
          <w:szCs w:val="22"/>
          <w:lang w:val="cs-CZ"/>
        </w:rPr>
      </w:pPr>
      <w:r w:rsidRPr="00761204" w:rsidDel="004C5D63">
        <w:rPr>
          <w:szCs w:val="22"/>
          <w:lang w:val="cs-CZ"/>
        </w:rPr>
        <w:lastRenderedPageBreak/>
        <w:t>Před aplikací přípravku musí být mléčná žláza úplně vydojená, struk důkladně očištěný a dezinfikovaný a je nutno zabránit kontaminaci špičky injektoru.</w:t>
      </w:r>
    </w:p>
    <w:p w14:paraId="226FF11A" w14:textId="7AD506AA" w:rsidR="00CB22E4" w:rsidRPr="00761204" w:rsidDel="004C5D63" w:rsidRDefault="00CB22E4" w:rsidP="00761204">
      <w:pPr>
        <w:rPr>
          <w:bCs/>
          <w:szCs w:val="22"/>
          <w:lang w:val="cs-CZ"/>
        </w:rPr>
      </w:pPr>
    </w:p>
    <w:p w14:paraId="421894B6" w14:textId="77777777" w:rsidR="004C5D63" w:rsidRPr="00761204" w:rsidRDefault="004C5D63" w:rsidP="00761204">
      <w:pPr>
        <w:ind w:left="0" w:firstLine="0"/>
        <w:rPr>
          <w:bCs/>
          <w:szCs w:val="22"/>
          <w:lang w:val="cs-CZ"/>
        </w:rPr>
      </w:pPr>
    </w:p>
    <w:p w14:paraId="4A6AC573" w14:textId="4BE7E11A" w:rsidR="004C5D63" w:rsidRPr="00761204" w:rsidRDefault="004C5D63" w:rsidP="00761204">
      <w:pPr>
        <w:keepNext/>
        <w:keepLines/>
        <w:rPr>
          <w:b/>
          <w:bCs/>
          <w:szCs w:val="22"/>
          <w:lang w:val="cs-CZ"/>
        </w:rPr>
      </w:pPr>
      <w:r w:rsidRPr="00761204">
        <w:rPr>
          <w:b/>
          <w:bCs/>
          <w:szCs w:val="22"/>
          <w:highlight w:val="lightGray"/>
          <w:lang w:val="cs-CZ"/>
        </w:rPr>
        <w:t>10.</w:t>
      </w:r>
      <w:r w:rsidRPr="00761204">
        <w:rPr>
          <w:b/>
          <w:bCs/>
          <w:szCs w:val="22"/>
          <w:lang w:val="cs-CZ"/>
        </w:rPr>
        <w:tab/>
        <w:t>Ochranné lhůty</w:t>
      </w:r>
    </w:p>
    <w:p w14:paraId="19B38B7F" w14:textId="77777777" w:rsidR="004C5D63" w:rsidRPr="00761204" w:rsidRDefault="004C5D63" w:rsidP="00761204">
      <w:pPr>
        <w:keepNext/>
        <w:keepLines/>
        <w:rPr>
          <w:szCs w:val="22"/>
          <w:lang w:val="cs-CZ"/>
        </w:rPr>
      </w:pPr>
    </w:p>
    <w:p w14:paraId="1445560B" w14:textId="7A77A74F" w:rsidR="00CB22E4" w:rsidRPr="00761204" w:rsidRDefault="00CB22E4" w:rsidP="00761204">
      <w:pPr>
        <w:rPr>
          <w:szCs w:val="22"/>
          <w:lang w:val="cs-CZ"/>
        </w:rPr>
      </w:pPr>
      <w:r w:rsidRPr="00761204">
        <w:rPr>
          <w:szCs w:val="22"/>
          <w:lang w:val="cs-CZ"/>
        </w:rPr>
        <w:t>Maso: 10</w:t>
      </w:r>
      <w:r w:rsidR="000C223D" w:rsidRPr="00761204">
        <w:rPr>
          <w:szCs w:val="22"/>
          <w:lang w:val="cs-CZ"/>
        </w:rPr>
        <w:t> </w:t>
      </w:r>
      <w:r w:rsidRPr="00761204">
        <w:rPr>
          <w:szCs w:val="22"/>
          <w:lang w:val="cs-CZ"/>
        </w:rPr>
        <w:t>dn</w:t>
      </w:r>
      <w:r w:rsidR="00D00450" w:rsidRPr="00761204">
        <w:rPr>
          <w:szCs w:val="22"/>
          <w:lang w:val="cs-CZ"/>
        </w:rPr>
        <w:t>ů</w:t>
      </w:r>
      <w:r w:rsidR="00393029" w:rsidRPr="00761204">
        <w:rPr>
          <w:szCs w:val="22"/>
          <w:lang w:val="cs-CZ"/>
        </w:rPr>
        <w:t>.</w:t>
      </w:r>
    </w:p>
    <w:p w14:paraId="43029B12" w14:textId="38EBBB77" w:rsidR="00CB22E4" w:rsidRPr="00761204" w:rsidRDefault="00CB22E4" w:rsidP="00761204">
      <w:pPr>
        <w:tabs>
          <w:tab w:val="left" w:pos="720"/>
        </w:tabs>
        <w:rPr>
          <w:szCs w:val="22"/>
          <w:lang w:val="cs-CZ"/>
        </w:rPr>
      </w:pPr>
      <w:r w:rsidRPr="00761204">
        <w:rPr>
          <w:szCs w:val="22"/>
          <w:lang w:val="cs-CZ"/>
        </w:rPr>
        <w:t>Mléko: 5</w:t>
      </w:r>
      <w:r w:rsidR="000C223D" w:rsidRPr="00761204">
        <w:rPr>
          <w:szCs w:val="22"/>
          <w:lang w:val="cs-CZ"/>
        </w:rPr>
        <w:t> </w:t>
      </w:r>
      <w:r w:rsidRPr="00761204">
        <w:rPr>
          <w:szCs w:val="22"/>
          <w:lang w:val="cs-CZ"/>
        </w:rPr>
        <w:t>dn</w:t>
      </w:r>
      <w:r w:rsidR="00D00450" w:rsidRPr="00761204">
        <w:rPr>
          <w:szCs w:val="22"/>
          <w:lang w:val="cs-CZ"/>
        </w:rPr>
        <w:t>ů</w:t>
      </w:r>
      <w:r w:rsidR="00393029" w:rsidRPr="00761204">
        <w:rPr>
          <w:szCs w:val="22"/>
          <w:lang w:val="cs-CZ"/>
        </w:rPr>
        <w:t>.</w:t>
      </w:r>
    </w:p>
    <w:p w14:paraId="5603C86C" w14:textId="77777777" w:rsidR="00CB22E4" w:rsidRPr="00761204" w:rsidRDefault="00CB22E4" w:rsidP="00761204">
      <w:pPr>
        <w:rPr>
          <w:bCs/>
          <w:szCs w:val="22"/>
          <w:lang w:val="cs-CZ"/>
        </w:rPr>
      </w:pPr>
    </w:p>
    <w:p w14:paraId="6A2CAAA1" w14:textId="77777777" w:rsidR="00CB22E4" w:rsidRPr="00761204" w:rsidRDefault="00CB22E4" w:rsidP="00761204">
      <w:pPr>
        <w:rPr>
          <w:bCs/>
          <w:szCs w:val="22"/>
          <w:lang w:val="cs-CZ"/>
        </w:rPr>
      </w:pPr>
    </w:p>
    <w:p w14:paraId="4E9AC2B2" w14:textId="5DF24FFA" w:rsidR="00CB22E4" w:rsidRPr="00761204" w:rsidRDefault="00CB22E4" w:rsidP="00761204">
      <w:pPr>
        <w:rPr>
          <w:b/>
          <w:bCs/>
          <w:szCs w:val="22"/>
          <w:lang w:val="cs-CZ"/>
        </w:rPr>
      </w:pPr>
      <w:r w:rsidRPr="00761204">
        <w:rPr>
          <w:b/>
          <w:bCs/>
          <w:szCs w:val="22"/>
          <w:highlight w:val="lightGray"/>
          <w:lang w:val="cs-CZ"/>
        </w:rPr>
        <w:t>11.</w:t>
      </w:r>
      <w:r w:rsidRPr="00761204">
        <w:rPr>
          <w:b/>
          <w:bCs/>
          <w:szCs w:val="22"/>
          <w:lang w:val="cs-CZ"/>
        </w:rPr>
        <w:tab/>
      </w:r>
      <w:r w:rsidR="004C5D63" w:rsidRPr="00761204">
        <w:rPr>
          <w:b/>
          <w:szCs w:val="22"/>
          <w:lang w:val="cs-CZ"/>
        </w:rPr>
        <w:t>Zvláštní opatření pro uchovávání</w:t>
      </w:r>
    </w:p>
    <w:p w14:paraId="222C0932" w14:textId="77777777" w:rsidR="00CB22E4" w:rsidRPr="00761204" w:rsidRDefault="00CB22E4" w:rsidP="00761204">
      <w:pPr>
        <w:rPr>
          <w:szCs w:val="22"/>
          <w:lang w:val="cs-CZ"/>
        </w:rPr>
      </w:pPr>
    </w:p>
    <w:p w14:paraId="0E699789" w14:textId="468384D2" w:rsidR="00CB22E4" w:rsidRPr="00761204" w:rsidRDefault="00CB22E4" w:rsidP="00761204">
      <w:pPr>
        <w:rPr>
          <w:szCs w:val="22"/>
          <w:lang w:val="cs-CZ"/>
        </w:rPr>
      </w:pPr>
      <w:r w:rsidRPr="00761204">
        <w:rPr>
          <w:szCs w:val="22"/>
          <w:lang w:val="cs-CZ"/>
        </w:rPr>
        <w:t>Uchováv</w:t>
      </w:r>
      <w:r w:rsidR="008452EB">
        <w:rPr>
          <w:szCs w:val="22"/>
          <w:lang w:val="cs-CZ"/>
        </w:rPr>
        <w:t>ejte</w:t>
      </w:r>
      <w:r w:rsidRPr="00761204">
        <w:rPr>
          <w:szCs w:val="22"/>
          <w:lang w:val="cs-CZ"/>
        </w:rPr>
        <w:t xml:space="preserve"> mimo </w:t>
      </w:r>
      <w:r w:rsidR="004C5D63" w:rsidRPr="00761204">
        <w:rPr>
          <w:szCs w:val="22"/>
          <w:lang w:val="cs-CZ"/>
        </w:rPr>
        <w:t>dohled a </w:t>
      </w:r>
      <w:r w:rsidRPr="00761204">
        <w:rPr>
          <w:szCs w:val="22"/>
          <w:lang w:val="cs-CZ"/>
        </w:rPr>
        <w:t>dosah dětí</w:t>
      </w:r>
      <w:r w:rsidR="009C4ED8" w:rsidRPr="00761204">
        <w:rPr>
          <w:szCs w:val="22"/>
          <w:lang w:val="cs-CZ"/>
        </w:rPr>
        <w:t>.</w:t>
      </w:r>
    </w:p>
    <w:p w14:paraId="1001D58F" w14:textId="3E8B35CB" w:rsidR="009C126F" w:rsidRPr="00761204" w:rsidRDefault="009C126F" w:rsidP="00761204">
      <w:pPr>
        <w:numPr>
          <w:ilvl w:val="12"/>
          <w:numId w:val="0"/>
        </w:numPr>
        <w:rPr>
          <w:szCs w:val="22"/>
          <w:lang w:val="cs-CZ"/>
        </w:rPr>
      </w:pPr>
      <w:r w:rsidRPr="00761204">
        <w:rPr>
          <w:szCs w:val="22"/>
          <w:lang w:val="cs-CZ"/>
        </w:rPr>
        <w:t>Nepoužívejte tento veterinární léčivý přípravek po uplynutí doby použitelnosti uvedené na krabičce a </w:t>
      </w:r>
      <w:r w:rsidR="00492F56" w:rsidRPr="00761204">
        <w:rPr>
          <w:szCs w:val="22"/>
          <w:lang w:val="cs-CZ"/>
        </w:rPr>
        <w:t>injektoru</w:t>
      </w:r>
      <w:r w:rsidRPr="00761204">
        <w:rPr>
          <w:szCs w:val="22"/>
          <w:lang w:val="cs-CZ"/>
        </w:rPr>
        <w:t xml:space="preserve"> po Exp. Doba použitelnosti končí posledním dnem v uvedeném měsíci.</w:t>
      </w:r>
    </w:p>
    <w:p w14:paraId="03E72A7B" w14:textId="77777777" w:rsidR="00CB22E4" w:rsidRPr="00761204" w:rsidRDefault="00CB22E4" w:rsidP="00761204">
      <w:pPr>
        <w:ind w:left="0" w:firstLine="0"/>
        <w:rPr>
          <w:szCs w:val="22"/>
          <w:lang w:val="cs-CZ"/>
        </w:rPr>
      </w:pPr>
      <w:r w:rsidRPr="00761204">
        <w:rPr>
          <w:szCs w:val="22"/>
          <w:lang w:val="cs-CZ"/>
        </w:rPr>
        <w:t>Tento veterinární léčivý přípravek nevyžaduje žádné zvláštní podmínky pro uchovávání.</w:t>
      </w:r>
    </w:p>
    <w:p w14:paraId="4D81E627" w14:textId="5CC59755" w:rsidR="00CB22E4" w:rsidRPr="00761204" w:rsidDel="00830512" w:rsidRDefault="00CB22E4" w:rsidP="00761204">
      <w:pPr>
        <w:ind w:left="0" w:firstLine="0"/>
        <w:rPr>
          <w:szCs w:val="22"/>
          <w:highlight w:val="lightGray"/>
          <w:lang w:val="cs-CZ"/>
        </w:rPr>
      </w:pPr>
    </w:p>
    <w:p w14:paraId="0B6740FC" w14:textId="234B8427" w:rsidR="00FE6CDB" w:rsidRPr="00761204" w:rsidDel="00830512" w:rsidRDefault="00FE6CDB" w:rsidP="00761204">
      <w:pPr>
        <w:ind w:left="0" w:firstLine="0"/>
        <w:rPr>
          <w:szCs w:val="22"/>
          <w:highlight w:val="lightGray"/>
          <w:lang w:val="cs-CZ"/>
        </w:rPr>
      </w:pPr>
    </w:p>
    <w:p w14:paraId="1334BCB8" w14:textId="587876AD" w:rsidR="00CB22E4" w:rsidRPr="00761204" w:rsidRDefault="009C126F" w:rsidP="00901AEA">
      <w:pPr>
        <w:keepNext/>
        <w:rPr>
          <w:b/>
          <w:bCs/>
          <w:szCs w:val="22"/>
          <w:lang w:val="cs-CZ"/>
        </w:rPr>
      </w:pPr>
      <w:r w:rsidRPr="00761204">
        <w:rPr>
          <w:b/>
          <w:bCs/>
          <w:szCs w:val="22"/>
          <w:highlight w:val="lightGray"/>
          <w:lang w:val="cs-CZ"/>
        </w:rPr>
        <w:t>12</w:t>
      </w:r>
      <w:r w:rsidR="00CB22E4" w:rsidRPr="00761204">
        <w:rPr>
          <w:b/>
          <w:bCs/>
          <w:szCs w:val="22"/>
          <w:highlight w:val="lightGray"/>
          <w:lang w:val="cs-CZ"/>
        </w:rPr>
        <w:t>.</w:t>
      </w:r>
      <w:r w:rsidR="00CB22E4" w:rsidRPr="00761204">
        <w:rPr>
          <w:b/>
          <w:bCs/>
          <w:szCs w:val="22"/>
          <w:lang w:val="cs-CZ"/>
        </w:rPr>
        <w:tab/>
      </w:r>
      <w:r w:rsidRPr="00761204">
        <w:rPr>
          <w:b/>
          <w:bCs/>
          <w:szCs w:val="22"/>
          <w:lang w:val="cs-CZ"/>
        </w:rPr>
        <w:t>Zvláštní opatření pro likvidaci</w:t>
      </w:r>
    </w:p>
    <w:p w14:paraId="6938A905" w14:textId="77777777" w:rsidR="00CB22E4" w:rsidRPr="00761204" w:rsidRDefault="00CB22E4" w:rsidP="00901AEA">
      <w:pPr>
        <w:keepNext/>
        <w:rPr>
          <w:szCs w:val="22"/>
          <w:lang w:val="cs-CZ"/>
        </w:rPr>
      </w:pPr>
    </w:p>
    <w:p w14:paraId="37CDE736" w14:textId="3B30E09E" w:rsidR="00D60AF0" w:rsidRPr="00761204" w:rsidRDefault="00D60AF0" w:rsidP="00761204">
      <w:pPr>
        <w:ind w:left="0" w:firstLine="0"/>
        <w:rPr>
          <w:szCs w:val="22"/>
          <w:lang w:val="cs-CZ"/>
        </w:rPr>
      </w:pPr>
      <w:r w:rsidRPr="00761204">
        <w:rPr>
          <w:szCs w:val="22"/>
          <w:lang w:val="cs-CZ"/>
        </w:rPr>
        <w:t>Léčivé přípravky se nesmí likvidovat prostřednictvím odpadní vody či domovního odpadu.</w:t>
      </w:r>
    </w:p>
    <w:p w14:paraId="3DB91E47" w14:textId="5E6B8DD7" w:rsidR="00CB22E4" w:rsidRPr="00761204" w:rsidRDefault="009C126F" w:rsidP="00761204">
      <w:pPr>
        <w:ind w:left="0" w:firstLine="0"/>
        <w:rPr>
          <w:szCs w:val="22"/>
          <w:lang w:val="cs-CZ"/>
        </w:rPr>
      </w:pPr>
      <w:r w:rsidRPr="00761204">
        <w:rPr>
          <w:szCs w:val="22"/>
          <w:lang w:val="cs-CZ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6F8114A3" w14:textId="6424CD2B" w:rsidR="00CB22E4" w:rsidRPr="00761204" w:rsidRDefault="009C126F" w:rsidP="00761204">
      <w:pPr>
        <w:ind w:left="0" w:firstLine="0"/>
        <w:rPr>
          <w:szCs w:val="22"/>
          <w:lang w:val="cs-CZ"/>
        </w:rPr>
      </w:pPr>
      <w:r w:rsidRPr="00761204">
        <w:rPr>
          <w:szCs w:val="22"/>
          <w:lang w:val="cs-CZ"/>
        </w:rPr>
        <w:t>O možnostech likvidace nepotřebných léčivých přípravků se poraďte s vaším veterinárním lékařem</w:t>
      </w:r>
      <w:r w:rsidR="003860E9" w:rsidRPr="00761204">
        <w:rPr>
          <w:szCs w:val="22"/>
          <w:lang w:val="cs-CZ"/>
        </w:rPr>
        <w:t xml:space="preserve"> nebo lékárníkem</w:t>
      </w:r>
      <w:r w:rsidRPr="00761204">
        <w:rPr>
          <w:szCs w:val="22"/>
          <w:lang w:val="cs-CZ"/>
        </w:rPr>
        <w:t>.</w:t>
      </w:r>
    </w:p>
    <w:p w14:paraId="18E5A4D2" w14:textId="3FA72B30" w:rsidR="009C126F" w:rsidRPr="00761204" w:rsidRDefault="009C126F" w:rsidP="00761204">
      <w:pPr>
        <w:rPr>
          <w:szCs w:val="22"/>
          <w:lang w:val="cs-CZ"/>
        </w:rPr>
      </w:pPr>
    </w:p>
    <w:p w14:paraId="0B30B093" w14:textId="77777777" w:rsidR="00891F36" w:rsidRPr="00761204" w:rsidRDefault="00891F36" w:rsidP="00761204">
      <w:pPr>
        <w:rPr>
          <w:szCs w:val="22"/>
          <w:lang w:val="cs-CZ"/>
        </w:rPr>
      </w:pPr>
    </w:p>
    <w:p w14:paraId="4DB497E5" w14:textId="1837F890" w:rsidR="009C126F" w:rsidRPr="001A129B" w:rsidRDefault="009C126F" w:rsidP="00761204">
      <w:pPr>
        <w:rPr>
          <w:b/>
          <w:bCs/>
          <w:szCs w:val="22"/>
          <w:lang w:val="cs-CZ"/>
        </w:rPr>
      </w:pPr>
      <w:r w:rsidRPr="00761204">
        <w:rPr>
          <w:b/>
          <w:bCs/>
          <w:szCs w:val="22"/>
          <w:highlight w:val="lightGray"/>
          <w:lang w:val="cs-CZ"/>
        </w:rPr>
        <w:t>13.</w:t>
      </w:r>
      <w:r w:rsidRPr="001A129B">
        <w:rPr>
          <w:b/>
          <w:bCs/>
          <w:szCs w:val="22"/>
          <w:lang w:val="cs-CZ"/>
        </w:rPr>
        <w:tab/>
        <w:t>Klasifikace veterinárních léčivých přípravků</w:t>
      </w:r>
    </w:p>
    <w:p w14:paraId="3647590C" w14:textId="7C1F6724" w:rsidR="009C126F" w:rsidRPr="00761204" w:rsidRDefault="009C126F" w:rsidP="00761204">
      <w:pPr>
        <w:rPr>
          <w:szCs w:val="22"/>
          <w:lang w:val="cs-CZ"/>
        </w:rPr>
      </w:pPr>
    </w:p>
    <w:p w14:paraId="49F86E87" w14:textId="5F2D6000" w:rsidR="00E57582" w:rsidRDefault="009C126F" w:rsidP="00761204">
      <w:pPr>
        <w:rPr>
          <w:szCs w:val="22"/>
          <w:lang w:val="cs-CZ"/>
        </w:rPr>
      </w:pPr>
      <w:r w:rsidRPr="00761204">
        <w:rPr>
          <w:szCs w:val="22"/>
          <w:lang w:val="cs-CZ"/>
        </w:rPr>
        <w:t>Veterinární léčivý přípravek je vydáván pouze na předpis.</w:t>
      </w:r>
    </w:p>
    <w:p w14:paraId="6C196CAC" w14:textId="77777777" w:rsidR="00E57582" w:rsidRDefault="00E57582" w:rsidP="00761204">
      <w:pPr>
        <w:rPr>
          <w:szCs w:val="22"/>
          <w:lang w:val="cs-CZ"/>
        </w:rPr>
      </w:pPr>
    </w:p>
    <w:p w14:paraId="071F6C59" w14:textId="77777777" w:rsidR="004011DC" w:rsidRPr="00761204" w:rsidRDefault="004011DC" w:rsidP="00761204">
      <w:pPr>
        <w:rPr>
          <w:szCs w:val="22"/>
          <w:lang w:val="cs-CZ"/>
        </w:rPr>
      </w:pPr>
    </w:p>
    <w:p w14:paraId="66064490" w14:textId="6F45A8AF" w:rsidR="009C126F" w:rsidRPr="00761204" w:rsidRDefault="009C126F" w:rsidP="00761204">
      <w:pPr>
        <w:rPr>
          <w:b/>
          <w:bCs/>
          <w:szCs w:val="22"/>
          <w:lang w:val="cs-CZ"/>
        </w:rPr>
      </w:pPr>
      <w:r w:rsidRPr="00761204">
        <w:rPr>
          <w:b/>
          <w:bCs/>
          <w:szCs w:val="22"/>
          <w:highlight w:val="lightGray"/>
          <w:lang w:val="cs-CZ"/>
        </w:rPr>
        <w:t>14.</w:t>
      </w:r>
      <w:r w:rsidRPr="00761204">
        <w:rPr>
          <w:b/>
          <w:bCs/>
          <w:szCs w:val="22"/>
          <w:lang w:val="cs-CZ"/>
        </w:rPr>
        <w:tab/>
        <w:t>Registrační čísla a velikosti balení</w:t>
      </w:r>
    </w:p>
    <w:p w14:paraId="5E653D34" w14:textId="2F6571E5" w:rsidR="009C126F" w:rsidRPr="00761204" w:rsidRDefault="009C126F" w:rsidP="00761204">
      <w:pPr>
        <w:rPr>
          <w:szCs w:val="22"/>
          <w:lang w:val="cs-CZ"/>
        </w:rPr>
      </w:pPr>
    </w:p>
    <w:p w14:paraId="16CC9463" w14:textId="77777777" w:rsidR="00A323E6" w:rsidRPr="00761204" w:rsidRDefault="00A323E6" w:rsidP="00761204">
      <w:pPr>
        <w:rPr>
          <w:bCs/>
          <w:szCs w:val="22"/>
          <w:lang w:val="cs-CZ"/>
        </w:rPr>
      </w:pPr>
      <w:r w:rsidRPr="00761204">
        <w:rPr>
          <w:bCs/>
          <w:szCs w:val="22"/>
          <w:lang w:val="cs-CZ"/>
        </w:rPr>
        <w:t>96/048/08-C</w:t>
      </w:r>
    </w:p>
    <w:p w14:paraId="7A2EE3D8" w14:textId="77777777" w:rsidR="00A323E6" w:rsidRPr="00761204" w:rsidRDefault="00A323E6" w:rsidP="00761204">
      <w:pPr>
        <w:rPr>
          <w:szCs w:val="22"/>
          <w:lang w:val="cs-CZ"/>
        </w:rPr>
      </w:pPr>
    </w:p>
    <w:p w14:paraId="431DFDC5" w14:textId="6E0F322B" w:rsidR="009C126F" w:rsidRPr="00761204" w:rsidRDefault="009C126F" w:rsidP="00761204">
      <w:pPr>
        <w:rPr>
          <w:szCs w:val="22"/>
          <w:lang w:val="cs-CZ"/>
        </w:rPr>
      </w:pPr>
      <w:r w:rsidRPr="00761204">
        <w:rPr>
          <w:szCs w:val="22"/>
          <w:lang w:val="cs-CZ"/>
        </w:rPr>
        <w:t xml:space="preserve">10 </w:t>
      </w:r>
      <w:proofErr w:type="spellStart"/>
      <w:r w:rsidRPr="00761204">
        <w:rPr>
          <w:szCs w:val="22"/>
          <w:lang w:val="cs-CZ"/>
        </w:rPr>
        <w:t>intramamárních</w:t>
      </w:r>
      <w:proofErr w:type="spellEnd"/>
      <w:r w:rsidRPr="00761204">
        <w:rPr>
          <w:szCs w:val="22"/>
          <w:lang w:val="cs-CZ"/>
        </w:rPr>
        <w:t xml:space="preserve"> injektorů s 10</w:t>
      </w:r>
      <w:r w:rsidR="006139D6" w:rsidRPr="00761204">
        <w:rPr>
          <w:szCs w:val="22"/>
          <w:lang w:val="cs-CZ"/>
        </w:rPr>
        <w:t> </w:t>
      </w:r>
      <w:r w:rsidRPr="00761204">
        <w:rPr>
          <w:szCs w:val="22"/>
          <w:lang w:val="cs-CZ"/>
        </w:rPr>
        <w:t>g (12</w:t>
      </w:r>
      <w:r w:rsidR="006139D6" w:rsidRPr="00761204">
        <w:rPr>
          <w:szCs w:val="22"/>
          <w:lang w:val="cs-CZ"/>
        </w:rPr>
        <w:t> </w:t>
      </w:r>
      <w:r w:rsidRPr="00761204">
        <w:rPr>
          <w:szCs w:val="22"/>
          <w:lang w:val="cs-CZ"/>
        </w:rPr>
        <w:t xml:space="preserve">ml) a 10 utěrek na struky. </w:t>
      </w:r>
    </w:p>
    <w:p w14:paraId="709D493A" w14:textId="42820586" w:rsidR="009C126F" w:rsidRPr="00761204" w:rsidRDefault="009C126F" w:rsidP="00761204">
      <w:pPr>
        <w:rPr>
          <w:szCs w:val="22"/>
          <w:lang w:val="cs-CZ"/>
        </w:rPr>
      </w:pPr>
      <w:r w:rsidRPr="00761204">
        <w:rPr>
          <w:szCs w:val="22"/>
          <w:lang w:val="cs-CZ"/>
        </w:rPr>
        <w:t xml:space="preserve">20 </w:t>
      </w:r>
      <w:proofErr w:type="spellStart"/>
      <w:r w:rsidRPr="00761204">
        <w:rPr>
          <w:szCs w:val="22"/>
          <w:lang w:val="cs-CZ"/>
        </w:rPr>
        <w:t>intramamárních</w:t>
      </w:r>
      <w:proofErr w:type="spellEnd"/>
      <w:r w:rsidRPr="00761204">
        <w:rPr>
          <w:szCs w:val="22"/>
          <w:lang w:val="cs-CZ"/>
        </w:rPr>
        <w:t xml:space="preserve"> injektorů s 10</w:t>
      </w:r>
      <w:r w:rsidR="006139D6" w:rsidRPr="00761204">
        <w:rPr>
          <w:szCs w:val="22"/>
          <w:lang w:val="cs-CZ"/>
        </w:rPr>
        <w:t> </w:t>
      </w:r>
      <w:r w:rsidRPr="00761204">
        <w:rPr>
          <w:szCs w:val="22"/>
          <w:lang w:val="cs-CZ"/>
        </w:rPr>
        <w:t>g (12</w:t>
      </w:r>
      <w:r w:rsidR="006139D6" w:rsidRPr="00761204">
        <w:rPr>
          <w:szCs w:val="22"/>
          <w:lang w:val="cs-CZ"/>
        </w:rPr>
        <w:t> </w:t>
      </w:r>
      <w:r w:rsidRPr="00761204">
        <w:rPr>
          <w:szCs w:val="22"/>
          <w:lang w:val="cs-CZ"/>
        </w:rPr>
        <w:t>ml) a 20 utěrek na struky.</w:t>
      </w:r>
    </w:p>
    <w:p w14:paraId="1C4ED0CE" w14:textId="77777777" w:rsidR="00B9703D" w:rsidRPr="00761204" w:rsidRDefault="00B9703D" w:rsidP="00761204">
      <w:pPr>
        <w:rPr>
          <w:szCs w:val="22"/>
          <w:lang w:val="cs-CZ"/>
        </w:rPr>
      </w:pPr>
    </w:p>
    <w:p w14:paraId="689BFAA0" w14:textId="2EC37AE8" w:rsidR="009C126F" w:rsidRPr="00761204" w:rsidRDefault="009C126F" w:rsidP="00761204">
      <w:pPr>
        <w:rPr>
          <w:szCs w:val="22"/>
          <w:lang w:val="cs-CZ"/>
        </w:rPr>
      </w:pPr>
      <w:r w:rsidRPr="00761204">
        <w:rPr>
          <w:szCs w:val="22"/>
          <w:lang w:val="cs-CZ"/>
        </w:rPr>
        <w:t>Na trhu nemusí být všechny velikosti balení.</w:t>
      </w:r>
    </w:p>
    <w:p w14:paraId="54CC34AE" w14:textId="5FDC062E" w:rsidR="009C126F" w:rsidRPr="00761204" w:rsidRDefault="009C126F" w:rsidP="00761204">
      <w:pPr>
        <w:rPr>
          <w:szCs w:val="22"/>
          <w:lang w:val="cs-CZ"/>
        </w:rPr>
      </w:pPr>
    </w:p>
    <w:p w14:paraId="16E5FD1D" w14:textId="77777777" w:rsidR="009C126F" w:rsidRPr="00761204" w:rsidRDefault="009C126F" w:rsidP="00761204">
      <w:pPr>
        <w:rPr>
          <w:szCs w:val="22"/>
          <w:lang w:val="cs-CZ"/>
        </w:rPr>
      </w:pPr>
    </w:p>
    <w:p w14:paraId="4601AA73" w14:textId="7D3CE931" w:rsidR="00CB22E4" w:rsidRPr="00761204" w:rsidRDefault="00F07C2A" w:rsidP="00761204">
      <w:pPr>
        <w:rPr>
          <w:b/>
          <w:szCs w:val="22"/>
          <w:lang w:val="cs-CZ"/>
        </w:rPr>
      </w:pPr>
      <w:r w:rsidRPr="00761204">
        <w:rPr>
          <w:b/>
          <w:szCs w:val="22"/>
          <w:highlight w:val="lightGray"/>
          <w:lang w:val="cs-CZ"/>
        </w:rPr>
        <w:t>15</w:t>
      </w:r>
      <w:r w:rsidR="00CB22E4" w:rsidRPr="00761204">
        <w:rPr>
          <w:b/>
          <w:szCs w:val="22"/>
          <w:highlight w:val="lightGray"/>
          <w:lang w:val="cs-CZ"/>
        </w:rPr>
        <w:t>.</w:t>
      </w:r>
      <w:r w:rsidR="00CB22E4" w:rsidRPr="00761204">
        <w:rPr>
          <w:b/>
          <w:szCs w:val="22"/>
          <w:lang w:val="cs-CZ"/>
        </w:rPr>
        <w:tab/>
      </w:r>
      <w:r w:rsidRPr="00761204">
        <w:rPr>
          <w:b/>
          <w:bCs/>
          <w:szCs w:val="22"/>
          <w:lang w:val="cs-CZ"/>
        </w:rPr>
        <w:t>Datum poslední revize příbalové informace</w:t>
      </w:r>
    </w:p>
    <w:p w14:paraId="48F4EAA6" w14:textId="77777777" w:rsidR="00CB22E4" w:rsidRPr="00761204" w:rsidRDefault="00CB22E4" w:rsidP="00761204">
      <w:pPr>
        <w:rPr>
          <w:bCs/>
          <w:szCs w:val="22"/>
          <w:lang w:val="cs-CZ"/>
        </w:rPr>
      </w:pPr>
    </w:p>
    <w:p w14:paraId="65E412C6" w14:textId="675634B8" w:rsidR="000C223D" w:rsidRPr="00761204" w:rsidRDefault="0041784F" w:rsidP="00761204">
      <w:pPr>
        <w:ind w:left="0" w:firstLine="0"/>
        <w:rPr>
          <w:szCs w:val="22"/>
          <w:lang w:val="cs-CZ"/>
        </w:rPr>
      </w:pPr>
      <w:r>
        <w:rPr>
          <w:szCs w:val="22"/>
          <w:lang w:val="cs-CZ"/>
        </w:rPr>
        <w:t>03/2026</w:t>
      </w:r>
    </w:p>
    <w:p w14:paraId="3279FB29" w14:textId="77777777" w:rsidR="00806D6C" w:rsidRPr="00761204" w:rsidRDefault="00806D6C" w:rsidP="00761204">
      <w:pPr>
        <w:rPr>
          <w:szCs w:val="22"/>
          <w:lang w:val="cs-CZ"/>
        </w:rPr>
      </w:pPr>
    </w:p>
    <w:p w14:paraId="705A7543" w14:textId="128C568B" w:rsidR="00CB22E4" w:rsidRPr="00761204" w:rsidRDefault="000C223D" w:rsidP="00761204">
      <w:pPr>
        <w:ind w:left="0" w:firstLine="0"/>
        <w:rPr>
          <w:szCs w:val="22"/>
        </w:rPr>
      </w:pPr>
      <w:r w:rsidRPr="00761204">
        <w:rPr>
          <w:szCs w:val="22"/>
        </w:rPr>
        <w:t xml:space="preserve">Podrobné </w:t>
      </w:r>
      <w:proofErr w:type="spellStart"/>
      <w:r w:rsidRPr="00761204">
        <w:rPr>
          <w:szCs w:val="22"/>
        </w:rPr>
        <w:t>informace</w:t>
      </w:r>
      <w:proofErr w:type="spellEnd"/>
      <w:r w:rsidRPr="00761204">
        <w:rPr>
          <w:szCs w:val="22"/>
        </w:rPr>
        <w:t xml:space="preserve"> o tomto </w:t>
      </w:r>
      <w:proofErr w:type="spellStart"/>
      <w:r w:rsidRPr="00761204">
        <w:rPr>
          <w:szCs w:val="22"/>
        </w:rPr>
        <w:t>veterinárním</w:t>
      </w:r>
      <w:proofErr w:type="spellEnd"/>
      <w:r w:rsidRPr="00761204">
        <w:rPr>
          <w:szCs w:val="22"/>
        </w:rPr>
        <w:t xml:space="preserve"> </w:t>
      </w:r>
      <w:proofErr w:type="spellStart"/>
      <w:r w:rsidRPr="00761204">
        <w:rPr>
          <w:szCs w:val="22"/>
        </w:rPr>
        <w:t>léčivém</w:t>
      </w:r>
      <w:proofErr w:type="spellEnd"/>
      <w:r w:rsidRPr="00761204">
        <w:rPr>
          <w:szCs w:val="22"/>
        </w:rPr>
        <w:t xml:space="preserve"> </w:t>
      </w:r>
      <w:proofErr w:type="spellStart"/>
      <w:r w:rsidRPr="00761204">
        <w:rPr>
          <w:szCs w:val="22"/>
        </w:rPr>
        <w:t>přípravku</w:t>
      </w:r>
      <w:proofErr w:type="spellEnd"/>
      <w:r w:rsidRPr="00761204">
        <w:rPr>
          <w:szCs w:val="22"/>
        </w:rPr>
        <w:t xml:space="preserve"> </w:t>
      </w:r>
      <w:proofErr w:type="spellStart"/>
      <w:r w:rsidRPr="00761204">
        <w:rPr>
          <w:szCs w:val="22"/>
        </w:rPr>
        <w:t>jsou</w:t>
      </w:r>
      <w:proofErr w:type="spellEnd"/>
      <w:r w:rsidRPr="00761204">
        <w:rPr>
          <w:szCs w:val="22"/>
        </w:rPr>
        <w:t xml:space="preserve"> k </w:t>
      </w:r>
      <w:proofErr w:type="spellStart"/>
      <w:r w:rsidRPr="00761204">
        <w:rPr>
          <w:szCs w:val="22"/>
        </w:rPr>
        <w:t>dispozici</w:t>
      </w:r>
      <w:proofErr w:type="spellEnd"/>
      <w:r w:rsidRPr="00761204">
        <w:rPr>
          <w:szCs w:val="22"/>
        </w:rPr>
        <w:t xml:space="preserve"> v </w:t>
      </w:r>
      <w:proofErr w:type="spellStart"/>
      <w:r w:rsidRPr="00761204">
        <w:rPr>
          <w:szCs w:val="22"/>
        </w:rPr>
        <w:t>databázi</w:t>
      </w:r>
      <w:proofErr w:type="spellEnd"/>
      <w:r w:rsidRPr="00761204">
        <w:rPr>
          <w:szCs w:val="22"/>
        </w:rPr>
        <w:t xml:space="preserve"> </w:t>
      </w:r>
      <w:proofErr w:type="spellStart"/>
      <w:r w:rsidRPr="00761204">
        <w:rPr>
          <w:szCs w:val="22"/>
        </w:rPr>
        <w:t>přípravků</w:t>
      </w:r>
      <w:proofErr w:type="spellEnd"/>
      <w:r w:rsidRPr="00761204">
        <w:rPr>
          <w:szCs w:val="22"/>
        </w:rPr>
        <w:t xml:space="preserve"> </w:t>
      </w:r>
      <w:proofErr w:type="spellStart"/>
      <w:r w:rsidRPr="00761204">
        <w:rPr>
          <w:szCs w:val="22"/>
        </w:rPr>
        <w:t>Unie</w:t>
      </w:r>
      <w:proofErr w:type="spellEnd"/>
      <w:r w:rsidRPr="00761204">
        <w:rPr>
          <w:szCs w:val="22"/>
        </w:rPr>
        <w:t xml:space="preserve"> (</w:t>
      </w:r>
      <w:hyperlink r:id="rId13" w:history="1">
        <w:r w:rsidRPr="00761204">
          <w:rPr>
            <w:rStyle w:val="Hypertextovodkaz"/>
            <w:szCs w:val="22"/>
          </w:rPr>
          <w:t>https://medicines.health.europa.eu/veterinary</w:t>
        </w:r>
      </w:hyperlink>
      <w:r w:rsidRPr="00761204">
        <w:rPr>
          <w:szCs w:val="22"/>
        </w:rPr>
        <w:t>).</w:t>
      </w:r>
    </w:p>
    <w:p w14:paraId="2BAEDA1C" w14:textId="77777777" w:rsidR="00806D6C" w:rsidRPr="00761204" w:rsidRDefault="00806D6C" w:rsidP="00761204">
      <w:pPr>
        <w:ind w:left="90" w:firstLine="0"/>
        <w:rPr>
          <w:szCs w:val="22"/>
          <w:lang w:val="cs-CZ"/>
        </w:rPr>
      </w:pPr>
    </w:p>
    <w:p w14:paraId="40FC3B81" w14:textId="77777777" w:rsidR="00806D6C" w:rsidRPr="00761204" w:rsidRDefault="00806D6C" w:rsidP="00761204">
      <w:pPr>
        <w:ind w:left="0" w:firstLine="0"/>
        <w:rPr>
          <w:szCs w:val="22"/>
          <w:lang w:val="cs-CZ"/>
        </w:rPr>
      </w:pPr>
      <w:r w:rsidRPr="00761204">
        <w:rPr>
          <w:szCs w:val="22"/>
          <w:lang w:val="cs-CZ"/>
        </w:rPr>
        <w:t>Podrobné informace o tomto veterinárním léčivém přípravku naleznete také v národní databázi (</w:t>
      </w:r>
      <w:hyperlink r:id="rId14" w:history="1">
        <w:r w:rsidRPr="00761204">
          <w:rPr>
            <w:rStyle w:val="Hypertextovodkaz"/>
            <w:szCs w:val="22"/>
            <w:lang w:val="cs-CZ"/>
          </w:rPr>
          <w:t>https://www.uskvbl.cz</w:t>
        </w:r>
      </w:hyperlink>
      <w:r w:rsidRPr="00761204">
        <w:rPr>
          <w:szCs w:val="22"/>
          <w:lang w:val="cs-CZ"/>
        </w:rPr>
        <w:t>).</w:t>
      </w:r>
    </w:p>
    <w:p w14:paraId="05FB8AAE" w14:textId="77777777" w:rsidR="00D347E9" w:rsidRPr="00761204" w:rsidRDefault="00D347E9" w:rsidP="00761204">
      <w:pPr>
        <w:rPr>
          <w:szCs w:val="22"/>
          <w:lang w:val="cs-CZ"/>
        </w:rPr>
      </w:pPr>
    </w:p>
    <w:p w14:paraId="429EEB6C" w14:textId="77777777" w:rsidR="00806D6C" w:rsidRPr="00761204" w:rsidRDefault="00806D6C" w:rsidP="00761204">
      <w:pPr>
        <w:rPr>
          <w:szCs w:val="22"/>
          <w:lang w:val="cs-CZ"/>
        </w:rPr>
      </w:pPr>
    </w:p>
    <w:p w14:paraId="258C9A6D" w14:textId="0722EEE8" w:rsidR="00F07C2A" w:rsidRPr="00761204" w:rsidRDefault="00F07C2A" w:rsidP="00761204">
      <w:pPr>
        <w:pStyle w:val="Bezmezer"/>
        <w:suppressAutoHyphens/>
        <w:rPr>
          <w:rFonts w:ascii="Times New Roman" w:eastAsia="Times New Roman" w:hAnsi="Times New Roman" w:cs="Times New Roman"/>
          <w:b/>
          <w:bCs/>
          <w:lang w:val="cs-CZ"/>
        </w:rPr>
      </w:pPr>
      <w:r w:rsidRPr="00761204">
        <w:rPr>
          <w:rFonts w:ascii="Times New Roman" w:hAnsi="Times New Roman" w:cs="Times New Roman"/>
          <w:b/>
          <w:bCs/>
          <w:highlight w:val="lightGray"/>
          <w:lang w:val="cs-CZ"/>
        </w:rPr>
        <w:t>16.</w:t>
      </w:r>
      <w:r w:rsidRPr="00761204">
        <w:rPr>
          <w:rFonts w:ascii="Times New Roman" w:hAnsi="Times New Roman" w:cs="Times New Roman"/>
          <w:b/>
          <w:bCs/>
          <w:lang w:val="cs-CZ"/>
        </w:rPr>
        <w:tab/>
        <w:t>Kontaktní údaje</w:t>
      </w:r>
    </w:p>
    <w:p w14:paraId="1E0D1AEC" w14:textId="77777777" w:rsidR="00F07C2A" w:rsidRPr="00761204" w:rsidRDefault="00F07C2A" w:rsidP="00761204">
      <w:pPr>
        <w:suppressAutoHyphens/>
        <w:adjustRightInd w:val="0"/>
        <w:textAlignment w:val="baseline"/>
        <w:rPr>
          <w:szCs w:val="22"/>
          <w:lang w:val="cs-CZ"/>
        </w:rPr>
      </w:pPr>
    </w:p>
    <w:p w14:paraId="77CE829C" w14:textId="6BB6BD09" w:rsidR="00F07C2A" w:rsidRPr="00761204" w:rsidRDefault="00F07C2A" w:rsidP="00761204">
      <w:pPr>
        <w:suppressAutoHyphens/>
        <w:adjustRightInd w:val="0"/>
        <w:textAlignment w:val="baseline"/>
        <w:rPr>
          <w:szCs w:val="22"/>
          <w:u w:val="single"/>
          <w:lang w:val="cs-CZ"/>
        </w:rPr>
      </w:pPr>
      <w:r w:rsidRPr="00761204">
        <w:rPr>
          <w:szCs w:val="22"/>
          <w:u w:val="single"/>
          <w:lang w:val="cs-CZ"/>
        </w:rPr>
        <w:t>Držitel rozhodnutí o registraci:</w:t>
      </w:r>
    </w:p>
    <w:p w14:paraId="48758153" w14:textId="2EEEA7C2" w:rsidR="00F07C2A" w:rsidRPr="00761204" w:rsidRDefault="00F07C2A" w:rsidP="00761204">
      <w:pPr>
        <w:suppressAutoHyphens/>
        <w:rPr>
          <w:iCs/>
          <w:szCs w:val="22"/>
          <w:lang w:val="cs-CZ" w:eastAsia="de-DE"/>
        </w:rPr>
      </w:pPr>
      <w:r w:rsidRPr="00761204">
        <w:rPr>
          <w:iCs/>
          <w:szCs w:val="22"/>
          <w:lang w:val="cs-CZ" w:eastAsia="de-DE"/>
        </w:rPr>
        <w:lastRenderedPageBreak/>
        <w:t>Boehringer Ingelheim Vetmedica GmbH</w:t>
      </w:r>
    </w:p>
    <w:p w14:paraId="5EEF214C" w14:textId="77777777" w:rsidR="00F07C2A" w:rsidRPr="00761204" w:rsidRDefault="00F07C2A" w:rsidP="00761204">
      <w:pPr>
        <w:suppressAutoHyphens/>
        <w:rPr>
          <w:iCs/>
          <w:szCs w:val="22"/>
          <w:lang w:val="cs-CZ" w:eastAsia="de-DE"/>
        </w:rPr>
      </w:pPr>
      <w:r w:rsidRPr="00761204">
        <w:rPr>
          <w:iCs/>
          <w:szCs w:val="22"/>
          <w:lang w:val="cs-CZ" w:eastAsia="de-DE"/>
        </w:rPr>
        <w:t>55216 Ingelheim/Rhein</w:t>
      </w:r>
    </w:p>
    <w:p w14:paraId="16DD39C7" w14:textId="338DDD9E" w:rsidR="00F07C2A" w:rsidRPr="00761204" w:rsidRDefault="00F07C2A" w:rsidP="00761204">
      <w:pPr>
        <w:suppressAutoHyphens/>
        <w:rPr>
          <w:iCs/>
          <w:szCs w:val="22"/>
          <w:lang w:val="cs-CZ" w:eastAsia="de-DE"/>
        </w:rPr>
      </w:pPr>
      <w:r w:rsidRPr="00761204">
        <w:rPr>
          <w:iCs/>
          <w:szCs w:val="22"/>
          <w:lang w:val="cs-CZ" w:eastAsia="de-DE"/>
        </w:rPr>
        <w:t>Německo</w:t>
      </w:r>
    </w:p>
    <w:p w14:paraId="61ADB943" w14:textId="77777777" w:rsidR="00F07C2A" w:rsidRPr="00761204" w:rsidRDefault="00F07C2A" w:rsidP="00761204">
      <w:pPr>
        <w:suppressAutoHyphens/>
        <w:adjustRightInd w:val="0"/>
        <w:textAlignment w:val="baseline"/>
        <w:rPr>
          <w:szCs w:val="22"/>
          <w:lang w:val="cs-CZ"/>
        </w:rPr>
      </w:pPr>
    </w:p>
    <w:p w14:paraId="60A92B4F" w14:textId="728B7FF5" w:rsidR="00F07C2A" w:rsidRPr="00761204" w:rsidRDefault="00F07C2A" w:rsidP="00761204">
      <w:pPr>
        <w:suppressAutoHyphens/>
        <w:adjustRightInd w:val="0"/>
        <w:textAlignment w:val="baseline"/>
        <w:rPr>
          <w:szCs w:val="22"/>
          <w:u w:val="single"/>
          <w:lang w:val="cs-CZ"/>
        </w:rPr>
      </w:pPr>
      <w:r w:rsidRPr="00761204">
        <w:rPr>
          <w:szCs w:val="22"/>
          <w:u w:val="single"/>
          <w:lang w:val="cs-CZ"/>
        </w:rPr>
        <w:t>Výrobce odpovědný za uvolnění šarž</w:t>
      </w:r>
      <w:r w:rsidR="003E6A43" w:rsidRPr="00761204">
        <w:rPr>
          <w:szCs w:val="22"/>
          <w:u w:val="single"/>
          <w:lang w:val="cs-CZ"/>
        </w:rPr>
        <w:t>e</w:t>
      </w:r>
      <w:r w:rsidRPr="00761204">
        <w:rPr>
          <w:szCs w:val="22"/>
          <w:u w:val="single"/>
          <w:lang w:val="cs-CZ"/>
        </w:rPr>
        <w:t>:</w:t>
      </w:r>
    </w:p>
    <w:p w14:paraId="54EF6C16" w14:textId="4E4B1410" w:rsidR="00F07C2A" w:rsidRPr="00761204" w:rsidRDefault="00F07C2A" w:rsidP="00761204">
      <w:pPr>
        <w:suppressAutoHyphens/>
        <w:adjustRightInd w:val="0"/>
        <w:textAlignment w:val="baseline"/>
        <w:rPr>
          <w:szCs w:val="22"/>
          <w:lang w:val="cs-CZ"/>
        </w:rPr>
      </w:pPr>
      <w:r w:rsidRPr="00761204">
        <w:rPr>
          <w:szCs w:val="22"/>
          <w:lang w:val="cs-CZ"/>
        </w:rPr>
        <w:t>Univet Ltd</w:t>
      </w:r>
    </w:p>
    <w:p w14:paraId="00126189" w14:textId="77777777" w:rsidR="00F07C2A" w:rsidRPr="00761204" w:rsidRDefault="00F07C2A" w:rsidP="00761204">
      <w:pPr>
        <w:suppressAutoHyphens/>
        <w:adjustRightInd w:val="0"/>
        <w:textAlignment w:val="baseline"/>
        <w:rPr>
          <w:szCs w:val="22"/>
          <w:lang w:val="cs-CZ"/>
        </w:rPr>
      </w:pPr>
      <w:r w:rsidRPr="00761204">
        <w:rPr>
          <w:szCs w:val="22"/>
          <w:lang w:val="cs-CZ"/>
        </w:rPr>
        <w:t>Tullyvin</w:t>
      </w:r>
    </w:p>
    <w:p w14:paraId="5C347A91" w14:textId="77777777" w:rsidR="00F07C2A" w:rsidRPr="00761204" w:rsidRDefault="00F07C2A" w:rsidP="00761204">
      <w:pPr>
        <w:suppressAutoHyphens/>
        <w:adjustRightInd w:val="0"/>
        <w:textAlignment w:val="baseline"/>
        <w:rPr>
          <w:szCs w:val="22"/>
          <w:lang w:val="cs-CZ"/>
        </w:rPr>
      </w:pPr>
      <w:r w:rsidRPr="00761204">
        <w:rPr>
          <w:szCs w:val="22"/>
          <w:lang w:val="cs-CZ"/>
        </w:rPr>
        <w:t>Cootehill, Co. Cavan</w:t>
      </w:r>
    </w:p>
    <w:p w14:paraId="644EF68D" w14:textId="6A09032B" w:rsidR="00F07C2A" w:rsidRPr="00761204" w:rsidRDefault="00F07C2A" w:rsidP="00761204">
      <w:pPr>
        <w:suppressAutoHyphens/>
        <w:adjustRightInd w:val="0"/>
        <w:textAlignment w:val="baseline"/>
        <w:rPr>
          <w:szCs w:val="22"/>
          <w:lang w:val="cs-CZ"/>
        </w:rPr>
      </w:pPr>
      <w:r w:rsidRPr="00761204">
        <w:rPr>
          <w:szCs w:val="22"/>
          <w:lang w:val="cs-CZ"/>
        </w:rPr>
        <w:t>Irsko</w:t>
      </w:r>
    </w:p>
    <w:p w14:paraId="44555996" w14:textId="77777777" w:rsidR="00F07C2A" w:rsidRPr="00761204" w:rsidRDefault="00F07C2A" w:rsidP="00761204">
      <w:pPr>
        <w:suppressAutoHyphens/>
        <w:adjustRightInd w:val="0"/>
        <w:textAlignment w:val="baseline"/>
        <w:rPr>
          <w:szCs w:val="22"/>
          <w:lang w:val="cs-CZ"/>
        </w:rPr>
      </w:pPr>
    </w:p>
    <w:p w14:paraId="195AAB95" w14:textId="4EB38D16" w:rsidR="00F07C2A" w:rsidRPr="00761204" w:rsidRDefault="00F07C2A" w:rsidP="00761204">
      <w:pPr>
        <w:suppressAutoHyphens/>
        <w:adjustRightInd w:val="0"/>
        <w:textAlignment w:val="baseline"/>
        <w:rPr>
          <w:szCs w:val="22"/>
          <w:highlight w:val="yellow"/>
          <w:u w:val="single"/>
          <w:lang w:val="cs-CZ"/>
        </w:rPr>
      </w:pPr>
      <w:r w:rsidRPr="00761204">
        <w:rPr>
          <w:szCs w:val="22"/>
          <w:u w:val="single"/>
          <w:lang w:val="cs-CZ"/>
        </w:rPr>
        <w:t>Místní zástupci a kontaktní údaje pro hlášení podezření na nežádoucí účinky:</w:t>
      </w:r>
    </w:p>
    <w:p w14:paraId="568A9C76" w14:textId="77777777" w:rsidR="001352F0" w:rsidRPr="00761204" w:rsidRDefault="001352F0" w:rsidP="00761204">
      <w:pPr>
        <w:suppressAutoHyphens/>
        <w:rPr>
          <w:iCs/>
          <w:szCs w:val="22"/>
          <w:lang w:val="cs-CZ" w:eastAsia="de-DE"/>
        </w:rPr>
      </w:pPr>
      <w:r w:rsidRPr="00761204">
        <w:rPr>
          <w:iCs/>
          <w:szCs w:val="22"/>
          <w:lang w:val="cs-CZ" w:eastAsia="de-DE"/>
        </w:rPr>
        <w:t xml:space="preserve">Boehringer Ingelheim spol. s r.o. </w:t>
      </w:r>
    </w:p>
    <w:p w14:paraId="4D340EBC" w14:textId="5DBD45BF" w:rsidR="003E6A43" w:rsidRPr="00761204" w:rsidRDefault="001352F0" w:rsidP="00761204">
      <w:pPr>
        <w:suppressAutoHyphens/>
        <w:rPr>
          <w:i/>
          <w:szCs w:val="22"/>
          <w:highlight w:val="lightGray"/>
          <w:lang w:val="cs-CZ" w:eastAsia="de-DE"/>
        </w:rPr>
      </w:pPr>
      <w:r w:rsidRPr="00761204">
        <w:rPr>
          <w:iCs/>
          <w:szCs w:val="22"/>
          <w:lang w:val="cs-CZ" w:eastAsia="de-DE"/>
        </w:rPr>
        <w:t>Tel: +420 234 655 111</w:t>
      </w:r>
    </w:p>
    <w:p w14:paraId="2AA14FA7" w14:textId="57947F3B" w:rsidR="00F07C2A" w:rsidRPr="00761204" w:rsidRDefault="00F07C2A" w:rsidP="00761204">
      <w:pPr>
        <w:rPr>
          <w:szCs w:val="22"/>
          <w:lang w:val="cs-CZ"/>
        </w:rPr>
      </w:pPr>
    </w:p>
    <w:p w14:paraId="76E1EA39" w14:textId="6DA35F13" w:rsidR="006139D6" w:rsidRPr="00761204" w:rsidRDefault="000C223D" w:rsidP="00761204">
      <w:pPr>
        <w:ind w:left="0" w:firstLine="0"/>
        <w:rPr>
          <w:szCs w:val="22"/>
          <w:lang w:val="cs-CZ"/>
        </w:rPr>
      </w:pPr>
      <w:r w:rsidRPr="00761204">
        <w:rPr>
          <w:szCs w:val="22"/>
          <w:lang w:val="cs-CZ"/>
        </w:rPr>
        <w:t>Pokud chcete získat informace o tomto veterinárním léčivém přípravku, kontaktujte prosím příslušného místního zástupce držitele rozhodnutí o registraci.</w:t>
      </w:r>
    </w:p>
    <w:p w14:paraId="71105335" w14:textId="77777777" w:rsidR="000C223D" w:rsidRPr="00761204" w:rsidRDefault="000C223D" w:rsidP="00761204">
      <w:pPr>
        <w:ind w:left="90" w:firstLine="0"/>
        <w:rPr>
          <w:szCs w:val="22"/>
          <w:lang w:val="cs-CZ"/>
        </w:rPr>
      </w:pPr>
    </w:p>
    <w:p w14:paraId="39BC14AA" w14:textId="77777777" w:rsidR="000C223D" w:rsidRPr="00761204" w:rsidRDefault="000C223D" w:rsidP="00761204">
      <w:pPr>
        <w:ind w:left="90" w:firstLine="0"/>
        <w:rPr>
          <w:szCs w:val="22"/>
          <w:lang w:val="cs-CZ"/>
        </w:rPr>
      </w:pPr>
    </w:p>
    <w:p w14:paraId="59517849" w14:textId="3224836C" w:rsidR="00CB22E4" w:rsidRPr="00761204" w:rsidRDefault="00F07C2A" w:rsidP="00761204">
      <w:pPr>
        <w:keepNext/>
        <w:keepLines/>
        <w:rPr>
          <w:szCs w:val="22"/>
          <w:lang w:val="cs-CZ"/>
        </w:rPr>
      </w:pPr>
      <w:r w:rsidRPr="00761204">
        <w:rPr>
          <w:b/>
          <w:szCs w:val="22"/>
          <w:highlight w:val="lightGray"/>
          <w:lang w:val="cs-CZ"/>
        </w:rPr>
        <w:t>17</w:t>
      </w:r>
      <w:r w:rsidR="00CB22E4" w:rsidRPr="00761204">
        <w:rPr>
          <w:b/>
          <w:szCs w:val="22"/>
          <w:highlight w:val="lightGray"/>
          <w:lang w:val="cs-CZ"/>
        </w:rPr>
        <w:t>.</w:t>
      </w:r>
      <w:r w:rsidR="00CB22E4" w:rsidRPr="00761204">
        <w:rPr>
          <w:b/>
          <w:szCs w:val="22"/>
          <w:lang w:val="cs-CZ"/>
        </w:rPr>
        <w:tab/>
      </w:r>
      <w:r w:rsidRPr="00761204">
        <w:rPr>
          <w:b/>
          <w:szCs w:val="22"/>
          <w:lang w:val="cs-CZ"/>
        </w:rPr>
        <w:t>Další informace</w:t>
      </w:r>
    </w:p>
    <w:p w14:paraId="2580668E" w14:textId="77777777" w:rsidR="00CB22E4" w:rsidRPr="00761204" w:rsidRDefault="00CB22E4" w:rsidP="00761204">
      <w:pPr>
        <w:keepNext/>
        <w:keepLines/>
        <w:rPr>
          <w:szCs w:val="22"/>
          <w:lang w:val="cs-CZ"/>
        </w:rPr>
      </w:pPr>
    </w:p>
    <w:p w14:paraId="7266BC78" w14:textId="7274BB8F" w:rsidR="00CB22E4" w:rsidRPr="00761204" w:rsidRDefault="00CB22E4" w:rsidP="00761204">
      <w:pPr>
        <w:ind w:left="0" w:firstLine="0"/>
        <w:rPr>
          <w:szCs w:val="22"/>
          <w:lang w:val="cs-CZ"/>
        </w:rPr>
      </w:pPr>
      <w:r w:rsidRPr="00761204">
        <w:rPr>
          <w:szCs w:val="22"/>
          <w:lang w:val="cs-CZ" w:eastAsia="de-DE"/>
        </w:rPr>
        <w:t>Kombinace cefalexinu a </w:t>
      </w:r>
      <w:proofErr w:type="spellStart"/>
      <w:r w:rsidRPr="00761204">
        <w:rPr>
          <w:szCs w:val="22"/>
          <w:lang w:val="cs-CZ" w:eastAsia="de-DE"/>
        </w:rPr>
        <w:t>kanamycinu</w:t>
      </w:r>
      <w:proofErr w:type="spellEnd"/>
      <w:r w:rsidRPr="00761204">
        <w:rPr>
          <w:szCs w:val="22"/>
          <w:lang w:val="cs-CZ" w:eastAsia="de-DE"/>
        </w:rPr>
        <w:t xml:space="preserve"> prokázala baktericidní účinnost proti </w:t>
      </w:r>
      <w:r w:rsidRPr="00761204">
        <w:rPr>
          <w:i/>
          <w:iCs/>
          <w:szCs w:val="22"/>
          <w:lang w:val="cs-CZ" w:eastAsia="de-DE"/>
        </w:rPr>
        <w:t xml:space="preserve">Staphylococcus aureus, Streptococcus dysgalactiae, Streptococcus uberis </w:t>
      </w:r>
      <w:r w:rsidRPr="00761204">
        <w:rPr>
          <w:szCs w:val="22"/>
          <w:lang w:val="cs-CZ" w:eastAsia="de-DE"/>
        </w:rPr>
        <w:t>a</w:t>
      </w:r>
      <w:r w:rsidRPr="00761204">
        <w:rPr>
          <w:i/>
          <w:iCs/>
          <w:szCs w:val="22"/>
          <w:lang w:val="cs-CZ" w:eastAsia="de-DE"/>
        </w:rPr>
        <w:t xml:space="preserve"> Escherichia coli</w:t>
      </w:r>
      <w:r w:rsidRPr="00761204">
        <w:rPr>
          <w:szCs w:val="22"/>
          <w:lang w:val="cs-CZ" w:eastAsia="de-DE"/>
        </w:rPr>
        <w:t xml:space="preserve">. Účinek kombinace </w:t>
      </w:r>
      <w:r w:rsidRPr="00761204">
        <w:rPr>
          <w:szCs w:val="22"/>
          <w:lang w:val="cs-CZ"/>
        </w:rPr>
        <w:t>cefalexinu s </w:t>
      </w:r>
      <w:proofErr w:type="spellStart"/>
      <w:r w:rsidRPr="00761204">
        <w:rPr>
          <w:szCs w:val="22"/>
          <w:lang w:val="cs-CZ"/>
        </w:rPr>
        <w:t>kanamycinem</w:t>
      </w:r>
      <w:proofErr w:type="spellEnd"/>
      <w:r w:rsidRPr="00761204">
        <w:rPr>
          <w:szCs w:val="22"/>
          <w:lang w:val="cs-CZ"/>
        </w:rPr>
        <w:t xml:space="preserve"> je převážně závislý na čase. </w:t>
      </w:r>
    </w:p>
    <w:p w14:paraId="100F0580" w14:textId="77777777" w:rsidR="003E6A43" w:rsidRPr="00050E60" w:rsidRDefault="003E6A43" w:rsidP="00CB22E4">
      <w:pPr>
        <w:rPr>
          <w:szCs w:val="22"/>
          <w:lang w:val="cs-CZ"/>
        </w:rPr>
      </w:pPr>
    </w:p>
    <w:p w14:paraId="6A593703" w14:textId="034C44A7" w:rsidR="00CB22E4" w:rsidRPr="00050E60" w:rsidRDefault="00CB22E4" w:rsidP="00CB22E4">
      <w:pPr>
        <w:ind w:left="0" w:firstLine="0"/>
        <w:rPr>
          <w:szCs w:val="22"/>
          <w:lang w:val="cs-CZ" w:eastAsia="de-DE"/>
        </w:rPr>
      </w:pPr>
      <w:r w:rsidRPr="00050E60">
        <w:rPr>
          <w:szCs w:val="22"/>
          <w:lang w:val="cs-CZ" w:eastAsia="de-DE"/>
        </w:rPr>
        <w:t>Minimální inhibiční koncentrace, šachovnicová analýza, baktericidní kinetika a </w:t>
      </w:r>
      <w:proofErr w:type="spellStart"/>
      <w:r w:rsidRPr="00050E60">
        <w:rPr>
          <w:szCs w:val="22"/>
          <w:lang w:val="cs-CZ" w:eastAsia="de-DE"/>
        </w:rPr>
        <w:t>postantibiotický</w:t>
      </w:r>
      <w:proofErr w:type="spellEnd"/>
      <w:r w:rsidRPr="00050E60">
        <w:rPr>
          <w:szCs w:val="22"/>
          <w:lang w:val="cs-CZ" w:eastAsia="de-DE"/>
        </w:rPr>
        <w:t xml:space="preserve"> efekt demonstrují výhody této kombinace rozšířením spektra účinku a dokazují synergickou antibakteriální účinnost: účinek cefalexinu je zesílen kanamycinem a naopak.</w:t>
      </w:r>
    </w:p>
    <w:p w14:paraId="7BA04BD2" w14:textId="77777777" w:rsidR="00CB22E4" w:rsidRPr="00050E60" w:rsidRDefault="00CB22E4" w:rsidP="00CB22E4">
      <w:pPr>
        <w:rPr>
          <w:szCs w:val="22"/>
          <w:lang w:val="cs-CZ" w:eastAsia="de-DE"/>
        </w:rPr>
      </w:pPr>
    </w:p>
    <w:p w14:paraId="4F89C068" w14:textId="1FF27D22" w:rsidR="00CB22E4" w:rsidRPr="00050E60" w:rsidRDefault="00CB22E4" w:rsidP="00CB22E4">
      <w:pPr>
        <w:ind w:left="0" w:firstLine="0"/>
        <w:rPr>
          <w:szCs w:val="22"/>
          <w:lang w:val="cs-CZ"/>
        </w:rPr>
      </w:pPr>
      <w:r w:rsidRPr="00050E60">
        <w:rPr>
          <w:i/>
          <w:iCs/>
          <w:szCs w:val="22"/>
          <w:lang w:val="cs-CZ"/>
        </w:rPr>
        <w:t xml:space="preserve">Staphylococcus aureus </w:t>
      </w:r>
      <w:r w:rsidRPr="00050E60">
        <w:rPr>
          <w:szCs w:val="22"/>
          <w:lang w:val="cs-CZ"/>
        </w:rPr>
        <w:t xml:space="preserve">má schopnost </w:t>
      </w:r>
      <w:r w:rsidR="000056C2" w:rsidRPr="00050E60">
        <w:rPr>
          <w:szCs w:val="22"/>
          <w:lang w:val="cs-CZ"/>
        </w:rPr>
        <w:t>překonat</w:t>
      </w:r>
      <w:r w:rsidRPr="00050E60">
        <w:rPr>
          <w:szCs w:val="22"/>
          <w:lang w:val="cs-CZ"/>
        </w:rPr>
        <w:t xml:space="preserve"> imunitní systém a vyvolat hlubokou infekci mléčné žlázy. Proto by se dalo očekávat, že podíl bakteriologicky vyléčených bude v terénu nízký jako je tomu u jiných </w:t>
      </w:r>
      <w:proofErr w:type="spellStart"/>
      <w:r w:rsidRPr="00050E60">
        <w:rPr>
          <w:szCs w:val="22"/>
          <w:lang w:val="cs-CZ"/>
        </w:rPr>
        <w:t>intramamárních</w:t>
      </w:r>
      <w:proofErr w:type="spellEnd"/>
      <w:r w:rsidRPr="00050E60">
        <w:rPr>
          <w:szCs w:val="22"/>
          <w:lang w:val="cs-CZ"/>
        </w:rPr>
        <w:t xml:space="preserve"> </w:t>
      </w:r>
      <w:r w:rsidR="001352F0">
        <w:rPr>
          <w:iCs/>
          <w:szCs w:val="22"/>
          <w:lang w:val="cs-CZ"/>
        </w:rPr>
        <w:t xml:space="preserve">veterinárních léčivých </w:t>
      </w:r>
      <w:r w:rsidRPr="00050E60">
        <w:rPr>
          <w:szCs w:val="22"/>
          <w:lang w:val="cs-CZ"/>
        </w:rPr>
        <w:t xml:space="preserve">přípravků. </w:t>
      </w:r>
      <w:r w:rsidRPr="00050E60">
        <w:rPr>
          <w:i/>
          <w:szCs w:val="22"/>
          <w:lang w:val="cs-CZ"/>
        </w:rPr>
        <w:t>In vitro</w:t>
      </w:r>
      <w:r w:rsidRPr="00050E60">
        <w:rPr>
          <w:szCs w:val="22"/>
          <w:lang w:val="cs-CZ"/>
        </w:rPr>
        <w:t xml:space="preserve"> studie však prokázaly, že izoláty (2002-2004</w:t>
      </w:r>
      <w:r w:rsidR="00E24CC1" w:rsidRPr="00944173">
        <w:rPr>
          <w:szCs w:val="22"/>
          <w:lang w:val="cs-CZ"/>
        </w:rPr>
        <w:t xml:space="preserve"> a 2009-2011</w:t>
      </w:r>
      <w:r w:rsidRPr="00050E60">
        <w:rPr>
          <w:szCs w:val="22"/>
          <w:lang w:val="cs-CZ"/>
        </w:rPr>
        <w:t xml:space="preserve">) </w:t>
      </w:r>
      <w:r w:rsidRPr="00050E60">
        <w:rPr>
          <w:i/>
          <w:iCs/>
          <w:szCs w:val="22"/>
          <w:lang w:val="cs-CZ"/>
        </w:rPr>
        <w:t>S. aureus</w:t>
      </w:r>
      <w:r w:rsidRPr="00050E60">
        <w:rPr>
          <w:szCs w:val="22"/>
          <w:lang w:val="cs-CZ"/>
        </w:rPr>
        <w:t xml:space="preserve"> jsou na kombinaci těchto účinných látek citlivé.</w:t>
      </w:r>
    </w:p>
    <w:p w14:paraId="72A73F34" w14:textId="77777777" w:rsidR="00CB22E4" w:rsidRPr="00050E60" w:rsidRDefault="00CB22E4" w:rsidP="00CB22E4">
      <w:pPr>
        <w:ind w:left="0" w:firstLine="0"/>
        <w:rPr>
          <w:szCs w:val="22"/>
          <w:lang w:val="cs-CZ"/>
        </w:rPr>
      </w:pPr>
    </w:p>
    <w:p w14:paraId="166CE63A" w14:textId="741C2A0F" w:rsidR="00E57582" w:rsidRDefault="00CB22E4" w:rsidP="00891F36">
      <w:pPr>
        <w:ind w:left="0" w:firstLine="0"/>
        <w:rPr>
          <w:bCs/>
          <w:szCs w:val="22"/>
          <w:lang w:val="cs-CZ"/>
        </w:rPr>
      </w:pPr>
      <w:r w:rsidRPr="00050E60">
        <w:rPr>
          <w:bCs/>
          <w:i/>
          <w:szCs w:val="22"/>
          <w:lang w:val="cs-CZ"/>
        </w:rPr>
        <w:t>In vitro</w:t>
      </w:r>
      <w:r w:rsidRPr="00050E60">
        <w:rPr>
          <w:bCs/>
          <w:szCs w:val="22"/>
          <w:lang w:val="cs-CZ"/>
        </w:rPr>
        <w:t xml:space="preserve"> studie prokázaly, že izoláty kmenů </w:t>
      </w:r>
      <w:r w:rsidRPr="00050E60">
        <w:rPr>
          <w:bCs/>
          <w:i/>
          <w:szCs w:val="22"/>
          <w:lang w:val="cs-CZ"/>
        </w:rPr>
        <w:t>S. agalactiae</w:t>
      </w:r>
      <w:r w:rsidRPr="00050E60">
        <w:rPr>
          <w:bCs/>
          <w:szCs w:val="22"/>
          <w:lang w:val="cs-CZ"/>
        </w:rPr>
        <w:t xml:space="preserve"> </w:t>
      </w:r>
      <w:r w:rsidR="00E24CC1" w:rsidRPr="00050E60">
        <w:rPr>
          <w:bCs/>
          <w:szCs w:val="22"/>
          <w:lang w:val="cs-CZ"/>
        </w:rPr>
        <w:t xml:space="preserve">(shromážděné v r. 2004) </w:t>
      </w:r>
      <w:r w:rsidRPr="00050E60">
        <w:rPr>
          <w:bCs/>
          <w:szCs w:val="22"/>
          <w:lang w:val="cs-CZ"/>
        </w:rPr>
        <w:t>a koaguláza</w:t>
      </w:r>
      <w:r w:rsidR="00226CCF">
        <w:rPr>
          <w:bCs/>
          <w:szCs w:val="22"/>
          <w:lang w:val="cs-CZ"/>
        </w:rPr>
        <w:t xml:space="preserve"> </w:t>
      </w:r>
      <w:r w:rsidRPr="00050E60">
        <w:rPr>
          <w:bCs/>
          <w:szCs w:val="22"/>
          <w:lang w:val="cs-CZ"/>
        </w:rPr>
        <w:t xml:space="preserve">negativních stafylokoků </w:t>
      </w:r>
      <w:r w:rsidR="00E24CC1" w:rsidRPr="00050E60">
        <w:rPr>
          <w:bCs/>
          <w:szCs w:val="22"/>
          <w:lang w:val="cs-CZ"/>
        </w:rPr>
        <w:t>(shromážděné v r. 2004</w:t>
      </w:r>
      <w:r w:rsidR="00E24CC1" w:rsidRPr="00050E60">
        <w:rPr>
          <w:szCs w:val="22"/>
          <w:lang w:val="cs-CZ"/>
        </w:rPr>
        <w:t xml:space="preserve"> a 2009-2011</w:t>
      </w:r>
      <w:r w:rsidR="00E24CC1" w:rsidRPr="00050E60">
        <w:rPr>
          <w:bCs/>
          <w:szCs w:val="22"/>
          <w:lang w:val="cs-CZ"/>
        </w:rPr>
        <w:t>)</w:t>
      </w:r>
      <w:r w:rsidRPr="00050E60">
        <w:rPr>
          <w:bCs/>
          <w:szCs w:val="22"/>
          <w:lang w:val="cs-CZ"/>
        </w:rPr>
        <w:t xml:space="preserve"> jsou citlivé </w:t>
      </w:r>
      <w:r w:rsidRPr="00050E60">
        <w:rPr>
          <w:szCs w:val="22"/>
          <w:lang w:val="cs-CZ"/>
        </w:rPr>
        <w:t>na kombinaci těchto účinných látek</w:t>
      </w:r>
      <w:r w:rsidRPr="00050E60">
        <w:rPr>
          <w:bCs/>
          <w:szCs w:val="22"/>
          <w:lang w:val="cs-CZ"/>
        </w:rPr>
        <w:t>.</w:t>
      </w:r>
    </w:p>
    <w:p w14:paraId="39DCD8BB" w14:textId="77777777" w:rsidR="00E57582" w:rsidRDefault="00E57582" w:rsidP="00891F36">
      <w:pPr>
        <w:ind w:left="0" w:firstLine="0"/>
        <w:rPr>
          <w:bCs/>
          <w:szCs w:val="22"/>
          <w:lang w:val="cs-CZ"/>
        </w:rPr>
      </w:pPr>
    </w:p>
    <w:p w14:paraId="5FD75966" w14:textId="638D7D49" w:rsidR="00E57582" w:rsidRDefault="00E57582" w:rsidP="00CB22E4">
      <w:pPr>
        <w:ind w:left="0" w:firstLine="0"/>
        <w:rPr>
          <w:bCs/>
          <w:szCs w:val="22"/>
          <w:lang w:val="cs-CZ"/>
        </w:rPr>
      </w:pPr>
    </w:p>
    <w:p w14:paraId="621488CD" w14:textId="77777777" w:rsidR="00E57582" w:rsidRPr="00761204" w:rsidRDefault="00E57582" w:rsidP="00E57582">
      <w:pPr>
        <w:rPr>
          <w:szCs w:val="22"/>
          <w:lang w:val="cs-CZ"/>
        </w:rPr>
      </w:pPr>
      <w:r>
        <w:rPr>
          <w:szCs w:val="22"/>
          <w:lang w:val="cs-CZ"/>
        </w:rPr>
        <w:t>Přípravek s indikačním omezením.</w:t>
      </w:r>
    </w:p>
    <w:p w14:paraId="460C548D" w14:textId="77777777" w:rsidR="00E57582" w:rsidRPr="00050E60" w:rsidRDefault="00E57582" w:rsidP="00CB22E4">
      <w:pPr>
        <w:ind w:left="0" w:firstLine="0"/>
        <w:rPr>
          <w:bCs/>
          <w:szCs w:val="22"/>
          <w:lang w:val="cs-CZ"/>
        </w:rPr>
      </w:pPr>
    </w:p>
    <w:p w14:paraId="50D17A0B" w14:textId="77777777" w:rsidR="00875C7E" w:rsidRPr="00050E60" w:rsidRDefault="00875C7E" w:rsidP="00891F36">
      <w:pPr>
        <w:ind w:left="0" w:firstLine="0"/>
        <w:rPr>
          <w:szCs w:val="22"/>
          <w:lang w:val="cs-CZ"/>
        </w:rPr>
      </w:pPr>
    </w:p>
    <w:sectPr w:rsidR="00875C7E" w:rsidRPr="00050E60" w:rsidSect="00E30810">
      <w:footerReference w:type="even" r:id="rId15"/>
      <w:footerReference w:type="default" r:id="rId16"/>
      <w:pgSz w:w="11906" w:h="16838" w:code="9"/>
      <w:pgMar w:top="1138" w:right="1411" w:bottom="1138" w:left="1411" w:header="734" w:footer="7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E648D" w14:textId="77777777" w:rsidR="00447092" w:rsidRDefault="00447092">
      <w:r>
        <w:separator/>
      </w:r>
    </w:p>
  </w:endnote>
  <w:endnote w:type="continuationSeparator" w:id="0">
    <w:p w14:paraId="3343AE5D" w14:textId="77777777" w:rsidR="00447092" w:rsidRDefault="0044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08C69" w14:textId="77777777" w:rsidR="00F16B4E" w:rsidRDefault="00F16B4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678EFC" w14:textId="77777777" w:rsidR="00F16B4E" w:rsidRDefault="00F16B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A2B6B" w14:textId="77777777" w:rsidR="00F16B4E" w:rsidRDefault="00F16B4E">
    <w:pPr>
      <w:pStyle w:val="Zpat"/>
      <w:rPr>
        <w:lang w:val="en-GB"/>
      </w:rPr>
    </w:pPr>
  </w:p>
  <w:p w14:paraId="1C5093FF" w14:textId="77777777" w:rsidR="00F16B4E" w:rsidRDefault="00F16B4E">
    <w:pPr>
      <w:pStyle w:val="Zpat"/>
      <w:jc w:val="center"/>
      <w:rPr>
        <w:rFonts w:ascii="Helvetica" w:hAnsi="Helvetica"/>
        <w:sz w:val="16"/>
        <w:lang w:val="en-GB"/>
      </w:rPr>
    </w:pPr>
    <w:r>
      <w:rPr>
        <w:rStyle w:val="slostrnky"/>
        <w:rFonts w:ascii="Helvetica" w:hAnsi="Helvetica"/>
        <w:sz w:val="16"/>
      </w:rPr>
      <w:fldChar w:fldCharType="begin"/>
    </w:r>
    <w:r>
      <w:rPr>
        <w:rStyle w:val="slostrnky"/>
        <w:rFonts w:ascii="Helvetica" w:hAnsi="Helvetica"/>
        <w:sz w:val="16"/>
      </w:rPr>
      <w:instrText xml:space="preserve"> PAGE </w:instrText>
    </w:r>
    <w:r>
      <w:rPr>
        <w:rStyle w:val="slostrnky"/>
        <w:rFonts w:ascii="Helvetica" w:hAnsi="Helvetica"/>
        <w:sz w:val="16"/>
      </w:rPr>
      <w:fldChar w:fldCharType="separate"/>
    </w:r>
    <w:r>
      <w:rPr>
        <w:rStyle w:val="slostrnky"/>
        <w:rFonts w:ascii="Helvetica" w:hAnsi="Helvetica"/>
        <w:noProof/>
        <w:sz w:val="16"/>
      </w:rPr>
      <w:t>9</w:t>
    </w:r>
    <w:r>
      <w:rPr>
        <w:rStyle w:val="slostrnky"/>
        <w:rFonts w:ascii="Helvetica" w:hAnsi="Helvetic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4A9CE" w14:textId="77777777" w:rsidR="00447092" w:rsidRDefault="00447092">
      <w:r>
        <w:separator/>
      </w:r>
    </w:p>
  </w:footnote>
  <w:footnote w:type="continuationSeparator" w:id="0">
    <w:p w14:paraId="55287F80" w14:textId="77777777" w:rsidR="00447092" w:rsidRDefault="00447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432F3F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E0C3C1E"/>
    <w:multiLevelType w:val="hybridMultilevel"/>
    <w:tmpl w:val="BCC6941C"/>
    <w:lvl w:ilvl="0" w:tplc="EE18A19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17A2BAC" w:tentative="1">
      <w:start w:val="1"/>
      <w:numFmt w:val="lowerLetter"/>
      <w:lvlText w:val="%2."/>
      <w:lvlJc w:val="left"/>
      <w:pPr>
        <w:ind w:left="1440" w:hanging="360"/>
      </w:pPr>
    </w:lvl>
    <w:lvl w:ilvl="2" w:tplc="CF0EF4D4" w:tentative="1">
      <w:start w:val="1"/>
      <w:numFmt w:val="lowerRoman"/>
      <w:lvlText w:val="%3."/>
      <w:lvlJc w:val="right"/>
      <w:pPr>
        <w:ind w:left="2160" w:hanging="180"/>
      </w:pPr>
    </w:lvl>
    <w:lvl w:ilvl="3" w:tplc="32EE29D2" w:tentative="1">
      <w:start w:val="1"/>
      <w:numFmt w:val="decimal"/>
      <w:lvlText w:val="%4."/>
      <w:lvlJc w:val="left"/>
      <w:pPr>
        <w:ind w:left="2880" w:hanging="360"/>
      </w:pPr>
    </w:lvl>
    <w:lvl w:ilvl="4" w:tplc="BFC68A9E" w:tentative="1">
      <w:start w:val="1"/>
      <w:numFmt w:val="lowerLetter"/>
      <w:lvlText w:val="%5."/>
      <w:lvlJc w:val="left"/>
      <w:pPr>
        <w:ind w:left="3600" w:hanging="360"/>
      </w:pPr>
    </w:lvl>
    <w:lvl w:ilvl="5" w:tplc="68B2DFC6" w:tentative="1">
      <w:start w:val="1"/>
      <w:numFmt w:val="lowerRoman"/>
      <w:lvlText w:val="%6."/>
      <w:lvlJc w:val="right"/>
      <w:pPr>
        <w:ind w:left="4320" w:hanging="180"/>
      </w:pPr>
    </w:lvl>
    <w:lvl w:ilvl="6" w:tplc="71A2DC2A" w:tentative="1">
      <w:start w:val="1"/>
      <w:numFmt w:val="decimal"/>
      <w:lvlText w:val="%7."/>
      <w:lvlJc w:val="left"/>
      <w:pPr>
        <w:ind w:left="5040" w:hanging="360"/>
      </w:pPr>
    </w:lvl>
    <w:lvl w:ilvl="7" w:tplc="C5AE254A" w:tentative="1">
      <w:start w:val="1"/>
      <w:numFmt w:val="lowerLetter"/>
      <w:lvlText w:val="%8."/>
      <w:lvlJc w:val="left"/>
      <w:pPr>
        <w:ind w:left="5760" w:hanging="360"/>
      </w:pPr>
    </w:lvl>
    <w:lvl w:ilvl="8" w:tplc="CB621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26C38"/>
    <w:multiLevelType w:val="multilevel"/>
    <w:tmpl w:val="2892B748"/>
    <w:lvl w:ilvl="0">
      <w:start w:val="1"/>
      <w:numFmt w:val="decimal"/>
      <w:pStyle w:val="Table1"/>
      <w:lvlText w:val="Table %1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5C3C75"/>
    <w:rsid w:val="00003B97"/>
    <w:rsid w:val="000056C2"/>
    <w:rsid w:val="00014645"/>
    <w:rsid w:val="0002518B"/>
    <w:rsid w:val="00027FD1"/>
    <w:rsid w:val="00041B01"/>
    <w:rsid w:val="00050E60"/>
    <w:rsid w:val="000536FF"/>
    <w:rsid w:val="00055816"/>
    <w:rsid w:val="000601B2"/>
    <w:rsid w:val="00064AC4"/>
    <w:rsid w:val="00072CF3"/>
    <w:rsid w:val="000B230C"/>
    <w:rsid w:val="000C223D"/>
    <w:rsid w:val="000E704F"/>
    <w:rsid w:val="000F3CC8"/>
    <w:rsid w:val="00106169"/>
    <w:rsid w:val="00113C91"/>
    <w:rsid w:val="001151CF"/>
    <w:rsid w:val="00117AE1"/>
    <w:rsid w:val="001201C5"/>
    <w:rsid w:val="00122D8D"/>
    <w:rsid w:val="00126D0D"/>
    <w:rsid w:val="001352F0"/>
    <w:rsid w:val="00151746"/>
    <w:rsid w:val="001517D5"/>
    <w:rsid w:val="00152CB8"/>
    <w:rsid w:val="0016057C"/>
    <w:rsid w:val="0016690D"/>
    <w:rsid w:val="0017782C"/>
    <w:rsid w:val="001801A9"/>
    <w:rsid w:val="00181BBE"/>
    <w:rsid w:val="00184CC5"/>
    <w:rsid w:val="001A129B"/>
    <w:rsid w:val="001A6990"/>
    <w:rsid w:val="001A6A7E"/>
    <w:rsid w:val="001B36D3"/>
    <w:rsid w:val="001C5A36"/>
    <w:rsid w:val="001C69A2"/>
    <w:rsid w:val="001D2056"/>
    <w:rsid w:val="001D2242"/>
    <w:rsid w:val="001D372D"/>
    <w:rsid w:val="001D58C0"/>
    <w:rsid w:val="001E0541"/>
    <w:rsid w:val="001E18B7"/>
    <w:rsid w:val="001E55FA"/>
    <w:rsid w:val="001F09EC"/>
    <w:rsid w:val="002056BD"/>
    <w:rsid w:val="00205B25"/>
    <w:rsid w:val="002061D9"/>
    <w:rsid w:val="00211CEC"/>
    <w:rsid w:val="002226AA"/>
    <w:rsid w:val="00224C64"/>
    <w:rsid w:val="002259ED"/>
    <w:rsid w:val="00226CCF"/>
    <w:rsid w:val="002439DB"/>
    <w:rsid w:val="00247470"/>
    <w:rsid w:val="00247720"/>
    <w:rsid w:val="00247D02"/>
    <w:rsid w:val="00255E68"/>
    <w:rsid w:val="00261C29"/>
    <w:rsid w:val="00263003"/>
    <w:rsid w:val="00264B68"/>
    <w:rsid w:val="00267007"/>
    <w:rsid w:val="00282938"/>
    <w:rsid w:val="00287C7C"/>
    <w:rsid w:val="002B1C1E"/>
    <w:rsid w:val="002C40BA"/>
    <w:rsid w:val="002C6D90"/>
    <w:rsid w:val="002D3440"/>
    <w:rsid w:val="003008FD"/>
    <w:rsid w:val="003012F4"/>
    <w:rsid w:val="00324B9D"/>
    <w:rsid w:val="00326F7A"/>
    <w:rsid w:val="003320AE"/>
    <w:rsid w:val="003359A8"/>
    <w:rsid w:val="003368D3"/>
    <w:rsid w:val="00340076"/>
    <w:rsid w:val="00360147"/>
    <w:rsid w:val="003609D7"/>
    <w:rsid w:val="00367294"/>
    <w:rsid w:val="003678C8"/>
    <w:rsid w:val="00370640"/>
    <w:rsid w:val="00371626"/>
    <w:rsid w:val="00382B17"/>
    <w:rsid w:val="00383E90"/>
    <w:rsid w:val="003860E9"/>
    <w:rsid w:val="0038698F"/>
    <w:rsid w:val="00393029"/>
    <w:rsid w:val="00396D93"/>
    <w:rsid w:val="003B1EC7"/>
    <w:rsid w:val="003C58F5"/>
    <w:rsid w:val="003C7F3A"/>
    <w:rsid w:val="003D0463"/>
    <w:rsid w:val="003D33A7"/>
    <w:rsid w:val="003E6A43"/>
    <w:rsid w:val="003E7868"/>
    <w:rsid w:val="003F3935"/>
    <w:rsid w:val="004011DC"/>
    <w:rsid w:val="0040157F"/>
    <w:rsid w:val="0041784F"/>
    <w:rsid w:val="00430D0D"/>
    <w:rsid w:val="00432E16"/>
    <w:rsid w:val="00436343"/>
    <w:rsid w:val="00443DA0"/>
    <w:rsid w:val="00447092"/>
    <w:rsid w:val="004527B8"/>
    <w:rsid w:val="00476A86"/>
    <w:rsid w:val="00486F6B"/>
    <w:rsid w:val="004901DF"/>
    <w:rsid w:val="00492F56"/>
    <w:rsid w:val="00493F59"/>
    <w:rsid w:val="004A01DF"/>
    <w:rsid w:val="004A7EBF"/>
    <w:rsid w:val="004C12E7"/>
    <w:rsid w:val="004C5D63"/>
    <w:rsid w:val="004C5E71"/>
    <w:rsid w:val="004E2A69"/>
    <w:rsid w:val="004E2B15"/>
    <w:rsid w:val="004E364E"/>
    <w:rsid w:val="0050671A"/>
    <w:rsid w:val="00516EA4"/>
    <w:rsid w:val="00517149"/>
    <w:rsid w:val="00520CC0"/>
    <w:rsid w:val="00521C8D"/>
    <w:rsid w:val="0052360E"/>
    <w:rsid w:val="00523770"/>
    <w:rsid w:val="00531211"/>
    <w:rsid w:val="0053250A"/>
    <w:rsid w:val="00535844"/>
    <w:rsid w:val="00544F09"/>
    <w:rsid w:val="00550279"/>
    <w:rsid w:val="0055106B"/>
    <w:rsid w:val="00561107"/>
    <w:rsid w:val="005637FB"/>
    <w:rsid w:val="00564C68"/>
    <w:rsid w:val="005728C9"/>
    <w:rsid w:val="0058094B"/>
    <w:rsid w:val="00591AF8"/>
    <w:rsid w:val="005A0742"/>
    <w:rsid w:val="005A60CB"/>
    <w:rsid w:val="005B6404"/>
    <w:rsid w:val="005C0872"/>
    <w:rsid w:val="005C3C75"/>
    <w:rsid w:val="005C4375"/>
    <w:rsid w:val="005C4FC7"/>
    <w:rsid w:val="005C5F30"/>
    <w:rsid w:val="005D06E2"/>
    <w:rsid w:val="005D0C4F"/>
    <w:rsid w:val="005D264A"/>
    <w:rsid w:val="005D2B7F"/>
    <w:rsid w:val="005E1BE3"/>
    <w:rsid w:val="005E2FB6"/>
    <w:rsid w:val="005F7095"/>
    <w:rsid w:val="00611AC9"/>
    <w:rsid w:val="006139D6"/>
    <w:rsid w:val="00624037"/>
    <w:rsid w:val="00631988"/>
    <w:rsid w:val="00635724"/>
    <w:rsid w:val="0064345E"/>
    <w:rsid w:val="0064516D"/>
    <w:rsid w:val="00647679"/>
    <w:rsid w:val="006534E0"/>
    <w:rsid w:val="00663BCE"/>
    <w:rsid w:val="00666903"/>
    <w:rsid w:val="00671C62"/>
    <w:rsid w:val="00686E7A"/>
    <w:rsid w:val="0069116C"/>
    <w:rsid w:val="006A142D"/>
    <w:rsid w:val="006A1965"/>
    <w:rsid w:val="006B13EE"/>
    <w:rsid w:val="006B5C4F"/>
    <w:rsid w:val="006C3B79"/>
    <w:rsid w:val="006C671A"/>
    <w:rsid w:val="006D0EEB"/>
    <w:rsid w:val="006D4230"/>
    <w:rsid w:val="006E06EC"/>
    <w:rsid w:val="00700F82"/>
    <w:rsid w:val="00704EF4"/>
    <w:rsid w:val="00705C65"/>
    <w:rsid w:val="007070A6"/>
    <w:rsid w:val="00707E8A"/>
    <w:rsid w:val="007109A2"/>
    <w:rsid w:val="00713D39"/>
    <w:rsid w:val="00733D4A"/>
    <w:rsid w:val="0075053F"/>
    <w:rsid w:val="00755105"/>
    <w:rsid w:val="00761204"/>
    <w:rsid w:val="00761D98"/>
    <w:rsid w:val="00770A50"/>
    <w:rsid w:val="00783DAD"/>
    <w:rsid w:val="0079138D"/>
    <w:rsid w:val="00795689"/>
    <w:rsid w:val="007A1BBC"/>
    <w:rsid w:val="007B1821"/>
    <w:rsid w:val="007B3FE6"/>
    <w:rsid w:val="007C4327"/>
    <w:rsid w:val="007E1B85"/>
    <w:rsid w:val="007F4B23"/>
    <w:rsid w:val="007F4E9E"/>
    <w:rsid w:val="007F77FC"/>
    <w:rsid w:val="00804ECC"/>
    <w:rsid w:val="00806D6C"/>
    <w:rsid w:val="008102B2"/>
    <w:rsid w:val="008269AA"/>
    <w:rsid w:val="00827116"/>
    <w:rsid w:val="00830512"/>
    <w:rsid w:val="008452EB"/>
    <w:rsid w:val="008562D7"/>
    <w:rsid w:val="008605AA"/>
    <w:rsid w:val="00865B41"/>
    <w:rsid w:val="00875C7E"/>
    <w:rsid w:val="00877AD5"/>
    <w:rsid w:val="0088212B"/>
    <w:rsid w:val="00891F36"/>
    <w:rsid w:val="00892CDD"/>
    <w:rsid w:val="00892F66"/>
    <w:rsid w:val="008A066F"/>
    <w:rsid w:val="008A2BA3"/>
    <w:rsid w:val="008B5EE2"/>
    <w:rsid w:val="008C60D3"/>
    <w:rsid w:val="008C78D6"/>
    <w:rsid w:val="008D5849"/>
    <w:rsid w:val="008E60A9"/>
    <w:rsid w:val="008F2AB4"/>
    <w:rsid w:val="00901A83"/>
    <w:rsid w:val="00901AEA"/>
    <w:rsid w:val="0091026C"/>
    <w:rsid w:val="0092349C"/>
    <w:rsid w:val="00926512"/>
    <w:rsid w:val="00935283"/>
    <w:rsid w:val="00935B31"/>
    <w:rsid w:val="009413E0"/>
    <w:rsid w:val="00944173"/>
    <w:rsid w:val="00953B67"/>
    <w:rsid w:val="009812DF"/>
    <w:rsid w:val="00987685"/>
    <w:rsid w:val="00996BE0"/>
    <w:rsid w:val="009A3961"/>
    <w:rsid w:val="009A5794"/>
    <w:rsid w:val="009A5E42"/>
    <w:rsid w:val="009B2EFD"/>
    <w:rsid w:val="009B3675"/>
    <w:rsid w:val="009B3FD0"/>
    <w:rsid w:val="009B6826"/>
    <w:rsid w:val="009C126F"/>
    <w:rsid w:val="009C4ED8"/>
    <w:rsid w:val="009D698D"/>
    <w:rsid w:val="009E1932"/>
    <w:rsid w:val="009F00A1"/>
    <w:rsid w:val="009F2AF0"/>
    <w:rsid w:val="009F2F19"/>
    <w:rsid w:val="009F6678"/>
    <w:rsid w:val="00A05038"/>
    <w:rsid w:val="00A05099"/>
    <w:rsid w:val="00A142CC"/>
    <w:rsid w:val="00A322B6"/>
    <w:rsid w:val="00A32341"/>
    <w:rsid w:val="00A323E6"/>
    <w:rsid w:val="00A32D4C"/>
    <w:rsid w:val="00A42E25"/>
    <w:rsid w:val="00A4382C"/>
    <w:rsid w:val="00A65945"/>
    <w:rsid w:val="00A67508"/>
    <w:rsid w:val="00A76446"/>
    <w:rsid w:val="00A82D0F"/>
    <w:rsid w:val="00A97708"/>
    <w:rsid w:val="00A97AD5"/>
    <w:rsid w:val="00AA02F2"/>
    <w:rsid w:val="00AA27BA"/>
    <w:rsid w:val="00AB471F"/>
    <w:rsid w:val="00AC5A65"/>
    <w:rsid w:val="00AC69AC"/>
    <w:rsid w:val="00AD2225"/>
    <w:rsid w:val="00AF0050"/>
    <w:rsid w:val="00AF388E"/>
    <w:rsid w:val="00B12BFC"/>
    <w:rsid w:val="00B15BE2"/>
    <w:rsid w:val="00B17482"/>
    <w:rsid w:val="00B44082"/>
    <w:rsid w:val="00B52B67"/>
    <w:rsid w:val="00B53D88"/>
    <w:rsid w:val="00B56062"/>
    <w:rsid w:val="00B5640D"/>
    <w:rsid w:val="00B77876"/>
    <w:rsid w:val="00B83F38"/>
    <w:rsid w:val="00B90E42"/>
    <w:rsid w:val="00B9703D"/>
    <w:rsid w:val="00BA4D42"/>
    <w:rsid w:val="00BA670C"/>
    <w:rsid w:val="00BA7400"/>
    <w:rsid w:val="00BA77C4"/>
    <w:rsid w:val="00BB66D9"/>
    <w:rsid w:val="00BC6E79"/>
    <w:rsid w:val="00BE1021"/>
    <w:rsid w:val="00BE4C97"/>
    <w:rsid w:val="00BF0245"/>
    <w:rsid w:val="00BF3563"/>
    <w:rsid w:val="00BF6C8A"/>
    <w:rsid w:val="00C0171A"/>
    <w:rsid w:val="00C073EC"/>
    <w:rsid w:val="00C114D8"/>
    <w:rsid w:val="00C14973"/>
    <w:rsid w:val="00C22E78"/>
    <w:rsid w:val="00C2655C"/>
    <w:rsid w:val="00C335A1"/>
    <w:rsid w:val="00C44E34"/>
    <w:rsid w:val="00C60839"/>
    <w:rsid w:val="00C61448"/>
    <w:rsid w:val="00C61DA5"/>
    <w:rsid w:val="00C75BFC"/>
    <w:rsid w:val="00C860C9"/>
    <w:rsid w:val="00CA09C7"/>
    <w:rsid w:val="00CA664B"/>
    <w:rsid w:val="00CA758C"/>
    <w:rsid w:val="00CB14C0"/>
    <w:rsid w:val="00CB22E4"/>
    <w:rsid w:val="00CC032F"/>
    <w:rsid w:val="00CC304A"/>
    <w:rsid w:val="00CC7673"/>
    <w:rsid w:val="00CD6F3E"/>
    <w:rsid w:val="00CE4D19"/>
    <w:rsid w:val="00CE5DF5"/>
    <w:rsid w:val="00CE7F39"/>
    <w:rsid w:val="00CF1721"/>
    <w:rsid w:val="00CF2FC3"/>
    <w:rsid w:val="00CF7BF4"/>
    <w:rsid w:val="00D00450"/>
    <w:rsid w:val="00D16A98"/>
    <w:rsid w:val="00D1702E"/>
    <w:rsid w:val="00D178C0"/>
    <w:rsid w:val="00D3114C"/>
    <w:rsid w:val="00D347E9"/>
    <w:rsid w:val="00D40185"/>
    <w:rsid w:val="00D467BB"/>
    <w:rsid w:val="00D60AF0"/>
    <w:rsid w:val="00D62973"/>
    <w:rsid w:val="00D75BCB"/>
    <w:rsid w:val="00D76308"/>
    <w:rsid w:val="00D80B0C"/>
    <w:rsid w:val="00D92042"/>
    <w:rsid w:val="00D9254C"/>
    <w:rsid w:val="00DA2F97"/>
    <w:rsid w:val="00DB2C7E"/>
    <w:rsid w:val="00DC3EED"/>
    <w:rsid w:val="00DD503C"/>
    <w:rsid w:val="00DE09BA"/>
    <w:rsid w:val="00DE0EFA"/>
    <w:rsid w:val="00DE3B7D"/>
    <w:rsid w:val="00DE53C3"/>
    <w:rsid w:val="00DE6F74"/>
    <w:rsid w:val="00DF5121"/>
    <w:rsid w:val="00DF6A9A"/>
    <w:rsid w:val="00E022DB"/>
    <w:rsid w:val="00E03890"/>
    <w:rsid w:val="00E16734"/>
    <w:rsid w:val="00E2128A"/>
    <w:rsid w:val="00E23AC8"/>
    <w:rsid w:val="00E24CC1"/>
    <w:rsid w:val="00E24E3C"/>
    <w:rsid w:val="00E30810"/>
    <w:rsid w:val="00E32AC4"/>
    <w:rsid w:val="00E52EBC"/>
    <w:rsid w:val="00E55A0C"/>
    <w:rsid w:val="00E55C2C"/>
    <w:rsid w:val="00E57582"/>
    <w:rsid w:val="00E64B0D"/>
    <w:rsid w:val="00E66204"/>
    <w:rsid w:val="00E7295F"/>
    <w:rsid w:val="00E75923"/>
    <w:rsid w:val="00E84EC4"/>
    <w:rsid w:val="00E951D7"/>
    <w:rsid w:val="00EB6DBA"/>
    <w:rsid w:val="00ED37FE"/>
    <w:rsid w:val="00EE1685"/>
    <w:rsid w:val="00EE1AE9"/>
    <w:rsid w:val="00F07C2A"/>
    <w:rsid w:val="00F1085B"/>
    <w:rsid w:val="00F162C8"/>
    <w:rsid w:val="00F16B4E"/>
    <w:rsid w:val="00F27BFA"/>
    <w:rsid w:val="00F27FC6"/>
    <w:rsid w:val="00F3305C"/>
    <w:rsid w:val="00F42FF6"/>
    <w:rsid w:val="00F43316"/>
    <w:rsid w:val="00F44147"/>
    <w:rsid w:val="00F44857"/>
    <w:rsid w:val="00F64A0A"/>
    <w:rsid w:val="00F8033D"/>
    <w:rsid w:val="00F91CF6"/>
    <w:rsid w:val="00FA3FD5"/>
    <w:rsid w:val="00FB4392"/>
    <w:rsid w:val="00FD5EC2"/>
    <w:rsid w:val="00FE2202"/>
    <w:rsid w:val="00FE6CDB"/>
    <w:rsid w:val="00FF2D26"/>
    <w:rsid w:val="00FF3A0B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980499"/>
  <w15:chartTrackingRefBased/>
  <w15:docId w15:val="{E1E22ACE-568A-294E-940D-BC820FBD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23E6"/>
    <w:pPr>
      <w:ind w:left="567" w:hanging="567"/>
    </w:pPr>
    <w:rPr>
      <w:sz w:val="22"/>
      <w:szCs w:val="24"/>
      <w:lang w:val="sk-SK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vysvtlivek">
    <w:name w:val="endnote text"/>
    <w:basedOn w:val="Normln"/>
    <w:semiHidden/>
    <w:pPr>
      <w:tabs>
        <w:tab w:val="left" w:pos="567"/>
      </w:tabs>
    </w:pPr>
    <w:rPr>
      <w:szCs w:val="20"/>
      <w:lang w:val="en-GB" w:eastAsia="en-US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kladntext">
    <w:name w:val="Body Text"/>
    <w:basedOn w:val="Normln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paragraph" w:styleId="Zkladntextodsazen3">
    <w:name w:val="Body Text Indent 3"/>
    <w:basedOn w:val="Normln"/>
    <w:pPr>
      <w:tabs>
        <w:tab w:val="left" w:pos="567"/>
      </w:tabs>
    </w:pPr>
    <w:rPr>
      <w:snapToGrid w:val="0"/>
      <w:szCs w:val="22"/>
      <w:lang w:val="en-GB" w:eastAsia="en-GB"/>
    </w:rPr>
  </w:style>
  <w:style w:type="paragraph" w:customStyle="1" w:styleId="BalloonText1">
    <w:name w:val="Balloon Text1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2">
    <w:name w:val="Body Text 2"/>
    <w:basedOn w:val="Normln"/>
    <w:link w:val="Zkladntext2Char"/>
    <w:pPr>
      <w:ind w:left="0" w:firstLine="0"/>
    </w:pPr>
  </w:style>
  <w:style w:type="paragraph" w:styleId="Seznamsodrkami">
    <w:name w:val="List Bullet"/>
    <w:basedOn w:val="Normln"/>
    <w:autoRedefine/>
    <w:pPr>
      <w:numPr>
        <w:numId w:val="1"/>
      </w:numPr>
      <w:tabs>
        <w:tab w:val="left" w:pos="567"/>
      </w:tabs>
      <w:spacing w:line="260" w:lineRule="exact"/>
    </w:pPr>
    <w:rPr>
      <w:szCs w:val="20"/>
      <w:lang w:val="en-GB"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05038"/>
    <w:rPr>
      <w:sz w:val="22"/>
      <w:szCs w:val="24"/>
      <w:lang w:val="sk-SK"/>
    </w:rPr>
  </w:style>
  <w:style w:type="paragraph" w:customStyle="1" w:styleId="Table1">
    <w:name w:val="Table1"/>
    <w:basedOn w:val="Normln"/>
    <w:next w:val="Normln"/>
    <w:pPr>
      <w:numPr>
        <w:numId w:val="2"/>
      </w:numPr>
      <w:outlineLvl w:val="0"/>
    </w:pPr>
    <w:rPr>
      <w:rFonts w:ascii="Arial" w:hAnsi="Arial"/>
      <w:b/>
      <w:i/>
      <w:szCs w:val="20"/>
      <w:lang w:val="en-GB" w:eastAsia="en-GB"/>
    </w:rPr>
  </w:style>
  <w:style w:type="paragraph" w:styleId="Bezmezer">
    <w:name w:val="No Spacing"/>
    <w:uiPriority w:val="1"/>
    <w:qFormat/>
    <w:rsid w:val="00A05038"/>
    <w:rPr>
      <w:rFonts w:ascii="Calibri" w:eastAsia="DengXian" w:hAnsi="Calibri" w:cs="Arial"/>
      <w:sz w:val="22"/>
      <w:szCs w:val="22"/>
      <w:lang w:val="de-DE"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A050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050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05099"/>
    <w:rPr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5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5099"/>
    <w:rPr>
      <w:b/>
      <w:bCs/>
      <w:lang w:val="sk-SK"/>
    </w:rPr>
  </w:style>
  <w:style w:type="paragraph" w:customStyle="1" w:styleId="Style1">
    <w:name w:val="Style1"/>
    <w:basedOn w:val="Normln"/>
    <w:qFormat/>
    <w:rsid w:val="00A05099"/>
    <w:pPr>
      <w:tabs>
        <w:tab w:val="left" w:pos="0"/>
      </w:tabs>
    </w:pPr>
    <w:rPr>
      <w:b/>
      <w:szCs w:val="22"/>
      <w:lang w:val="cs-CZ" w:eastAsia="en-US"/>
    </w:rPr>
  </w:style>
  <w:style w:type="paragraph" w:customStyle="1" w:styleId="Style3">
    <w:name w:val="Style3"/>
    <w:basedOn w:val="Normln"/>
    <w:qFormat/>
    <w:rsid w:val="00C61DA5"/>
    <w:pPr>
      <w:numPr>
        <w:numId w:val="3"/>
      </w:numPr>
      <w:jc w:val="center"/>
    </w:pPr>
    <w:rPr>
      <w:b/>
      <w:szCs w:val="22"/>
      <w:lang w:val="cs-CZ" w:eastAsia="en-US"/>
    </w:rPr>
  </w:style>
  <w:style w:type="character" w:customStyle="1" w:styleId="Zkladntext2Char">
    <w:name w:val="Základní text 2 Char"/>
    <w:basedOn w:val="Standardnpsmoodstavce"/>
    <w:link w:val="Zkladntext2"/>
    <w:rsid w:val="00830512"/>
    <w:rPr>
      <w:sz w:val="22"/>
      <w:szCs w:val="24"/>
      <w:lang w:val="sk-SK"/>
    </w:rPr>
  </w:style>
  <w:style w:type="character" w:styleId="Nevyeenzmnka">
    <w:name w:val="Unresolved Mention"/>
    <w:basedOn w:val="Standardnpsmoodstavce"/>
    <w:uiPriority w:val="99"/>
    <w:semiHidden/>
    <w:unhideWhenUsed/>
    <w:rsid w:val="000C2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6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C19FE0F7F848AF3EF01C796F4799" ma:contentTypeVersion="21" ma:contentTypeDescription="Create a new document." ma:contentTypeScope="" ma:versionID="9e563b6c681431e430dd56ed5e7e95cb">
  <xsd:schema xmlns:xsd="http://www.w3.org/2001/XMLSchema" xmlns:xs="http://www.w3.org/2001/XMLSchema" xmlns:p="http://schemas.microsoft.com/office/2006/metadata/properties" xmlns:ns1="http://schemas.microsoft.com/sharepoint/v3" xmlns:ns2="475dbe14-e6e6-4e48-9d0c-f2238cd72264" xmlns:ns3="0fa7ed56-613c-4591-82d0-5d1e7e244400" xmlns:ns4="e47812bf-c8f0-415c-9dc6-756594725798" targetNamespace="http://schemas.microsoft.com/office/2006/metadata/properties" ma:root="true" ma:fieldsID="9c6c1bbedb1f3fb1916c65e9da8887a2" ns1:_="" ns2:_="" ns3:_="" ns4:_="">
    <xsd:import namespace="http://schemas.microsoft.com/sharepoint/v3"/>
    <xsd:import namespace="475dbe14-e6e6-4e48-9d0c-f2238cd72264"/>
    <xsd:import namespace="0fa7ed56-613c-4591-82d0-5d1e7e244400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e14-e6e6-4e48-9d0c-f2238cd7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ed56-613c-4591-82d0-5d1e7e244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eb77d-c86c-46c8-bb1a-ef1fe6f7e9c9}" ma:internalName="TaxCatchAll" ma:showField="CatchAllData" ma:web="0fa7ed56-613c-4591-82d0-5d1e7e244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75dbe14-e6e6-4e48-9d0c-f2238cd72264" xsi:nil="true"/>
    <lcf76f155ced4ddcb4097134ff3c332f xmlns="475dbe14-e6e6-4e48-9d0c-f2238cd72264">
      <Terms xmlns="http://schemas.microsoft.com/office/infopath/2007/PartnerControls"/>
    </lcf76f155ced4ddcb4097134ff3c332f>
    <TaxCatchAll xmlns="e47812bf-c8f0-415c-9dc6-75659472579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A1E59-8589-457D-9F61-FC3AE7C50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5dbe14-e6e6-4e48-9d0c-f2238cd72264"/>
    <ds:schemaRef ds:uri="0fa7ed56-613c-4591-82d0-5d1e7e244400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C9CB0F-5D2C-405E-B7E1-D0D7C52D8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912206-5491-49A5-93DF-688836806EBF}">
  <ds:schemaRefs>
    <ds:schemaRef ds:uri="http://schemas.microsoft.com/office/2006/metadata/properties"/>
    <ds:schemaRef ds:uri="http://schemas.microsoft.com/office/infopath/2007/PartnerControls"/>
    <ds:schemaRef ds:uri="475dbe14-e6e6-4e48-9d0c-f2238cd72264"/>
    <ds:schemaRef ds:uri="e47812bf-c8f0-415c-9dc6-75659472579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13410B0-1534-438E-A97D-4D00004C26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1191</Words>
  <Characters>7027</Characters>
  <Application>Microsoft Office Word</Application>
  <DocSecurity>0</DocSecurity>
  <Lines>58</Lines>
  <Paragraphs>16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PRÍLOHA I</vt:lpstr>
      <vt:lpstr>PRÍLOHA I</vt:lpstr>
      <vt:lpstr>PRÍLOHA I</vt:lpstr>
    </vt:vector>
  </TitlesOfParts>
  <Company>Translation Centre</Company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I</dc:title>
  <dc:subject>General-EMEA/266654/2005</dc:subject>
  <dc:creator>Kadleckova,Linda (AH RA_PV_CO) BI-CZ-P</dc:creator>
  <cp:keywords/>
  <cp:lastModifiedBy>Nepejchalová Leona</cp:lastModifiedBy>
  <cp:revision>163</cp:revision>
  <cp:lastPrinted>2026-03-17T17:43:00Z</cp:lastPrinted>
  <dcterms:created xsi:type="dcterms:W3CDTF">2023-04-11T11:50:00Z</dcterms:created>
  <dcterms:modified xsi:type="dcterms:W3CDTF">2026-03-17T17:43:00Z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General-EMEA/266654/2005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V01a SK SPC-II-lab-pl v.7</vt:lpwstr>
  </property>
  <property fmtid="{D5CDD505-2E9C-101B-9397-08002B2CF9AE}" pid="9" name="DM_Owner">
    <vt:lpwstr>Prizzi Monica</vt:lpwstr>
  </property>
  <property fmtid="{D5CDD505-2E9C-101B-9397-08002B2CF9AE}" pid="10" name="DM_Creation_Date">
    <vt:lpwstr>16/08/2005 10:48:54</vt:lpwstr>
  </property>
  <property fmtid="{D5CDD505-2E9C-101B-9397-08002B2CF9AE}" pid="11" name="DM_Creator_Name">
    <vt:lpwstr>Prizzi Monica</vt:lpwstr>
  </property>
  <property fmtid="{D5CDD505-2E9C-101B-9397-08002B2CF9AE}" pid="12" name="DM_Modifer_Name">
    <vt:lpwstr>Prizzi Monica</vt:lpwstr>
  </property>
  <property fmtid="{D5CDD505-2E9C-101B-9397-08002B2CF9AE}" pid="13" name="DM_Modified_Date">
    <vt:lpwstr>16/08/2005 10:48:54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</vt:lpwstr>
  </property>
  <property fmtid="{D5CDD505-2E9C-101B-9397-08002B2CF9AE}" pid="16" name="DM_emea_doc_ref_id">
    <vt:lpwstr>EMEA/266654/2005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266654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2005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ContentTypeId">
    <vt:lpwstr>0x010100D0E6C19FE0F7F848AF3EF01C796F4799</vt:lpwstr>
  </property>
  <property fmtid="{D5CDD505-2E9C-101B-9397-08002B2CF9AE}" pid="33" name="MediaServiceImageTags">
    <vt:lpwstr/>
  </property>
</Properties>
</file>