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4ACD7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AD7A3F9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DBA689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34A45B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3622D03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865C5A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35B569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215423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49AC2C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030057E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D4F968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14DA3B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A8E56A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19F4744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67DEC8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7E87F7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D6ED271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F8C2D91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FBCD889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ACBD6D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8FDAC21" w14:textId="426545D5" w:rsidR="00776595" w:rsidRPr="0007030D" w:rsidRDefault="00DA2740" w:rsidP="00776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 xml:space="preserve">B: </w:t>
      </w:r>
      <w:r w:rsidR="00776595"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PŘÍBALOVÁ INFORMACE</w:t>
      </w:r>
    </w:p>
    <w:p w14:paraId="26C1467B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br w:type="page"/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lastRenderedPageBreak/>
        <w:t>PŘÍBALOVÁ INFORMACE</w:t>
      </w:r>
    </w:p>
    <w:p w14:paraId="5FB9A404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FD6044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06F9F18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Název veterinárního léčivého přípravku</w:t>
      </w:r>
    </w:p>
    <w:p w14:paraId="55371A4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DF82FB3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Modulis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100 mg/ml perorální roztok pro psy</w:t>
      </w:r>
    </w:p>
    <w:p w14:paraId="754AA869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C2BC1C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5B6A07A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2.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Složení</w:t>
      </w:r>
    </w:p>
    <w:p w14:paraId="0A373B5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3EC5C57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Každý ml obsahuje:</w:t>
      </w:r>
    </w:p>
    <w:p w14:paraId="1D9F2004" w14:textId="32B79E99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Léčivé látky:</w:t>
      </w:r>
    </w:p>
    <w:p w14:paraId="7C9C0BF2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Ciclosporinum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……………………………...100 mg</w:t>
      </w:r>
    </w:p>
    <w:p w14:paraId="0983429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Pomocné látky:</w:t>
      </w:r>
    </w:p>
    <w:p w14:paraId="0B9E887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Tokoferol-alfa (E-</w:t>
      </w:r>
      <w:proofErr w:type="gram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307)…</w:t>
      </w:r>
      <w:proofErr w:type="gram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………...1,00 mg</w:t>
      </w:r>
    </w:p>
    <w:p w14:paraId="5BE68031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8D9489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Bezbarvý až nažloutlý opaleskující roztok. Může být pozorován závoj, drobné vločky nebo mírný</w:t>
      </w:r>
    </w:p>
    <w:p w14:paraId="52C34B6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sediment.</w:t>
      </w:r>
    </w:p>
    <w:p w14:paraId="2931B519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2FD3667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3.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Cílové druhy zvířat</w:t>
      </w:r>
    </w:p>
    <w:p w14:paraId="771D01B4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ED752F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Psi.</w:t>
      </w:r>
    </w:p>
    <w:p w14:paraId="1597DD2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E0CC75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B480CBA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4.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Indikace pro použití</w:t>
      </w:r>
    </w:p>
    <w:p w14:paraId="261D175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515EB74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Léčba chronických projevů atopické dermatitidy u psů.</w:t>
      </w:r>
    </w:p>
    <w:p w14:paraId="74F6A27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4C3D3E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7A5E82A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5.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Kontraindikace</w:t>
      </w:r>
    </w:p>
    <w:p w14:paraId="12C86E86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E44C74C" w14:textId="0901AAB9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Nepoužívat v případech přecitlivělosti na cyklosporin nebo na některou z pomocných látek.</w:t>
      </w:r>
    </w:p>
    <w:p w14:paraId="1F9E866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Nepoužívat u psů mladších než šest měsíců, nebo o hmotnosti nižší než 2 kg.</w:t>
      </w:r>
    </w:p>
    <w:p w14:paraId="1F97D8F1" w14:textId="1FFF2CE3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Nepoužívat u případů s anamnézou nádorových onemocnění nebo p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rogresivních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nádorových onemocnění.</w:t>
      </w:r>
    </w:p>
    <w:p w14:paraId="1F6A6B1F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 průběhu léčby nebo v průběhu dvou týdnů před zahájením léčby nebo po jejím ukončení nevakcinujte ošetřované zvíře živými vakcínami (viz také body „Zvláštní opatření pro použití“ a „Interakce s dalšími léčivými přípravky a další formy interakce“).</w:t>
      </w:r>
    </w:p>
    <w:p w14:paraId="509C485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69142A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DB5ACFE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6.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upozornění</w:t>
      </w:r>
    </w:p>
    <w:p w14:paraId="1DBA874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7E59EE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upozornění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5F0E603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Při zahájení léčby cyklosporinem by mělo být zváženo použití dalších opatření a/nebo léčby k</w:t>
      </w:r>
    </w:p>
    <w:p w14:paraId="458DABFE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potlačení středního až silného svědění.</w:t>
      </w:r>
    </w:p>
    <w:p w14:paraId="670C07D6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395916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bezpečné použití u cílových druhů zvířat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2BF81581" w14:textId="61BDA3B6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Klinické příznaky atopické dermatitidy, jako je svědění a zánět kůže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nejsou pro toto onemocnění specifické, a proto musí být před zahájením léčby vyloučeny jiné příčiny zánětu kůže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jako je napadení 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ekto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parazity, jiné alergie, které vyvolávají kožní příznaky (např. bleší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alergickou dermatitidu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nebo 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alergii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na krmivo) nebo bakteriální a plísňové infekce. Před léčbou a během léčby atopické dermatitidy se doporučuje léčit napadení blechami.</w:t>
      </w:r>
    </w:p>
    <w:p w14:paraId="675DBDB8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Před podáním tohoto veterinárního léčivého přípravku se doporučuje nejprve vyléčit bakteriální a mykotické infekce.</w:t>
      </w:r>
    </w:p>
    <w:p w14:paraId="12441D1B" w14:textId="433E6B43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lastRenderedPageBreak/>
        <w:t xml:space="preserve">Nicméně infekce, které se vyskytnou v průběhu léčby, nejde-li o závažné infekce, nejsou nutně důvodem pro ukončení podávání 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veterinárního léčivého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přípravku.</w:t>
      </w:r>
    </w:p>
    <w:p w14:paraId="5A1D3F71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Před zahájením léčby se musí provést kompletní klinické vyšetření. Protože cyklosporin inhibuje T-lymfocyty, a přestože nevyvolá vznik nádorů, může jeho použití vést ke zvýšené incidenci klinických zhoubných nádorových onemocnění v důsledku snížení protinádorové imunitní odpovědi.</w:t>
      </w:r>
    </w:p>
    <w:p w14:paraId="2F17B974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Lymfadenopatie pozorována při léčbě cyklosporinem by měla být pravidelně sledována.</w:t>
      </w:r>
    </w:p>
    <w:p w14:paraId="3C326418" w14:textId="000C3D5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 laboratorních zvířat může cyklosporin ovlivňovat hladiny inzul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i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nu v krvi a zvyšovat hodnoty glykémie. V případě výskytu příznaků poukazujících na diabetes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mellitus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musí být sledován účinek léčby glykémie. Pokud se v souvislosti s použitím veterinárního léčivého přípravku pozorují příznaky diabetes mellitus, např. polyurie nebo polydipsie, je nutné snížit podávanou dávku nebo ukončit podávání 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veterinárního léčivého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přípravku a vyhledat 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 péči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 Nedoporučuje se podávat cyklosporin u psů s diabetes mellitus.</w:t>
      </w:r>
    </w:p>
    <w:p w14:paraId="7436B519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 psů s těžkou nedostatečností ledvin musí být pečlivě monitorována hladina kreatininu.</w:t>
      </w:r>
    </w:p>
    <w:p w14:paraId="71CE6BC0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Zvláštní pozornost musí být věnována vakcinaci. Léčba tímto veterinárním léčivým přípravkem může ovlivnit účinnost vakcinace. V případě inaktivovaných vakcín se nedoporučuje vakcinovat v průběhu léčby nebo v období dvou týdnů před zahájením léčby nebo po jejím ukončení. Pro živé vakcíny viz také bod „Kontraindikace“.</w:t>
      </w:r>
    </w:p>
    <w:p w14:paraId="1708A5B4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Nedoporučuje se současně používat jiná imunosupresiva.</w:t>
      </w:r>
    </w:p>
    <w:p w14:paraId="41C9B51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235373A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osobu, která podává veterinární léčivý přípravek zvířatům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7E94A048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Náhodné požití tohoto veterinárního léčivého přípravku může vést k nevolnosti a/nebo zvracení. Aby se zabránilo náhodnému požití, musí být veterinární léčivý přípravek používán a uchováván mimo dosah dětí. Nenechávejte naplněnou stříkačku v přítomnosti dětí bez dozoru. V případě náhodného požití, zejména dítětem, vyhledejte ihned lékařskou pomoc a ukažte příbalovou informaci nebo etiketu praktickému lékaři.</w:t>
      </w:r>
    </w:p>
    <w:p w14:paraId="26D5DFDF" w14:textId="7099DCB6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Cyklosporin může </w:t>
      </w:r>
      <w:r w:rsidR="003F7E9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vyvolat 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hypersenzitivní (alergické) reakce. Lidé se známou přecitlivělostí na cyklosporin by se měli vyhnout kontaktu s veterinárním léčivým přípravkem.</w:t>
      </w:r>
    </w:p>
    <w:p w14:paraId="75FA2F45" w14:textId="59B535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Podráždění očí je nepravděpodobné. Jako preventivní opatření se vyvarujte kontaktu s očima. V případě kontaktu </w:t>
      </w:r>
      <w:r w:rsidR="003F7E9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oči 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důkladně opláchněte čistou vodou. Po použití si umyjte ruce a </w:t>
      </w:r>
      <w:r w:rsidR="003F7E9F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veškerou exponovanou 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pokožku.</w:t>
      </w:r>
    </w:p>
    <w:p w14:paraId="19F4724A" w14:textId="77777777" w:rsidR="00776595" w:rsidRPr="0007030D" w:rsidRDefault="00776595" w:rsidP="00776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</w:pPr>
    </w:p>
    <w:p w14:paraId="51D13D0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Březost a laktace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631FF017" w14:textId="59B20C3F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Bezpečnost veterinárního léčivého přípravku nebyla zkoumána u chovných psů (samců) ani u březích </w:t>
      </w:r>
      <w:r w:rsidR="0025055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nebo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laktujících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fen. Z důvodu absence těchto studií u psů je doporučeno, aby se veterinární léčivý přípravek u chovných psů používal pouze po zvážení terapeutického prospěchu a rizika příslušným veterinárním lékařem. Cyklosporin prochází placentou a je vylučován mlékem. Proto se léčba u kojících fen nedoporučuje.</w:t>
      </w:r>
    </w:p>
    <w:p w14:paraId="5B4A906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69378EB" w14:textId="5E5EA13F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Interakce s jinými léčivými přípravky a další formy interakce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7292A89C" w14:textId="1E8CB185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Je </w:t>
      </w:r>
      <w:r w:rsidR="0025055C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prokázán</w:t>
      </w:r>
      <w:r w:rsidR="0025055C"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, že různé látky kompetitivně inhibují nebo indukují enzymy zapojené do metabolismu cyklosporinu, zejména cytochrom P450 (CYP </w:t>
      </w:r>
      <w:proofErr w:type="gram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3A</w:t>
      </w:r>
      <w:proofErr w:type="gram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4). V některých klinicky odůvodněných případech může být nutná úprava dávkování veterinárního léčivého přípravku. Je prokázáno, že ketokonazol v dávce 5–10 mg/kg zvyšuje krevní koncentrace cyklosporinu u psů až pětinásobně, což je považováno za klinicky významný účinek. Při současném podávání ketokonazolu a cyklosporinu by měl veterinární lékař zvážit jako praktické opatření zdvojnásobení intervalu léčby, pokud je pes v léčebném režimu, kdy je </w:t>
      </w:r>
      <w:r w:rsidR="0025055C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veterinární léčivý 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přípravek podáván každý den.</w:t>
      </w:r>
    </w:p>
    <w:p w14:paraId="7F5B4F52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Makrolidová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antibiotika jako 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erythromycin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mohou zvyšovat plazmatické hladiny cyklosporinu až dvojnásobně.</w:t>
      </w:r>
    </w:p>
    <w:p w14:paraId="6CFEF74B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Některé induktory cytochromu P450, antikonvulziva a 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antimikrobika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(např. 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trimethoprim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/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sulfadimidin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) mohou snižovat plazmatickou koncentraci cyklosporinu.</w:t>
      </w:r>
    </w:p>
    <w:p w14:paraId="0C61F7DA" w14:textId="1682EC9F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Cyklosporin je substrátem a inhibitorem transportéru MDR1 P-glykoproteinu. Současné podávání cyklosporinu se substráty P-glykoproteinů, např. s 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makrocyklickými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laktony (např. </w:t>
      </w:r>
      <w:proofErr w:type="spellStart"/>
      <w:r w:rsidR="0025055C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i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vermektin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a 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milbemycin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), může proto snižovat účinnost 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efluxu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těchto léčiv z buněk hematoencefalické bariéry, což může vést ke vzniku příznaků toxických neuropatií CNS.</w:t>
      </w:r>
    </w:p>
    <w:p w14:paraId="256E2690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lastRenderedPageBreak/>
        <w:t xml:space="preserve">Cyklosporin může zvyšovat 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nefrotoxicitu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aminoglykosidových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antibiotik a </w:t>
      </w:r>
      <w:proofErr w:type="spellStart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trimethoprimu</w:t>
      </w:r>
      <w:proofErr w:type="spellEnd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. Současné užívání cyklosporinu s těmito léčivými látkami se nedoporučuje.</w:t>
      </w:r>
    </w:p>
    <w:p w14:paraId="0DCA16EA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Zvláštní pozornost se musí věnovat vakcinaci (viz body „Kontraindikace“ a „Zvláštní opatření pro použití“). Současné použití imunosupresiv: viz bod „Zvláštní opatření pro použití“.</w:t>
      </w:r>
    </w:p>
    <w:p w14:paraId="1CDDD61E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56BFED7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Předávkování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1B1C2B97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 psů nebyly po podání jednorázové perorální dávky až 6tinásobně převyšující doporučenou dávku pozorovány žádné jiné nežádoucí účinky než ty, které jsou pozorovány po doporučené léčebné dávce.</w:t>
      </w:r>
    </w:p>
    <w:p w14:paraId="22C0FD26" w14:textId="4F68EA6E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Kromě účinků pozorovaných po aplikaci doporučeného dávkování byly hlášeny následující nežádoucí účinky pozorované při předávkování po dobu 3 měsíců nebo déle v dávkách 4krát překračujících střední doporučenou dávku: oblasti hyperkeratózy zejména na ušních boltcích, zrohovatělé léze na polštářcích, úbytek hmotnosti nebo snížení přírůstků hmotnosti,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hypertrichóza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, zvýšená sedimentace erytrocytů, snížení hodnot eozinofilů. Frekvence a závažnost těchto nežádoucích účinků je závislá na dávce. </w:t>
      </w:r>
    </w:p>
    <w:p w14:paraId="60BC649B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Neexistuje žádné specifické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antidotum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 v případě příznaků předávkování je třeba psa léčit symptomaticky. Příznaky vymizí během 2 měsíců po ukončení léčby.</w:t>
      </w:r>
    </w:p>
    <w:p w14:paraId="366C8B4A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D286ED2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Hlavní inkompatibility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13305F6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1C9E397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92CEF85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7.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Nežádoucí účinky</w:t>
      </w:r>
    </w:p>
    <w:p w14:paraId="4BEDAF16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7862BCE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Psi:</w:t>
      </w:r>
    </w:p>
    <w:p w14:paraId="7EF4CE1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776595" w:rsidRPr="0007030D" w14:paraId="3A1C0509" w14:textId="77777777" w:rsidTr="007402CE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4336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Časté</w:t>
            </w:r>
          </w:p>
          <w:p w14:paraId="56292AC9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(1 až 10 zvířat / 100 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3565" w14:textId="06F667B0" w:rsidR="00776595" w:rsidRPr="0007030D" w:rsidRDefault="00613937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Hlenovitý</w:t>
            </w:r>
            <w:r w:rsidR="00776595"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 xml:space="preserve"> trus</w:t>
            </w:r>
            <w:r w:rsidR="00776595"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1</w:t>
            </w:r>
            <w:r w:rsidR="00776595"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, měkký trus</w:t>
            </w:r>
            <w:r w:rsidR="00776595"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1</w:t>
            </w:r>
          </w:p>
        </w:tc>
      </w:tr>
      <w:tr w:rsidR="00776595" w:rsidRPr="0007030D" w14:paraId="1F1D9612" w14:textId="77777777" w:rsidTr="007402CE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FD97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Méně časté</w:t>
            </w:r>
          </w:p>
          <w:p w14:paraId="14826319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(1 až 10 zvířat / 1 000 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765E" w14:textId="35F489BA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Hypera</w:t>
            </w:r>
            <w:r w:rsidR="00613937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k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tivita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1</w:t>
            </w:r>
          </w:p>
          <w:p w14:paraId="1D69EE82" w14:textId="22BE8598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Kožní léze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 xml:space="preserve">1 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(</w:t>
            </w:r>
            <w:r w:rsidR="00613937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např.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 xml:space="preserve"> </w:t>
            </w:r>
            <w:r w:rsidR="00613937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verukóz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ní léze</w:t>
            </w:r>
            <w:r w:rsidR="00613937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 xml:space="preserve"> (podobné bradavicím)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, změna srsti)</w:t>
            </w:r>
          </w:p>
          <w:p w14:paraId="03EFBC75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Slabost svalů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1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, svalové křeče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1</w:t>
            </w:r>
            <w:r w:rsidRPr="0007030D"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  <w:tab/>
            </w:r>
          </w:p>
        </w:tc>
      </w:tr>
      <w:tr w:rsidR="00776595" w:rsidRPr="0007030D" w14:paraId="4C2478FD" w14:textId="77777777" w:rsidTr="007402CE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E18B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Vzácné</w:t>
            </w:r>
          </w:p>
          <w:p w14:paraId="68636364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(1 až 10 zvířat / 10 000 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19F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Zvracení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</w:t>
            </w:r>
          </w:p>
        </w:tc>
      </w:tr>
      <w:tr w:rsidR="00776595" w:rsidRPr="0007030D" w14:paraId="1899E318" w14:textId="77777777" w:rsidTr="007402CE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4ECA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Velmi vzácné</w:t>
            </w:r>
          </w:p>
          <w:p w14:paraId="40D55CCC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C78A" w14:textId="3B6BCF08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Průjem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, hyperplazie dásní</w:t>
            </w:r>
            <w:r w:rsidR="00613937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 xml:space="preserve"> (přerůstání dásní)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</w:t>
            </w:r>
          </w:p>
          <w:p w14:paraId="79D4D345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Letargie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, anorexie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</w:t>
            </w:r>
          </w:p>
          <w:p w14:paraId="74B9EB9C" w14:textId="0217D24B" w:rsidR="00776595" w:rsidRPr="0007030D" w:rsidRDefault="00613937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Iritace</w:t>
            </w:r>
            <w:r w:rsidR="00776595"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 xml:space="preserve"> ušních boltců</w:t>
            </w:r>
            <w:r w:rsidR="00776595"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2</w:t>
            </w:r>
          </w:p>
          <w:p w14:paraId="1B90AF18" w14:textId="77777777" w:rsidR="00776595" w:rsidRPr="0007030D" w:rsidRDefault="00776595" w:rsidP="007402CE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iCs/>
                <w:kern w:val="0"/>
                <w:lang w:val="cs-CZ"/>
                <w14:ligatures w14:val="none"/>
              </w:rPr>
              <w:t>Diabetes mellitus</w:t>
            </w:r>
            <w:r w:rsidRPr="0007030D">
              <w:rPr>
                <w:rFonts w:ascii="Times New Roman" w:eastAsia="Times New Roman" w:hAnsi="Times New Roman" w:cs="Times New Roman"/>
                <w:iCs/>
                <w:kern w:val="0"/>
                <w:vertAlign w:val="superscript"/>
                <w:lang w:val="cs-CZ"/>
                <w14:ligatures w14:val="none"/>
              </w:rPr>
              <w:t>3</w:t>
            </w:r>
          </w:p>
        </w:tc>
      </w:tr>
    </w:tbl>
    <w:p w14:paraId="62A9CC1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1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Uvedené účinky obvykle samovolně vymizí po ukončení léčby.</w:t>
      </w:r>
    </w:p>
    <w:p w14:paraId="27083773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2</w:t>
      </w:r>
      <w:r w:rsidRPr="0007030D">
        <w:rPr>
          <w:rFonts w:ascii="TimesNewRomanPSMT" w:eastAsia="Times New Roman" w:hAnsi="TimesNewRomanPSMT" w:cs="TimesNewRomanPSMT"/>
          <w:kern w:val="0"/>
          <w:lang w:val="cs-CZ" w:eastAsia="en-GB"/>
          <w14:ligatures w14:val="none"/>
        </w:rPr>
        <w:t xml:space="preserve">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Tyto příznaky jsou mírné a přechodné a obvykle nevyžadují ukončení léčby.</w:t>
      </w:r>
    </w:p>
    <w:p w14:paraId="0143F22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3</w:t>
      </w:r>
      <w:r w:rsidRPr="0007030D">
        <w:rPr>
          <w:rFonts w:ascii="TimesNewRomanPSMT" w:eastAsia="Times New Roman" w:hAnsi="TimesNewRomanPSMT" w:cs="TimesNewRomanPSMT"/>
          <w:kern w:val="0"/>
          <w:lang w:val="cs-CZ" w:eastAsia="en-GB"/>
          <w14:ligatures w14:val="none"/>
        </w:rPr>
        <w:t xml:space="preserve">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Zejména u jedinců plemene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west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highland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white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teriér.</w:t>
      </w:r>
    </w:p>
    <w:p w14:paraId="26AC63B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656387A9" w14:textId="77777777" w:rsidR="00776595" w:rsidRPr="0007030D" w:rsidRDefault="00776595" w:rsidP="00DA27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bookmarkStart w:id="0" w:name="_Hlk184640527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</w:t>
      </w:r>
    </w:p>
    <w:p w14:paraId="365846B2" w14:textId="77777777" w:rsidR="00776595" w:rsidRPr="0007030D" w:rsidRDefault="00776595" w:rsidP="00DA27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bookmarkEnd w:id="0"/>
    <w:p w14:paraId="739CEE82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Ústav pro státní kontrolu veterinárních biopreparátů a léčiv </w:t>
      </w:r>
    </w:p>
    <w:p w14:paraId="6676D4E1" w14:textId="74F16D19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Hudcova 232/</w:t>
      </w:r>
      <w:proofErr w:type="gram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56a</w:t>
      </w:r>
      <w:proofErr w:type="gram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</w:p>
    <w:p w14:paraId="77D1AC0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621 00 Brno</w:t>
      </w:r>
    </w:p>
    <w:p w14:paraId="41C279A4" w14:textId="6CF360F9" w:rsidR="00776595" w:rsidRPr="0007030D" w:rsidRDefault="00613937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</w:t>
      </w:r>
      <w:r w:rsidR="00776595"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-mail: </w:t>
      </w:r>
      <w:hyperlink r:id="rId6" w:history="1">
        <w:r w:rsidRPr="009572B0">
          <w:rPr>
            <w:rStyle w:val="Hypertextovodkaz"/>
            <w:rFonts w:ascii="Times New Roman" w:eastAsia="Times New Roman" w:hAnsi="Times New Roman" w:cs="Times New Roman"/>
            <w:kern w:val="0"/>
            <w:lang w:val="cs-CZ"/>
            <w14:ligatures w14:val="none"/>
          </w:rPr>
          <w:t>adr@uskvbl.cz</w:t>
        </w:r>
      </w:hyperlink>
      <w:r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</w:p>
    <w:p w14:paraId="68CC7552" w14:textId="06BDBC62" w:rsidR="00613937" w:rsidRDefault="00613937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672C7">
        <w:rPr>
          <w:rFonts w:ascii="Times New Roman" w:hAnsi="Times New Roman" w:cs="Times New Roman"/>
        </w:rPr>
        <w:lastRenderedPageBreak/>
        <w:t>tel.: +420 720 940 693</w:t>
      </w:r>
    </w:p>
    <w:p w14:paraId="5CC1596D" w14:textId="5D7EE963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Webové stránky: </w:t>
      </w:r>
      <w:hyperlink r:id="rId7" w:history="1">
        <w:r w:rsidRPr="0007030D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http://www.uskvbl.cz/cs/farmakovigilance</w:t>
        </w:r>
      </w:hyperlink>
    </w:p>
    <w:p w14:paraId="00908411" w14:textId="6F3A8DE1" w:rsidR="00776595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3461D78A" w14:textId="77777777" w:rsidR="007C2ACA" w:rsidRPr="0007030D" w:rsidRDefault="007C2ACA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43272F02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8.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Dávkování pro každý druh, cesty a způsob podání</w:t>
      </w:r>
    </w:p>
    <w:p w14:paraId="5143275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849CC3E" w14:textId="4FDC2B44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Perorální podání.</w:t>
      </w:r>
    </w:p>
    <w:p w14:paraId="622D158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Před zahájením léčby by mělo být provedeno vyhodnocení všech alternativních možností léčby.</w:t>
      </w:r>
    </w:p>
    <w:p w14:paraId="769ECB6E" w14:textId="25AD2392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Střední doporučená dávka cyklosporinu je 5 mg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/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kg ž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ivé hmotnosti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; 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což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odpovídá 0,5 ml 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veterinárního léčivého přípravku/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10 kg ž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ivé hmotnosti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44EF256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57BF183" w14:textId="77777777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 léčivý přípravek se na počátku léčby podává jedenkrát denně, dokud není pozorováno uspokojivé klinické zlepšení. Tento účinek se obvykle dostaví v průběhu 4 týdnů. Pokud se během prvních 8 týdnů nedostaví žádná klinická odezva, měla by být léčba ukončena.</w:t>
      </w:r>
    </w:p>
    <w:p w14:paraId="1EECEE6E" w14:textId="63664F29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Jakmile je dosaženo dostatečného ústupu klinických projevů atopické dermatitidy, lze následně veterinární léčivý přípravek podávat dále každý druhý den jako udržovací dávku. Veterinární lékař by měl v pravidelných intervalech hodnotit klinický stav pacienta a podle dosažené klinické odpovědi upravovat frekvenci podávání 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veterinárního léčivého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přípravku.</w:t>
      </w:r>
    </w:p>
    <w:p w14:paraId="0283C283" w14:textId="71659816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 některých případech, kdy je dosaženo klinického ústupu příznaků při dávkování každý druhý den, může veterinární lékař rozhodnout o režimu podávání 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veterinárního léčivého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přípravku každý 3. až 4. den. Pro udržení remise klinických příznaků by měla být použita nejnižší efektivní frekvence podávání veterinárního léčivého přípravku.</w:t>
      </w:r>
    </w:p>
    <w:p w14:paraId="13C9D92F" w14:textId="1E306FF6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Před snížením frekvence podávání veterinárního léčivého přípravku může být zvážena doplňková léčba (např. </w:t>
      </w:r>
      <w:proofErr w:type="spellStart"/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m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edikované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šampony, esenciální mastné kyseliny). Stav pacientů by měl být pravidelně znovu hodnocen a 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měly by být posuzovány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možnosti alternativní léčby. </w:t>
      </w:r>
    </w:p>
    <w:p w14:paraId="419D9F64" w14:textId="43440244" w:rsidR="00776595" w:rsidRPr="0007030D" w:rsidRDefault="00776595" w:rsidP="0077659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Léčbu je možné ukončit, jakmile klinické příznaky ustoupí. Při recidivě klinických příznaků by léčba měla být znovu zahájena v režimu dávkování jedenkrát denně a v některých případech mohou být nutné opakované léčebné 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kúry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56F89C77" w14:textId="64E80391" w:rsidR="00776595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3DDC85D" w14:textId="77777777" w:rsidR="007C2ACA" w:rsidRPr="0007030D" w:rsidRDefault="007C2ACA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A97529B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9.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Informace o správném podávání</w:t>
      </w:r>
    </w:p>
    <w:p w14:paraId="3A48C1D3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4409A5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 léčivý přípravek by měl být podáván nejméně 2 hodiny před nebo po krmení.</w:t>
      </w:r>
    </w:p>
    <w:p w14:paraId="0D6EAC0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9CAD5B2" w14:textId="2317B2A3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 léčivý přípravek by měl být podáván přímo do dutiny ústní psa.</w:t>
      </w:r>
    </w:p>
    <w:p w14:paraId="2574F43E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</w:pPr>
    </w:p>
    <w:p w14:paraId="12CABB8E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Pokyny pro použití</w:t>
      </w:r>
    </w:p>
    <w:p w14:paraId="0689DF93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Zatlačte na šroubovací uzávěr a odšroubujte jej.</w:t>
      </w:r>
    </w:p>
    <w:p w14:paraId="6D593ABE" w14:textId="5F2CD913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Vložte aplikátor určený pro dávkování 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veterinárního léčivého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přípravku do plastové zátky uzpůsobené k odběru 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veterinárního léčivého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přípravku</w:t>
      </w:r>
      <w:r w:rsidR="0061393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z lahvičky.</w:t>
      </w:r>
    </w:p>
    <w:p w14:paraId="132F719A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noProof/>
          <w:kern w:val="0"/>
          <w:szCs w:val="20"/>
          <w:lang w:val="cs-CZ"/>
          <w14:ligatures w14:val="none"/>
        </w:rPr>
        <w:drawing>
          <wp:anchor distT="0" distB="0" distL="114300" distR="114300" simplePos="0" relativeHeight="251659264" behindDoc="0" locked="0" layoutInCell="1" allowOverlap="1" wp14:anchorId="33CE4D98" wp14:editId="0C838AA0">
            <wp:simplePos x="0" y="0"/>
            <wp:positionH relativeFrom="column">
              <wp:posOffset>-1270</wp:posOffset>
            </wp:positionH>
            <wp:positionV relativeFrom="paragraph">
              <wp:posOffset>1905</wp:posOffset>
            </wp:positionV>
            <wp:extent cx="895350" cy="1228725"/>
            <wp:effectExtent l="0" t="0" r="0" b="9525"/>
            <wp:wrapSquare wrapText="bothSides"/>
            <wp:docPr id="12" name="Obrázok 4" descr="Obrázok, na ktorom je náčrt, obrysy, kresba, detské kresb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rázok, na ktorom je náčrt, obrysy, kresba, detské kresby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5EE0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Otočte lahvičku/aplikátor dnem vzhůru a pomalu táhněte za píst, dokud bílá linka na pístu neodpovídá dávce stanovené Vaším veterinárním lékařem. Aplikátor je kalibrovaný v kg a v ml.</w:t>
      </w:r>
    </w:p>
    <w:p w14:paraId="302A18AE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5A018847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07D5E70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340DE711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14664EF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Tlakem na píst vyprázdněte obsah aplikátoru přímo do dutiny ústní.</w:t>
      </w:r>
    </w:p>
    <w:p w14:paraId="33F13B9E" w14:textId="33856992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Aplikátor při podávání </w:t>
      </w:r>
      <w:r w:rsidR="0061393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veterinárního léčivého 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přípravku umístěte buď na stranu dutiny ústní, nebo na jazyk.</w:t>
      </w:r>
    </w:p>
    <w:p w14:paraId="4888F1F7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noProof/>
          <w:kern w:val="0"/>
          <w:szCs w:val="20"/>
          <w:lang w:val="cs-CZ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2D69DDC3" wp14:editId="516D602C">
            <wp:simplePos x="0" y="0"/>
            <wp:positionH relativeFrom="column">
              <wp:posOffset>-1270</wp:posOffset>
            </wp:positionH>
            <wp:positionV relativeFrom="paragraph">
              <wp:posOffset>3175</wp:posOffset>
            </wp:positionV>
            <wp:extent cx="1115695" cy="716280"/>
            <wp:effectExtent l="0" t="0" r="8255" b="7620"/>
            <wp:wrapThrough wrapText="bothSides">
              <wp:wrapPolygon edited="0">
                <wp:start x="0" y="0"/>
                <wp:lineTo x="0" y="21255"/>
                <wp:lineTo x="21391" y="21255"/>
                <wp:lineTo x="21391" y="0"/>
                <wp:lineTo x="0" y="0"/>
              </wp:wrapPolygon>
            </wp:wrapThrough>
            <wp:docPr id="13" name="Obrázok 3" descr="Obrázok, na ktorom je náčrt, kresba, detské kresby, obrys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rázok, na ktorom je náčrt, kresba, detské kresby, obrysy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77B34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Pokud je to nutné, otřete vnější povrch aplikátoru suchým ubrouskem a použitý ubrousek neprodleně neškodně odstraňte. Uzavřete lahvičku a aplikátor uzavřete k tomuto účelu vyhrazeným uzávěrem k zabránění kontaminace a úniku zbytku veterinárního léčivého přípravku.</w:t>
      </w:r>
    </w:p>
    <w:p w14:paraId="41FE580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5582D73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bCs/>
          <w:kern w:val="0"/>
          <w:szCs w:val="20"/>
          <w:lang w:val="cs-CZ"/>
          <w14:ligatures w14:val="none"/>
        </w:rPr>
        <w:t>Pro lahvičky o objemu 5 a 15 ml</w:t>
      </w:r>
    </w:p>
    <w:p w14:paraId="1787ED7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Podávaný objem za použití aplikátoru o objemu 1 ml: 0,05 ml/kg, tj. 1 dílek/kg</w:t>
      </w:r>
    </w:p>
    <w:p w14:paraId="54ADD1C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val="cs-CZ"/>
          <w14:ligatures w14:val="none"/>
        </w:rPr>
      </w:pPr>
    </w:p>
    <w:p w14:paraId="2B56DB66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bCs/>
          <w:kern w:val="0"/>
          <w:szCs w:val="20"/>
          <w:lang w:val="cs-CZ"/>
          <w14:ligatures w14:val="none"/>
        </w:rPr>
        <w:t>Pro lahvičky o objemu 30 a 50 ml</w:t>
      </w:r>
    </w:p>
    <w:p w14:paraId="3E2BB2C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Podávaný objem za použití aplikátoru o objemu 2 ml: 0,1 ml/2 kg, tj. 1 dílek/2 kg</w:t>
      </w:r>
    </w:p>
    <w:p w14:paraId="2D76EE5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46A1415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Pro zajištění správného dávkování je třeba co nejpřesněji stanovit živou hmotnost.</w:t>
      </w:r>
    </w:p>
    <w:p w14:paraId="33555F82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6D3DC61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75E4F4E2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10.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Ochranné lhůty</w:t>
      </w:r>
    </w:p>
    <w:p w14:paraId="6B93799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13AD4B16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Neuplatňuje se.</w:t>
      </w:r>
    </w:p>
    <w:p w14:paraId="7A2656BE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2BDAA95E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7EA035D0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11.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uchovávání</w:t>
      </w:r>
    </w:p>
    <w:p w14:paraId="633D7561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7CCFE27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Uchovávejte mimo dohled a dosah dětí.</w:t>
      </w:r>
    </w:p>
    <w:p w14:paraId="1E3EF7EF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0BA5686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Uchovávejte lahvičku v krabičce.</w:t>
      </w:r>
    </w:p>
    <w:p w14:paraId="3796568E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Doba použitelnosti po prvním otevření vnitřního obalu: 3 měsíce.</w:t>
      </w:r>
    </w:p>
    <w:p w14:paraId="1D835370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5224BEF6" w14:textId="0582C9DC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Nepoužívejte tento veterinární léčivý přípravek po uplynutí doby použitelnosti, uvedené na krabičce a na štítku lahvičky po Exp. Doba použitelnosti končí posledním dnem v uvedeném měsíci.</w:t>
      </w:r>
    </w:p>
    <w:p w14:paraId="66BEC3F3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F702049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Chraňte před chladem.</w:t>
      </w:r>
    </w:p>
    <w:p w14:paraId="4B9376A5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Přípravek obsahuje tukové složky přírodního původu, které mohou při nižších teplotách tuhnout. Při</w:t>
      </w:r>
    </w:p>
    <w:p w14:paraId="733B87E2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teplotách nižších než 20 °C může docházet ke vzniku gelu podobné konzistence, která je však při</w:t>
      </w:r>
    </w:p>
    <w:p w14:paraId="4DD8D12D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teplotách do 30 °C plně vratná. Mohou být pozorovány drobné vločky nebo mírný sediment. To však</w:t>
      </w:r>
    </w:p>
    <w:p w14:paraId="11DD90BB" w14:textId="77777777" w:rsidR="00776595" w:rsidRPr="0007030D" w:rsidRDefault="00776595" w:rsidP="0077659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neovlivňuje dávkování ani účinnost a bezpečnost přípravku.</w:t>
      </w:r>
    </w:p>
    <w:p w14:paraId="7C060031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D4242BA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20694D7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12.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likvidaci</w:t>
      </w:r>
    </w:p>
    <w:p w14:paraId="1188C996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7AA2BE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Léčivé přípravky se nesmí likvidovat prostřednictvím odpadní vody či domovního odpadu.</w:t>
      </w:r>
    </w:p>
    <w:p w14:paraId="6663F1E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344C7DF" w14:textId="77777777" w:rsidR="00776595" w:rsidRPr="0007030D" w:rsidRDefault="00776595" w:rsidP="00776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0B48763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8BA9E7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 možnostech likvidace nepotřebných léčivých přípravků se poraďte s vaším veterinárním lékařem nebo lékárníkem.</w:t>
      </w:r>
    </w:p>
    <w:p w14:paraId="3A5EB36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val="cs-CZ"/>
          <w14:ligatures w14:val="none"/>
        </w:rPr>
      </w:pPr>
    </w:p>
    <w:p w14:paraId="5E14F3F2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val="cs-CZ"/>
          <w14:ligatures w14:val="none"/>
        </w:rPr>
      </w:pPr>
    </w:p>
    <w:p w14:paraId="64DF64FA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13.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Klasifikace veterinárních léčivých přípravků</w:t>
      </w:r>
    </w:p>
    <w:p w14:paraId="6931B16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26F6315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 léčivý přípravek je vydáván pouze na předpis.</w:t>
      </w:r>
    </w:p>
    <w:p w14:paraId="7638EBFA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0C1BD6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38AC08D" w14:textId="77777777" w:rsidR="00776595" w:rsidRPr="0007030D" w:rsidRDefault="00776595" w:rsidP="007C2ACA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lastRenderedPageBreak/>
        <w:t>14.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Registrační čísla a velikosti balení</w:t>
      </w:r>
    </w:p>
    <w:p w14:paraId="1D09AF4D" w14:textId="77777777" w:rsidR="00776595" w:rsidRPr="0007030D" w:rsidRDefault="00776595" w:rsidP="007C2ACA">
      <w:pPr>
        <w:keepNext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796E64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96/078/15-C</w:t>
      </w:r>
    </w:p>
    <w:p w14:paraId="130D87C1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91DB14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Velikosti balení:</w:t>
      </w:r>
    </w:p>
    <w:p w14:paraId="532778F4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5ml lahvička s 1ml perorálním aplikátorem v kartonové krabičce</w:t>
      </w:r>
    </w:p>
    <w:p w14:paraId="2C57FDA6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15ml lahvička s 1ml perorálním aplikátorem v kartonové krabičce</w:t>
      </w:r>
    </w:p>
    <w:p w14:paraId="46AA92BC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30ml lahvička s 2ml perorálním aplikátorem v kartonové krabičce</w:t>
      </w:r>
    </w:p>
    <w:p w14:paraId="18CC1070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50ml lahvička s 2ml perorálním aplikátorem v kartonové krabičce</w:t>
      </w:r>
    </w:p>
    <w:p w14:paraId="679F5FDE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82DB6EA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Na trhu nemusí být všechny velikosti balení.</w:t>
      </w:r>
    </w:p>
    <w:p w14:paraId="3CCF2518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1CEEDB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A83A509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15.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Datum poslední revize příbalové informace</w:t>
      </w:r>
    </w:p>
    <w:p w14:paraId="175F0C6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46CC0B6" w14:textId="219C789E" w:rsidR="00776595" w:rsidRPr="0007030D" w:rsidRDefault="00911697" w:rsidP="00776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10</w:t>
      </w:r>
      <w:r w:rsidR="0061393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/2025</w:t>
      </w:r>
    </w:p>
    <w:p w14:paraId="4B29DD69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01FD013" w14:textId="77777777" w:rsidR="00776595" w:rsidRPr="007C2ACA" w:rsidRDefault="00776595" w:rsidP="007C2AC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7C2ACA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Podrobné informace o tomto veterinárním léčivém přípravku jsou k dispozici v databázi přípravků Unie </w:t>
      </w:r>
      <w:r w:rsidRPr="007C2ACA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(</w:t>
      </w:r>
      <w:hyperlink r:id="rId10" w:history="1">
        <w:r w:rsidRPr="007C2ACA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https://medicines.health.europa.eu/veterinary</w:t>
        </w:r>
      </w:hyperlink>
      <w:r w:rsidRPr="007C2ACA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).</w:t>
      </w:r>
    </w:p>
    <w:p w14:paraId="7F7E34F3" w14:textId="77777777" w:rsidR="00776595" w:rsidRPr="007C2ACA" w:rsidRDefault="00776595" w:rsidP="007C2AC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0F30807" w14:textId="77777777" w:rsidR="00911697" w:rsidRPr="00911697" w:rsidRDefault="00911697" w:rsidP="0091169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bookmarkStart w:id="1" w:name="_Hlk148432335"/>
      <w:r w:rsidRPr="0091169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Podrobné informace o tomto veterinárním léčivém přípravku naleznete také v národní databázi (</w:t>
      </w:r>
      <w:hyperlink r:id="rId11" w:history="1">
        <w:r w:rsidRPr="00911697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:lang w:val="cs-CZ"/>
            <w14:ligatures w14:val="none"/>
          </w:rPr>
          <w:t>https://www.uskvbl.cz</w:t>
        </w:r>
      </w:hyperlink>
      <w:r w:rsidRPr="0091169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).</w:t>
      </w:r>
      <w:bookmarkStart w:id="2" w:name="_GoBack"/>
      <w:bookmarkEnd w:id="2"/>
    </w:p>
    <w:bookmarkEnd w:id="1"/>
    <w:p w14:paraId="66631E52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38F13BF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2F545B4" w14:textId="77777777" w:rsidR="00776595" w:rsidRPr="0007030D" w:rsidRDefault="00776595" w:rsidP="0077659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16.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Kontaktní údaje</w:t>
      </w:r>
    </w:p>
    <w:p w14:paraId="367FD086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06F7F1E" w14:textId="77777777" w:rsidR="00776595" w:rsidRPr="0007030D" w:rsidRDefault="00776595" w:rsidP="00776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bookmarkStart w:id="3" w:name="_Hlk73552578"/>
      <w:r w:rsidRPr="0007030D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>Držitel rozhodnutí o registraci a kontaktní údaje pro hlášení podezření na nežádoucí účinky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bookmarkEnd w:id="3"/>
    <w:p w14:paraId="306C84F4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Ceva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Santé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Animale</w:t>
      </w:r>
    </w:p>
    <w:p w14:paraId="4E35636D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8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rue</w:t>
      </w:r>
      <w:proofErr w:type="spellEnd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de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Logrono</w:t>
      </w:r>
      <w:proofErr w:type="spellEnd"/>
    </w:p>
    <w:p w14:paraId="71341DD1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33500 </w:t>
      </w:r>
      <w:proofErr w:type="spellStart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Libourne</w:t>
      </w:r>
      <w:proofErr w:type="spellEnd"/>
    </w:p>
    <w:p w14:paraId="7768D73B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Francie</w:t>
      </w:r>
    </w:p>
    <w:p w14:paraId="0C15D977" w14:textId="77777777" w:rsidR="00776595" w:rsidRPr="0007030D" w:rsidRDefault="00776595" w:rsidP="00776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bookmarkStart w:id="4" w:name="_Hlk161520717"/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Email: </w:t>
      </w:r>
      <w:hyperlink r:id="rId12" w:history="1">
        <w:r w:rsidRPr="0007030D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:lang w:val="cs-CZ"/>
            <w14:ligatures w14:val="none"/>
          </w:rPr>
          <w:t>pharmacovigilance@ceva.com</w:t>
        </w:r>
      </w:hyperlink>
      <w:bookmarkEnd w:id="4"/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, </w:t>
      </w:r>
      <w:hyperlink r:id="rId13" w:history="1">
        <w:r w:rsidRPr="0007030D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ceva@ceva-ah.sk</w:t>
        </w:r>
      </w:hyperlink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07030D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 xml:space="preserve">  </w:t>
      </w:r>
    </w:p>
    <w:p w14:paraId="3D44546A" w14:textId="77777777" w:rsidR="00776595" w:rsidRPr="0007030D" w:rsidRDefault="00776595" w:rsidP="00776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Tel: 00 800 35 22 11 51 </w:t>
      </w:r>
    </w:p>
    <w:p w14:paraId="01674A77" w14:textId="77777777" w:rsidR="00776595" w:rsidRPr="0007030D" w:rsidRDefault="00776595" w:rsidP="0077659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2A0768B" w14:textId="77777777" w:rsidR="00776595" w:rsidRPr="0007030D" w:rsidRDefault="00776595" w:rsidP="00776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07030D">
        <w:rPr>
          <w:rFonts w:ascii="Times New Roman" w:eastAsia="Times New Roman" w:hAnsi="Times New Roman" w:cs="Times New Roman"/>
          <w:bCs/>
          <w:kern w:val="0"/>
          <w:u w:val="single"/>
          <w:lang w:val="cs-CZ"/>
          <w14:ligatures w14:val="none"/>
        </w:rPr>
        <w:t>Výrobce odpovědný za uvolnění šarže</w:t>
      </w:r>
      <w:r w:rsidRPr="000703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0"/>
        <w:gridCol w:w="2667"/>
        <w:gridCol w:w="2029"/>
        <w:gridCol w:w="1986"/>
      </w:tblGrid>
      <w:tr w:rsidR="00776595" w:rsidRPr="0007030D" w14:paraId="67908869" w14:textId="77777777" w:rsidTr="007402CE">
        <w:trPr>
          <w:trHeight w:val="520"/>
        </w:trPr>
        <w:tc>
          <w:tcPr>
            <w:tcW w:w="2425" w:type="dxa"/>
            <w:hideMark/>
          </w:tcPr>
          <w:p w14:paraId="10F09EFF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Ceva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Santé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Animale</w:t>
            </w:r>
          </w:p>
          <w:p w14:paraId="7A105C3F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Boulevard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de la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Communication</w:t>
            </w:r>
            <w:proofErr w:type="spellEnd"/>
          </w:p>
          <w:p w14:paraId="60AFE541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Zone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Autoroutière</w:t>
            </w:r>
            <w:proofErr w:type="spellEnd"/>
          </w:p>
          <w:p w14:paraId="56FADEEE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53950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Louverné</w:t>
            </w:r>
            <w:proofErr w:type="spellEnd"/>
          </w:p>
          <w:p w14:paraId="71473503" w14:textId="2418B69F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Franc</w:t>
            </w:r>
            <w:r w:rsidR="007E51C7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i</w:t>
            </w: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e</w:t>
            </w: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ab/>
            </w:r>
          </w:p>
          <w:p w14:paraId="53C9AB26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2728" w:type="dxa"/>
          </w:tcPr>
          <w:p w14:paraId="7AB7C2C4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Laboratoires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Biové</w:t>
            </w:r>
            <w:proofErr w:type="spellEnd"/>
          </w:p>
          <w:p w14:paraId="76B7E3F8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3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rue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de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Lorraine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</w:p>
          <w:p w14:paraId="07B18A39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62510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Arques</w:t>
            </w:r>
            <w:proofErr w:type="spellEnd"/>
          </w:p>
          <w:p w14:paraId="41105A30" w14:textId="6322AB28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Franc</w:t>
            </w:r>
            <w:r w:rsidR="007E51C7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i</w:t>
            </w: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e</w:t>
            </w:r>
          </w:p>
          <w:p w14:paraId="2B60C718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</w:p>
        </w:tc>
        <w:tc>
          <w:tcPr>
            <w:tcW w:w="2067" w:type="dxa"/>
            <w:hideMark/>
          </w:tcPr>
          <w:p w14:paraId="3AC2AD86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Ceva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Santé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Animale</w:t>
            </w:r>
          </w:p>
          <w:p w14:paraId="5987C44C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Zone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industrielle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Très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le</w:t>
            </w:r>
            <w:proofErr w:type="spellEnd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Bois</w:t>
            </w:r>
            <w:proofErr w:type="spellEnd"/>
          </w:p>
          <w:p w14:paraId="4882708D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 xml:space="preserve">22600 </w:t>
            </w:r>
            <w:proofErr w:type="spellStart"/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Loudéac</w:t>
            </w:r>
            <w:proofErr w:type="spellEnd"/>
          </w:p>
          <w:p w14:paraId="4F249C00" w14:textId="440CFC9E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Franc</w:t>
            </w:r>
            <w:r w:rsidR="007E51C7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i</w:t>
            </w:r>
            <w:r w:rsidRPr="0007030D"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  <w:t>e</w:t>
            </w:r>
          </w:p>
        </w:tc>
        <w:tc>
          <w:tcPr>
            <w:tcW w:w="2067" w:type="dxa"/>
          </w:tcPr>
          <w:p w14:paraId="4A81907B" w14:textId="77777777" w:rsidR="00776595" w:rsidRPr="0007030D" w:rsidRDefault="00776595" w:rsidP="007402C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kern w:val="0"/>
                <w:lang w:val="cs-CZ"/>
                <w14:ligatures w14:val="none"/>
              </w:rPr>
            </w:pPr>
          </w:p>
        </w:tc>
      </w:tr>
    </w:tbl>
    <w:p w14:paraId="2ECE1A28" w14:textId="77777777" w:rsidR="00776595" w:rsidRPr="0007030D" w:rsidRDefault="00776595" w:rsidP="00776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</w:p>
    <w:p w14:paraId="653C2672" w14:textId="77777777" w:rsidR="00AA0D57" w:rsidRDefault="00AA0D57"/>
    <w:sectPr w:rsidR="00AA0D5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134E8" w14:textId="77777777" w:rsidR="0009522F" w:rsidRDefault="0009522F" w:rsidP="007A096F">
      <w:pPr>
        <w:spacing w:after="0" w:line="240" w:lineRule="auto"/>
      </w:pPr>
      <w:r>
        <w:separator/>
      </w:r>
    </w:p>
  </w:endnote>
  <w:endnote w:type="continuationSeparator" w:id="0">
    <w:p w14:paraId="453F00C5" w14:textId="77777777" w:rsidR="0009522F" w:rsidRDefault="0009522F" w:rsidP="007A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AD74E" w14:textId="77777777" w:rsidR="0009522F" w:rsidRDefault="0009522F" w:rsidP="007A096F">
      <w:pPr>
        <w:spacing w:after="0" w:line="240" w:lineRule="auto"/>
      </w:pPr>
      <w:r>
        <w:separator/>
      </w:r>
    </w:p>
  </w:footnote>
  <w:footnote w:type="continuationSeparator" w:id="0">
    <w:p w14:paraId="0765851B" w14:textId="77777777" w:rsidR="0009522F" w:rsidRDefault="0009522F" w:rsidP="007A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43E7" w14:textId="478AC075" w:rsidR="007A096F" w:rsidRDefault="007A096F" w:rsidP="007D0941">
    <w:r>
      <w:t xml:space="preserve">    </w:t>
    </w:r>
  </w:p>
  <w:p w14:paraId="174BB284" w14:textId="77777777" w:rsidR="007A096F" w:rsidRDefault="007A0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07"/>
    <w:rsid w:val="000735B4"/>
    <w:rsid w:val="0009522F"/>
    <w:rsid w:val="000E01A9"/>
    <w:rsid w:val="00144017"/>
    <w:rsid w:val="001479D3"/>
    <w:rsid w:val="0025055C"/>
    <w:rsid w:val="003F7E9F"/>
    <w:rsid w:val="00613937"/>
    <w:rsid w:val="00636BF1"/>
    <w:rsid w:val="00776595"/>
    <w:rsid w:val="007A096F"/>
    <w:rsid w:val="007C2ACA"/>
    <w:rsid w:val="007D0941"/>
    <w:rsid w:val="007E51C7"/>
    <w:rsid w:val="008E3A1B"/>
    <w:rsid w:val="00911697"/>
    <w:rsid w:val="009777D8"/>
    <w:rsid w:val="009B2807"/>
    <w:rsid w:val="00A5237B"/>
    <w:rsid w:val="00AA0D57"/>
    <w:rsid w:val="00C97129"/>
    <w:rsid w:val="00CB65EF"/>
    <w:rsid w:val="00DA2740"/>
    <w:rsid w:val="00E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8FE7"/>
  <w15:chartTrackingRefBased/>
  <w15:docId w15:val="{0AD651DB-2DB6-447C-A364-3538508A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595"/>
  </w:style>
  <w:style w:type="paragraph" w:styleId="Nadpis1">
    <w:name w:val="heading 1"/>
    <w:basedOn w:val="Normln"/>
    <w:next w:val="Normln"/>
    <w:link w:val="Nadpis1Char"/>
    <w:uiPriority w:val="9"/>
    <w:qFormat/>
    <w:rsid w:val="009B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2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2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2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2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2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28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8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28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28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28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28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28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28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28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2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28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280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96F"/>
  </w:style>
  <w:style w:type="paragraph" w:styleId="Zpat">
    <w:name w:val="footer"/>
    <w:basedOn w:val="Normln"/>
    <w:link w:val="ZpatChar"/>
    <w:uiPriority w:val="99"/>
    <w:unhideWhenUsed/>
    <w:rsid w:val="007A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96F"/>
  </w:style>
  <w:style w:type="character" w:styleId="Hypertextovodkaz">
    <w:name w:val="Hyperlink"/>
    <w:basedOn w:val="Standardnpsmoodstavce"/>
    <w:uiPriority w:val="99"/>
    <w:unhideWhenUsed/>
    <w:rsid w:val="0061393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93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941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9116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va@ceva-ah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kvbl.cz/cs/farmakovigilance" TargetMode="External"/><Relationship Id="rId12" Type="http://schemas.openxmlformats.org/officeDocument/2006/relationships/hyperlink" Target="mailto:pharmacovigilance@ceva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dr@uskvbl.cz" TargetMode="External"/><Relationship Id="rId11" Type="http://schemas.openxmlformats.org/officeDocument/2006/relationships/hyperlink" Target="https://www.uskvbl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2114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17</cp:revision>
  <cp:lastPrinted>2025-10-16T11:32:00Z</cp:lastPrinted>
  <dcterms:created xsi:type="dcterms:W3CDTF">2025-07-29T09:57:00Z</dcterms:created>
  <dcterms:modified xsi:type="dcterms:W3CDTF">2025-10-16T11:32:00Z</dcterms:modified>
</cp:coreProperties>
</file>