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064E" w14:textId="77777777" w:rsidR="00C33EEA" w:rsidRPr="006C093C" w:rsidRDefault="00C33EEA" w:rsidP="00DB5F5E">
      <w:pPr>
        <w:rPr>
          <w:sz w:val="22"/>
          <w:szCs w:val="22"/>
          <w:lang w:val="cs-CZ"/>
        </w:rPr>
      </w:pPr>
      <w:bookmarkStart w:id="0" w:name="_GoBack"/>
      <w:bookmarkEnd w:id="0"/>
    </w:p>
    <w:p w14:paraId="2C19C211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7336D6F2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19E0FAC7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67015751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397FB304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73036C34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655AF93B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6E182D77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309510B0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61ADFD7D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6AE27E2C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0E0F4F0E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7C58834E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6AB24284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53AEB378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7027E38C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455173B6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60D0DEB6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47FCE4E7" w14:textId="77777777" w:rsidR="00C33EEA" w:rsidRPr="006C093C" w:rsidRDefault="00C33EEA" w:rsidP="00DB5F5E">
      <w:pPr>
        <w:rPr>
          <w:sz w:val="22"/>
          <w:szCs w:val="22"/>
          <w:lang w:val="cs-CZ"/>
        </w:rPr>
      </w:pPr>
    </w:p>
    <w:p w14:paraId="0D30C47F" w14:textId="4BE64444" w:rsidR="0095460A" w:rsidRPr="006C093C" w:rsidRDefault="00C33EEA" w:rsidP="006C093C">
      <w:pPr>
        <w:jc w:val="center"/>
        <w:rPr>
          <w:b/>
          <w:bCs/>
          <w:sz w:val="22"/>
          <w:szCs w:val="22"/>
          <w:lang w:val="cs-CZ"/>
        </w:rPr>
      </w:pPr>
      <w:r w:rsidRPr="006C093C">
        <w:rPr>
          <w:b/>
          <w:bCs/>
          <w:sz w:val="22"/>
          <w:szCs w:val="22"/>
          <w:lang w:val="cs-CZ"/>
        </w:rPr>
        <w:t>B. PŘÍBALOVÁ INFORMACE</w:t>
      </w:r>
    </w:p>
    <w:p w14:paraId="3E7A8AF4" w14:textId="51FE1417" w:rsidR="00C33EEA" w:rsidRPr="006C093C" w:rsidRDefault="00C33EEA" w:rsidP="00DB5F5E">
      <w:pPr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br w:type="page"/>
      </w:r>
    </w:p>
    <w:p w14:paraId="4F383A4A" w14:textId="24476989" w:rsidR="00227C2F" w:rsidRPr="006C093C" w:rsidRDefault="00227C2F" w:rsidP="006C093C">
      <w:pPr>
        <w:jc w:val="center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lang w:val="cs-CZ"/>
        </w:rPr>
        <w:lastRenderedPageBreak/>
        <w:t>PŘÍBALOVÁ INFORMACE</w:t>
      </w:r>
    </w:p>
    <w:p w14:paraId="5A6F4BE7" w14:textId="77777777" w:rsidR="00227C2F" w:rsidRPr="00DB5F5E" w:rsidRDefault="00227C2F" w:rsidP="00DB5F5E">
      <w:pPr>
        <w:jc w:val="both"/>
        <w:rPr>
          <w:sz w:val="22"/>
          <w:szCs w:val="22"/>
          <w:lang w:val="cs-CZ"/>
        </w:rPr>
      </w:pPr>
    </w:p>
    <w:p w14:paraId="4939D4C5" w14:textId="77777777" w:rsidR="00C33EEA" w:rsidRPr="006C093C" w:rsidRDefault="00C33EEA" w:rsidP="006C093C">
      <w:pPr>
        <w:jc w:val="both"/>
        <w:rPr>
          <w:sz w:val="22"/>
          <w:szCs w:val="22"/>
          <w:lang w:val="cs-CZ"/>
        </w:rPr>
      </w:pPr>
    </w:p>
    <w:p w14:paraId="7ABFB661" w14:textId="318C622D" w:rsidR="00227C2F" w:rsidRPr="006C093C" w:rsidRDefault="00F34F6A" w:rsidP="006C093C">
      <w:pPr>
        <w:jc w:val="both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1</w:t>
      </w:r>
      <w:r w:rsidR="00227C2F" w:rsidRPr="006C093C">
        <w:rPr>
          <w:b/>
          <w:sz w:val="22"/>
          <w:szCs w:val="22"/>
          <w:highlight w:val="lightGray"/>
          <w:lang w:val="cs-CZ"/>
        </w:rPr>
        <w:t>.</w:t>
      </w:r>
      <w:r w:rsidR="00227C2F" w:rsidRPr="006C093C">
        <w:rPr>
          <w:b/>
          <w:sz w:val="22"/>
          <w:szCs w:val="22"/>
          <w:lang w:val="cs-CZ"/>
        </w:rPr>
        <w:tab/>
        <w:t>N</w:t>
      </w:r>
      <w:r w:rsidRPr="00DB5F5E">
        <w:rPr>
          <w:b/>
          <w:sz w:val="22"/>
          <w:szCs w:val="22"/>
          <w:lang w:val="cs-CZ"/>
        </w:rPr>
        <w:t>ázev veterinárního léčivého přípravku</w:t>
      </w:r>
    </w:p>
    <w:p w14:paraId="27C4A2CC" w14:textId="77777777" w:rsidR="00227C2F" w:rsidRPr="006C093C" w:rsidRDefault="00227C2F" w:rsidP="006C093C">
      <w:pPr>
        <w:jc w:val="both"/>
        <w:rPr>
          <w:sz w:val="22"/>
          <w:szCs w:val="22"/>
          <w:lang w:val="cs-CZ"/>
        </w:rPr>
      </w:pPr>
    </w:p>
    <w:p w14:paraId="3DA633D1" w14:textId="719F2E5D" w:rsidR="00227C2F" w:rsidRPr="006C093C" w:rsidRDefault="00227C2F" w:rsidP="006C093C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ROXACIN 100 mg/ml perorální roztok</w:t>
      </w:r>
      <w:r w:rsidR="00F34F6A" w:rsidRPr="00DB5F5E">
        <w:rPr>
          <w:sz w:val="22"/>
          <w:szCs w:val="22"/>
          <w:lang w:val="cs-CZ"/>
        </w:rPr>
        <w:t xml:space="preserve"> pro brojle</w:t>
      </w:r>
      <w:r w:rsidR="003B2D34" w:rsidRPr="00DB5F5E">
        <w:rPr>
          <w:sz w:val="22"/>
          <w:szCs w:val="22"/>
          <w:lang w:val="cs-CZ"/>
        </w:rPr>
        <w:t>ry</w:t>
      </w:r>
      <w:r w:rsidR="00F34F6A" w:rsidRPr="00DB5F5E">
        <w:rPr>
          <w:sz w:val="22"/>
          <w:szCs w:val="22"/>
          <w:lang w:val="cs-CZ"/>
        </w:rPr>
        <w:t xml:space="preserve"> kura domácího</w:t>
      </w:r>
    </w:p>
    <w:p w14:paraId="2C1EAC3F" w14:textId="77777777" w:rsidR="00227C2F" w:rsidRPr="006C093C" w:rsidRDefault="00227C2F" w:rsidP="006C093C">
      <w:pPr>
        <w:jc w:val="both"/>
        <w:rPr>
          <w:sz w:val="22"/>
          <w:szCs w:val="22"/>
          <w:lang w:val="cs-CZ"/>
        </w:rPr>
      </w:pPr>
      <w:proofErr w:type="spellStart"/>
      <w:r w:rsidRPr="006C093C">
        <w:rPr>
          <w:sz w:val="22"/>
          <w:szCs w:val="22"/>
          <w:lang w:val="cs-CZ"/>
        </w:rPr>
        <w:t>Enrofloxacinum</w:t>
      </w:r>
      <w:proofErr w:type="spellEnd"/>
    </w:p>
    <w:p w14:paraId="5E37A046" w14:textId="77777777" w:rsidR="00227C2F" w:rsidRPr="00DB5F5E" w:rsidRDefault="00227C2F" w:rsidP="00DB5F5E">
      <w:pPr>
        <w:jc w:val="both"/>
        <w:rPr>
          <w:b/>
          <w:sz w:val="22"/>
          <w:szCs w:val="22"/>
          <w:lang w:val="cs-CZ"/>
        </w:rPr>
      </w:pPr>
    </w:p>
    <w:p w14:paraId="15F7BF13" w14:textId="77777777" w:rsidR="00F34F6A" w:rsidRPr="006C093C" w:rsidRDefault="00F34F6A" w:rsidP="006C093C">
      <w:pPr>
        <w:jc w:val="both"/>
        <w:rPr>
          <w:b/>
          <w:sz w:val="22"/>
          <w:szCs w:val="22"/>
          <w:lang w:val="cs-CZ"/>
        </w:rPr>
      </w:pPr>
    </w:p>
    <w:p w14:paraId="170C97CA" w14:textId="62DD9C11" w:rsidR="00227C2F" w:rsidRPr="006C093C" w:rsidRDefault="00F34F6A" w:rsidP="006C093C">
      <w:pPr>
        <w:jc w:val="both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2</w:t>
      </w:r>
      <w:r w:rsidR="00227C2F" w:rsidRPr="006C093C">
        <w:rPr>
          <w:b/>
          <w:sz w:val="22"/>
          <w:szCs w:val="22"/>
          <w:highlight w:val="lightGray"/>
          <w:lang w:val="cs-CZ"/>
        </w:rPr>
        <w:t>.</w:t>
      </w:r>
      <w:r w:rsidR="00227C2F" w:rsidRPr="006C093C">
        <w:rPr>
          <w:b/>
          <w:sz w:val="22"/>
          <w:szCs w:val="22"/>
          <w:lang w:val="cs-CZ"/>
        </w:rPr>
        <w:tab/>
      </w:r>
      <w:r w:rsidRPr="00DB5F5E">
        <w:rPr>
          <w:b/>
          <w:sz w:val="22"/>
          <w:szCs w:val="22"/>
          <w:lang w:val="cs-CZ"/>
        </w:rPr>
        <w:t>Složení</w:t>
      </w:r>
    </w:p>
    <w:p w14:paraId="5927EB9C" w14:textId="77777777" w:rsidR="00227C2F" w:rsidRPr="006C093C" w:rsidRDefault="00227C2F" w:rsidP="006C093C">
      <w:pPr>
        <w:jc w:val="both"/>
        <w:rPr>
          <w:b/>
          <w:sz w:val="22"/>
          <w:szCs w:val="22"/>
          <w:lang w:val="cs-CZ"/>
        </w:rPr>
      </w:pPr>
    </w:p>
    <w:p w14:paraId="6B86A798" w14:textId="5D9AFF95" w:rsidR="00227C2F" w:rsidRPr="006C093C" w:rsidRDefault="00352172" w:rsidP="006C093C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Každý</w:t>
      </w:r>
      <w:r w:rsidR="00227C2F" w:rsidRPr="006C093C">
        <w:rPr>
          <w:sz w:val="22"/>
          <w:szCs w:val="22"/>
          <w:lang w:val="cs-CZ"/>
        </w:rPr>
        <w:t xml:space="preserve"> ml </w:t>
      </w:r>
      <w:r w:rsidRPr="00DB5F5E">
        <w:rPr>
          <w:sz w:val="22"/>
          <w:szCs w:val="22"/>
          <w:lang w:val="cs-CZ"/>
        </w:rPr>
        <w:t>obsahuje:</w:t>
      </w:r>
    </w:p>
    <w:p w14:paraId="27D86FF3" w14:textId="77777777" w:rsidR="00227C2F" w:rsidRPr="006C093C" w:rsidRDefault="00227C2F" w:rsidP="006C093C">
      <w:pPr>
        <w:tabs>
          <w:tab w:val="right" w:leader="dot" w:pos="6237"/>
        </w:tabs>
        <w:jc w:val="both"/>
        <w:rPr>
          <w:b/>
          <w:sz w:val="22"/>
          <w:szCs w:val="22"/>
          <w:lang w:val="cs-CZ"/>
        </w:rPr>
      </w:pPr>
    </w:p>
    <w:p w14:paraId="354B8F53" w14:textId="7B093EA0" w:rsidR="00227C2F" w:rsidRPr="006C093C" w:rsidRDefault="00227C2F" w:rsidP="006C093C">
      <w:pPr>
        <w:tabs>
          <w:tab w:val="right" w:leader="dot" w:pos="6237"/>
        </w:tabs>
        <w:jc w:val="both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lang w:val="cs-CZ"/>
        </w:rPr>
        <w:t>Léčivá látka</w:t>
      </w:r>
      <w:r w:rsidR="006D09E0" w:rsidRPr="00DB5F5E">
        <w:rPr>
          <w:b/>
          <w:sz w:val="22"/>
          <w:szCs w:val="22"/>
          <w:lang w:val="cs-CZ"/>
        </w:rPr>
        <w:t>:</w:t>
      </w:r>
    </w:p>
    <w:p w14:paraId="2EC63906" w14:textId="77777777" w:rsidR="00227C2F" w:rsidRPr="006C093C" w:rsidRDefault="00227C2F" w:rsidP="006C093C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proofErr w:type="spellStart"/>
      <w:r w:rsidRPr="006C093C">
        <w:rPr>
          <w:sz w:val="22"/>
          <w:szCs w:val="22"/>
          <w:lang w:val="cs-CZ"/>
        </w:rPr>
        <w:t>Enrofloxacinum</w:t>
      </w:r>
      <w:proofErr w:type="spellEnd"/>
      <w:r w:rsidRPr="006C093C">
        <w:rPr>
          <w:sz w:val="22"/>
          <w:szCs w:val="22"/>
          <w:lang w:val="cs-CZ"/>
        </w:rPr>
        <w:tab/>
        <w:t>100 mg</w:t>
      </w:r>
    </w:p>
    <w:p w14:paraId="058654CE" w14:textId="77777777" w:rsidR="00227C2F" w:rsidRPr="006C093C" w:rsidRDefault="00227C2F" w:rsidP="006C093C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</w:p>
    <w:p w14:paraId="0D700A1A" w14:textId="1DD668A9" w:rsidR="00227C2F" w:rsidRPr="006C093C" w:rsidRDefault="00227C2F" w:rsidP="006C093C">
      <w:pPr>
        <w:tabs>
          <w:tab w:val="right" w:leader="dot" w:pos="6237"/>
        </w:tabs>
        <w:jc w:val="both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lang w:val="cs-CZ"/>
        </w:rPr>
        <w:t>Pomocné látky</w:t>
      </w:r>
      <w:r w:rsidR="006D09E0" w:rsidRPr="00DB5F5E">
        <w:rPr>
          <w:b/>
          <w:sz w:val="22"/>
          <w:szCs w:val="22"/>
          <w:lang w:val="cs-CZ"/>
        </w:rPr>
        <w:t>:</w:t>
      </w:r>
    </w:p>
    <w:p w14:paraId="1E4041D1" w14:textId="77777777" w:rsidR="00227C2F" w:rsidRPr="006C093C" w:rsidRDefault="00227C2F" w:rsidP="006C093C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proofErr w:type="spellStart"/>
      <w:r w:rsidRPr="006C093C">
        <w:rPr>
          <w:sz w:val="22"/>
          <w:szCs w:val="22"/>
          <w:lang w:val="cs-CZ"/>
        </w:rPr>
        <w:t>Benzylalkohol</w:t>
      </w:r>
      <w:proofErr w:type="spellEnd"/>
      <w:r w:rsidRPr="006C093C">
        <w:rPr>
          <w:sz w:val="22"/>
          <w:szCs w:val="22"/>
          <w:lang w:val="cs-CZ"/>
        </w:rPr>
        <w:t xml:space="preserve"> (E 1519) </w:t>
      </w:r>
      <w:r w:rsidRPr="006C093C">
        <w:rPr>
          <w:sz w:val="22"/>
          <w:szCs w:val="22"/>
          <w:lang w:val="cs-CZ"/>
        </w:rPr>
        <w:tab/>
        <w:t>7,8 mg</w:t>
      </w:r>
    </w:p>
    <w:p w14:paraId="2229B583" w14:textId="2CEE1D27" w:rsidR="00227C2F" w:rsidRPr="00DB5F5E" w:rsidRDefault="00227C2F" w:rsidP="00DB5F5E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  <w:proofErr w:type="spellStart"/>
      <w:r w:rsidRPr="006C093C">
        <w:rPr>
          <w:sz w:val="22"/>
          <w:szCs w:val="22"/>
          <w:lang w:val="cs-CZ"/>
        </w:rPr>
        <w:t>Dinatrium-edetát</w:t>
      </w:r>
      <w:proofErr w:type="spellEnd"/>
      <w:r w:rsidRPr="006C093C">
        <w:rPr>
          <w:sz w:val="22"/>
          <w:szCs w:val="22"/>
          <w:lang w:val="cs-CZ"/>
        </w:rPr>
        <w:tab/>
        <w:t>10 mg</w:t>
      </w:r>
    </w:p>
    <w:p w14:paraId="45E11DC9" w14:textId="68407FD5" w:rsidR="00352172" w:rsidRPr="00DB5F5E" w:rsidRDefault="00352172" w:rsidP="00DB5F5E">
      <w:pPr>
        <w:tabs>
          <w:tab w:val="right" w:leader="dot" w:pos="6237"/>
        </w:tabs>
        <w:jc w:val="both"/>
        <w:rPr>
          <w:sz w:val="22"/>
          <w:szCs w:val="22"/>
          <w:lang w:val="cs-CZ"/>
        </w:rPr>
      </w:pPr>
    </w:p>
    <w:p w14:paraId="0D750A17" w14:textId="442B2F6C" w:rsidR="00352172" w:rsidRPr="006C093C" w:rsidRDefault="00352172" w:rsidP="006C093C">
      <w:pPr>
        <w:tabs>
          <w:tab w:val="left" w:pos="-720"/>
        </w:tabs>
        <w:suppressAutoHyphens/>
        <w:snapToGrid w:val="0"/>
        <w:jc w:val="both"/>
        <w:rPr>
          <w:snapToGrid/>
          <w:sz w:val="22"/>
          <w:szCs w:val="22"/>
          <w:lang w:val="cs-CZ"/>
        </w:rPr>
      </w:pPr>
      <w:r w:rsidRPr="00DB5F5E">
        <w:rPr>
          <w:snapToGrid/>
          <w:sz w:val="22"/>
          <w:szCs w:val="22"/>
          <w:lang w:val="cs-CZ"/>
        </w:rPr>
        <w:t>Čirý, slabě nažloutlý roztok</w:t>
      </w:r>
    </w:p>
    <w:p w14:paraId="35251A1D" w14:textId="77777777" w:rsidR="00227C2F" w:rsidRPr="00DB5F5E" w:rsidRDefault="00227C2F" w:rsidP="00DB5F5E">
      <w:pPr>
        <w:jc w:val="both"/>
        <w:rPr>
          <w:sz w:val="22"/>
          <w:szCs w:val="22"/>
          <w:lang w:val="cs-CZ"/>
        </w:rPr>
      </w:pPr>
    </w:p>
    <w:p w14:paraId="36421C67" w14:textId="77777777" w:rsidR="00F34F6A" w:rsidRPr="00DB5F5E" w:rsidRDefault="00F34F6A" w:rsidP="00DB5F5E">
      <w:pPr>
        <w:jc w:val="both"/>
        <w:rPr>
          <w:sz w:val="22"/>
          <w:szCs w:val="22"/>
          <w:lang w:val="cs-CZ"/>
        </w:rPr>
      </w:pPr>
    </w:p>
    <w:p w14:paraId="2B81A325" w14:textId="42C8202E" w:rsidR="00F34F6A" w:rsidRPr="006C093C" w:rsidRDefault="00F34F6A" w:rsidP="00DB5F5E">
      <w:pPr>
        <w:jc w:val="both"/>
        <w:rPr>
          <w:b/>
          <w:bCs/>
          <w:sz w:val="22"/>
          <w:szCs w:val="22"/>
          <w:lang w:val="cs-CZ"/>
        </w:rPr>
      </w:pPr>
      <w:r w:rsidRPr="006C093C">
        <w:rPr>
          <w:b/>
          <w:bCs/>
          <w:sz w:val="22"/>
          <w:szCs w:val="22"/>
          <w:highlight w:val="lightGray"/>
          <w:lang w:val="cs-CZ"/>
        </w:rPr>
        <w:t>3.</w:t>
      </w:r>
      <w:r w:rsidRPr="006C093C">
        <w:rPr>
          <w:b/>
          <w:bCs/>
          <w:sz w:val="22"/>
          <w:szCs w:val="22"/>
          <w:lang w:val="cs-CZ"/>
        </w:rPr>
        <w:tab/>
        <w:t>Cílové druhy zvířat</w:t>
      </w:r>
    </w:p>
    <w:p w14:paraId="10534760" w14:textId="77777777" w:rsidR="00F34F6A" w:rsidRPr="00DB5F5E" w:rsidRDefault="00F34F6A" w:rsidP="00DB5F5E">
      <w:pPr>
        <w:jc w:val="both"/>
        <w:rPr>
          <w:sz w:val="22"/>
          <w:szCs w:val="22"/>
          <w:lang w:val="cs-CZ"/>
        </w:rPr>
      </w:pPr>
    </w:p>
    <w:p w14:paraId="33C58914" w14:textId="410789F9" w:rsidR="006D09E0" w:rsidRPr="00DB5F5E" w:rsidRDefault="007F5F3E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Kur domácí (b</w:t>
      </w:r>
      <w:r w:rsidR="006D09E0" w:rsidRPr="00DB5F5E">
        <w:rPr>
          <w:sz w:val="22"/>
          <w:szCs w:val="22"/>
          <w:lang w:val="cs-CZ"/>
        </w:rPr>
        <w:t>rojleři</w:t>
      </w:r>
      <w:r w:rsidRPr="00DB5F5E">
        <w:rPr>
          <w:sz w:val="22"/>
          <w:szCs w:val="22"/>
          <w:lang w:val="cs-CZ"/>
        </w:rPr>
        <w:t>)</w:t>
      </w:r>
      <w:r w:rsidR="006D09E0" w:rsidRPr="00DB5F5E">
        <w:rPr>
          <w:sz w:val="22"/>
          <w:szCs w:val="22"/>
          <w:lang w:val="cs-CZ"/>
        </w:rPr>
        <w:t>.</w:t>
      </w:r>
    </w:p>
    <w:p w14:paraId="6B412651" w14:textId="77777777" w:rsidR="00F34F6A" w:rsidRPr="00DB5F5E" w:rsidRDefault="00F34F6A" w:rsidP="00DB5F5E">
      <w:pPr>
        <w:jc w:val="both"/>
        <w:rPr>
          <w:sz w:val="22"/>
          <w:szCs w:val="22"/>
          <w:lang w:val="cs-CZ"/>
        </w:rPr>
      </w:pPr>
    </w:p>
    <w:p w14:paraId="410601A5" w14:textId="77777777" w:rsidR="006D09E0" w:rsidRPr="006C093C" w:rsidRDefault="006D09E0" w:rsidP="006C093C">
      <w:pPr>
        <w:jc w:val="both"/>
        <w:rPr>
          <w:sz w:val="22"/>
          <w:szCs w:val="22"/>
          <w:lang w:val="cs-CZ"/>
        </w:rPr>
      </w:pPr>
    </w:p>
    <w:p w14:paraId="6B6794DD" w14:textId="5944F91C" w:rsidR="00227C2F" w:rsidRPr="006C093C" w:rsidRDefault="00227C2F" w:rsidP="006C093C">
      <w:pPr>
        <w:jc w:val="both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4.</w:t>
      </w:r>
      <w:r w:rsidRPr="006C093C">
        <w:rPr>
          <w:b/>
          <w:sz w:val="22"/>
          <w:szCs w:val="22"/>
          <w:lang w:val="cs-CZ"/>
        </w:rPr>
        <w:tab/>
        <w:t>I</w:t>
      </w:r>
      <w:r w:rsidR="006D09E0" w:rsidRPr="00DB5F5E">
        <w:rPr>
          <w:b/>
          <w:sz w:val="22"/>
          <w:szCs w:val="22"/>
          <w:lang w:val="cs-CZ"/>
        </w:rPr>
        <w:t>ndikace pro použití</w:t>
      </w:r>
    </w:p>
    <w:p w14:paraId="7FC6C350" w14:textId="77777777" w:rsidR="00227C2F" w:rsidRPr="006C093C" w:rsidRDefault="00227C2F" w:rsidP="006C093C">
      <w:pPr>
        <w:jc w:val="both"/>
        <w:rPr>
          <w:b/>
          <w:sz w:val="22"/>
          <w:szCs w:val="22"/>
          <w:lang w:val="cs-CZ"/>
        </w:rPr>
      </w:pPr>
    </w:p>
    <w:p w14:paraId="073FDCF6" w14:textId="6B2A52A5" w:rsidR="00227C2F" w:rsidRPr="00DB5F5E" w:rsidRDefault="00F31C6B" w:rsidP="00DB5F5E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L</w:t>
      </w:r>
      <w:r w:rsidR="003B2D34" w:rsidRPr="00DB5F5E">
        <w:rPr>
          <w:sz w:val="22"/>
          <w:szCs w:val="22"/>
          <w:lang w:val="cs-CZ"/>
        </w:rPr>
        <w:t>éčba infekcí vyvolaných bakteriemi citlivými k enrofloxacinu, uvedenými níže</w:t>
      </w:r>
      <w:r w:rsidR="00227C2F" w:rsidRPr="006C093C">
        <w:rPr>
          <w:sz w:val="22"/>
          <w:szCs w:val="22"/>
          <w:lang w:val="cs-CZ"/>
        </w:rPr>
        <w:t xml:space="preserve">: </w:t>
      </w:r>
    </w:p>
    <w:p w14:paraId="6E14F79B" w14:textId="77777777" w:rsidR="006D09E0" w:rsidRPr="006C093C" w:rsidRDefault="006D09E0" w:rsidP="006C093C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514F4574" w14:textId="77777777" w:rsidR="00227C2F" w:rsidRPr="006C093C" w:rsidRDefault="00227C2F" w:rsidP="006C093C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6C093C">
        <w:rPr>
          <w:b/>
          <w:bCs/>
          <w:sz w:val="22"/>
          <w:szCs w:val="22"/>
          <w:lang w:val="cs-CZ"/>
        </w:rPr>
        <w:t>Brojleři kura domácího:</w:t>
      </w:r>
    </w:p>
    <w:p w14:paraId="69284256" w14:textId="77777777" w:rsidR="00227C2F" w:rsidRPr="006C093C" w:rsidRDefault="00227C2F" w:rsidP="006C093C">
      <w:pPr>
        <w:tabs>
          <w:tab w:val="left" w:pos="-720"/>
        </w:tabs>
        <w:suppressAutoHyphens/>
        <w:jc w:val="both"/>
        <w:rPr>
          <w:i/>
          <w:sz w:val="22"/>
          <w:szCs w:val="22"/>
          <w:lang w:val="cs-CZ"/>
        </w:rPr>
      </w:pPr>
      <w:proofErr w:type="spellStart"/>
      <w:r w:rsidRPr="006C093C">
        <w:rPr>
          <w:i/>
          <w:sz w:val="22"/>
          <w:szCs w:val="22"/>
          <w:lang w:val="cs-CZ"/>
        </w:rPr>
        <w:t>Mycoplasma</w:t>
      </w:r>
      <w:proofErr w:type="spellEnd"/>
      <w:r w:rsidRPr="006C093C">
        <w:rPr>
          <w:i/>
          <w:sz w:val="22"/>
          <w:szCs w:val="22"/>
          <w:lang w:val="cs-CZ"/>
        </w:rPr>
        <w:t xml:space="preserve"> </w:t>
      </w:r>
      <w:proofErr w:type="spellStart"/>
      <w:r w:rsidRPr="006C093C">
        <w:rPr>
          <w:i/>
          <w:sz w:val="22"/>
          <w:szCs w:val="22"/>
          <w:lang w:val="cs-CZ"/>
        </w:rPr>
        <w:t>gallisepticum</w:t>
      </w:r>
      <w:proofErr w:type="spellEnd"/>
      <w:r w:rsidRPr="006C093C">
        <w:rPr>
          <w:i/>
          <w:sz w:val="22"/>
          <w:szCs w:val="22"/>
          <w:lang w:val="cs-CZ"/>
        </w:rPr>
        <w:t xml:space="preserve">, </w:t>
      </w:r>
    </w:p>
    <w:p w14:paraId="4885DD38" w14:textId="77777777" w:rsidR="00227C2F" w:rsidRPr="006C093C" w:rsidRDefault="00227C2F" w:rsidP="006C093C">
      <w:pPr>
        <w:tabs>
          <w:tab w:val="left" w:pos="-720"/>
        </w:tabs>
        <w:suppressAutoHyphens/>
        <w:jc w:val="both"/>
        <w:rPr>
          <w:i/>
          <w:sz w:val="22"/>
          <w:szCs w:val="22"/>
          <w:lang w:val="cs-CZ"/>
        </w:rPr>
      </w:pPr>
      <w:proofErr w:type="spellStart"/>
      <w:r w:rsidRPr="006C093C">
        <w:rPr>
          <w:i/>
          <w:sz w:val="22"/>
          <w:szCs w:val="22"/>
          <w:lang w:val="cs-CZ"/>
        </w:rPr>
        <w:t>Mycoplasma</w:t>
      </w:r>
      <w:proofErr w:type="spellEnd"/>
      <w:r w:rsidRPr="006C093C">
        <w:rPr>
          <w:i/>
          <w:sz w:val="22"/>
          <w:szCs w:val="22"/>
          <w:lang w:val="cs-CZ"/>
        </w:rPr>
        <w:t xml:space="preserve"> </w:t>
      </w:r>
      <w:proofErr w:type="spellStart"/>
      <w:r w:rsidRPr="006C093C">
        <w:rPr>
          <w:i/>
          <w:sz w:val="22"/>
          <w:szCs w:val="22"/>
          <w:lang w:val="cs-CZ"/>
        </w:rPr>
        <w:t>synoviae</w:t>
      </w:r>
      <w:proofErr w:type="spellEnd"/>
      <w:r w:rsidRPr="006C093C">
        <w:rPr>
          <w:i/>
          <w:sz w:val="22"/>
          <w:szCs w:val="22"/>
          <w:lang w:val="cs-CZ"/>
        </w:rPr>
        <w:t xml:space="preserve">, </w:t>
      </w:r>
    </w:p>
    <w:p w14:paraId="52849079" w14:textId="77777777" w:rsidR="00227C2F" w:rsidRPr="006C093C" w:rsidRDefault="00227C2F" w:rsidP="006C093C">
      <w:pPr>
        <w:tabs>
          <w:tab w:val="left" w:pos="-720"/>
        </w:tabs>
        <w:suppressAutoHyphens/>
        <w:jc w:val="both"/>
        <w:rPr>
          <w:i/>
          <w:sz w:val="22"/>
          <w:szCs w:val="22"/>
          <w:lang w:val="cs-CZ"/>
        </w:rPr>
      </w:pPr>
      <w:proofErr w:type="spellStart"/>
      <w:r w:rsidRPr="006C093C">
        <w:rPr>
          <w:i/>
          <w:sz w:val="22"/>
          <w:szCs w:val="22"/>
          <w:lang w:val="cs-CZ"/>
        </w:rPr>
        <w:t>Avibacterium</w:t>
      </w:r>
      <w:proofErr w:type="spellEnd"/>
      <w:r w:rsidRPr="006C093C">
        <w:rPr>
          <w:i/>
          <w:sz w:val="22"/>
          <w:szCs w:val="22"/>
          <w:lang w:val="cs-CZ"/>
        </w:rPr>
        <w:t xml:space="preserve"> </w:t>
      </w:r>
      <w:proofErr w:type="spellStart"/>
      <w:r w:rsidRPr="006C093C">
        <w:rPr>
          <w:i/>
          <w:sz w:val="22"/>
          <w:szCs w:val="22"/>
          <w:lang w:val="cs-CZ"/>
        </w:rPr>
        <w:t>paragallinarum</w:t>
      </w:r>
      <w:proofErr w:type="spellEnd"/>
      <w:r w:rsidRPr="006C093C">
        <w:rPr>
          <w:i/>
          <w:sz w:val="22"/>
          <w:szCs w:val="22"/>
          <w:lang w:val="cs-CZ"/>
        </w:rPr>
        <w:t xml:space="preserve">, </w:t>
      </w:r>
    </w:p>
    <w:p w14:paraId="42A757B6" w14:textId="77777777" w:rsidR="00227C2F" w:rsidRPr="006C093C" w:rsidRDefault="00227C2F" w:rsidP="006C093C">
      <w:pPr>
        <w:tabs>
          <w:tab w:val="left" w:pos="-720"/>
        </w:tabs>
        <w:suppressAutoHyphens/>
        <w:jc w:val="both"/>
        <w:rPr>
          <w:i/>
          <w:sz w:val="22"/>
          <w:szCs w:val="22"/>
          <w:lang w:val="cs-CZ"/>
        </w:rPr>
      </w:pPr>
      <w:proofErr w:type="spellStart"/>
      <w:r w:rsidRPr="006C093C">
        <w:rPr>
          <w:i/>
          <w:sz w:val="22"/>
          <w:szCs w:val="22"/>
          <w:lang w:val="cs-CZ"/>
        </w:rPr>
        <w:t>Pasteurella</w:t>
      </w:r>
      <w:proofErr w:type="spellEnd"/>
      <w:r w:rsidRPr="006C093C">
        <w:rPr>
          <w:i/>
          <w:sz w:val="22"/>
          <w:szCs w:val="22"/>
          <w:lang w:val="cs-CZ"/>
        </w:rPr>
        <w:t xml:space="preserve"> </w:t>
      </w:r>
      <w:proofErr w:type="spellStart"/>
      <w:r w:rsidRPr="006C093C">
        <w:rPr>
          <w:i/>
          <w:sz w:val="22"/>
          <w:szCs w:val="22"/>
          <w:lang w:val="cs-CZ"/>
        </w:rPr>
        <w:t>multocida</w:t>
      </w:r>
      <w:proofErr w:type="spellEnd"/>
      <w:r w:rsidRPr="006C093C">
        <w:rPr>
          <w:i/>
          <w:sz w:val="22"/>
          <w:szCs w:val="22"/>
          <w:lang w:val="cs-CZ"/>
        </w:rPr>
        <w:t xml:space="preserve">. </w:t>
      </w:r>
    </w:p>
    <w:p w14:paraId="351470AA" w14:textId="1FE58B43" w:rsidR="00227C2F" w:rsidRPr="006C093C" w:rsidRDefault="003B2D34" w:rsidP="006C093C">
      <w:pPr>
        <w:tabs>
          <w:tab w:val="left" w:pos="-720"/>
        </w:tabs>
        <w:suppressAutoHyphens/>
        <w:jc w:val="both"/>
        <w:rPr>
          <w:b/>
          <w:bCs/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Podání veterinárního léčivého přípravku musí předcházet stanovení diagnózy včetně identifikace původce onemocnění a stanovení jeho citlivosti. Použití enrofloxacinu je odůvodněno pouze v případech, kdy výsledky antibiogramu potvrdí jeho vhodnost vzhledem k rezistenci původce onemocnění vůči antimikrob</w:t>
      </w:r>
      <w:r w:rsidR="008D65D1" w:rsidRPr="00DB5F5E">
        <w:rPr>
          <w:sz w:val="22"/>
          <w:szCs w:val="22"/>
          <w:lang w:val="cs-CZ"/>
        </w:rPr>
        <w:t>ikům</w:t>
      </w:r>
      <w:r w:rsidRPr="00DB5F5E">
        <w:rPr>
          <w:sz w:val="22"/>
          <w:szCs w:val="22"/>
          <w:lang w:val="cs-CZ"/>
        </w:rPr>
        <w:t xml:space="preserve"> první volby.</w:t>
      </w:r>
      <w:r w:rsidR="00227C2F" w:rsidRPr="006C093C">
        <w:rPr>
          <w:sz w:val="22"/>
          <w:szCs w:val="22"/>
          <w:lang w:val="cs-CZ"/>
        </w:rPr>
        <w:t xml:space="preserve"> </w:t>
      </w:r>
    </w:p>
    <w:p w14:paraId="6C32E6D2" w14:textId="77777777" w:rsidR="00227C2F" w:rsidRPr="00DB5F5E" w:rsidRDefault="00227C2F" w:rsidP="00DB5F5E">
      <w:pPr>
        <w:jc w:val="both"/>
        <w:rPr>
          <w:b/>
          <w:sz w:val="22"/>
          <w:szCs w:val="22"/>
          <w:lang w:val="cs-CZ"/>
        </w:rPr>
      </w:pPr>
    </w:p>
    <w:p w14:paraId="678A3545" w14:textId="77777777" w:rsidR="006D09E0" w:rsidRPr="006C093C" w:rsidRDefault="006D09E0" w:rsidP="006C093C">
      <w:pPr>
        <w:jc w:val="both"/>
        <w:rPr>
          <w:b/>
          <w:sz w:val="22"/>
          <w:szCs w:val="22"/>
          <w:lang w:val="cs-CZ"/>
        </w:rPr>
      </w:pPr>
    </w:p>
    <w:p w14:paraId="77CE07E9" w14:textId="441C3AA5" w:rsidR="00227C2F" w:rsidRPr="006C093C" w:rsidRDefault="00227C2F" w:rsidP="006C093C">
      <w:pPr>
        <w:jc w:val="both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5.</w:t>
      </w:r>
      <w:r w:rsidRPr="006C093C">
        <w:rPr>
          <w:b/>
          <w:sz w:val="22"/>
          <w:szCs w:val="22"/>
          <w:lang w:val="cs-CZ"/>
        </w:rPr>
        <w:t xml:space="preserve"> </w:t>
      </w:r>
      <w:r w:rsidRPr="006C093C">
        <w:rPr>
          <w:b/>
          <w:sz w:val="22"/>
          <w:szCs w:val="22"/>
          <w:lang w:val="cs-CZ"/>
        </w:rPr>
        <w:tab/>
        <w:t>K</w:t>
      </w:r>
      <w:r w:rsidR="006D09E0" w:rsidRPr="00DB5F5E">
        <w:rPr>
          <w:b/>
          <w:sz w:val="22"/>
          <w:szCs w:val="22"/>
          <w:lang w:val="cs-CZ"/>
        </w:rPr>
        <w:t>ontraindikace</w:t>
      </w:r>
    </w:p>
    <w:p w14:paraId="36127F24" w14:textId="77777777" w:rsidR="00227C2F" w:rsidRPr="006C093C" w:rsidRDefault="00227C2F" w:rsidP="006C093C">
      <w:pPr>
        <w:jc w:val="both"/>
        <w:rPr>
          <w:sz w:val="22"/>
          <w:szCs w:val="22"/>
          <w:lang w:val="cs-CZ"/>
        </w:rPr>
      </w:pPr>
    </w:p>
    <w:p w14:paraId="77ED3C71" w14:textId="77777777" w:rsidR="003B2D34" w:rsidRPr="00DB5F5E" w:rsidRDefault="003B2D34" w:rsidP="00DB5F5E">
      <w:pPr>
        <w:jc w:val="both"/>
        <w:rPr>
          <w:spacing w:val="-2"/>
          <w:sz w:val="22"/>
          <w:szCs w:val="22"/>
          <w:lang w:val="es-ES"/>
        </w:rPr>
      </w:pPr>
      <w:r w:rsidRPr="00DB5F5E">
        <w:rPr>
          <w:spacing w:val="-2"/>
          <w:sz w:val="22"/>
          <w:szCs w:val="22"/>
          <w:lang w:val="cs-CZ"/>
        </w:rPr>
        <w:t>Nepodávat zvířatům:</w:t>
      </w:r>
    </w:p>
    <w:p w14:paraId="6334A61F" w14:textId="77777777" w:rsidR="003B2D34" w:rsidRPr="00DB5F5E" w:rsidRDefault="003B2D34" w:rsidP="00DB5F5E">
      <w:pPr>
        <w:numPr>
          <w:ilvl w:val="0"/>
          <w:numId w:val="1"/>
        </w:numPr>
        <w:jc w:val="both"/>
        <w:rPr>
          <w:spacing w:val="-2"/>
          <w:sz w:val="22"/>
          <w:szCs w:val="22"/>
          <w:lang w:val="cs-CZ"/>
        </w:rPr>
      </w:pPr>
      <w:r w:rsidRPr="00DB5F5E">
        <w:rPr>
          <w:spacing w:val="-2"/>
          <w:sz w:val="22"/>
          <w:szCs w:val="22"/>
          <w:lang w:val="cs-CZ"/>
        </w:rPr>
        <w:t xml:space="preserve">se známou přecitlivělostí na enrofloxacin, jiné </w:t>
      </w:r>
      <w:proofErr w:type="spellStart"/>
      <w:r w:rsidRPr="00DB5F5E">
        <w:rPr>
          <w:spacing w:val="-2"/>
          <w:sz w:val="22"/>
          <w:szCs w:val="22"/>
          <w:lang w:val="cs-CZ"/>
        </w:rPr>
        <w:t>fluorochinolony</w:t>
      </w:r>
      <w:proofErr w:type="spellEnd"/>
      <w:r w:rsidRPr="00DB5F5E">
        <w:rPr>
          <w:spacing w:val="-2"/>
          <w:sz w:val="22"/>
          <w:szCs w:val="22"/>
          <w:lang w:val="cs-CZ"/>
        </w:rPr>
        <w:t xml:space="preserve"> nebo na některou z pomocných látek,</w:t>
      </w:r>
    </w:p>
    <w:p w14:paraId="75D5E2D4" w14:textId="77777777" w:rsidR="003B2D34" w:rsidRPr="00DB5F5E" w:rsidRDefault="003B2D34" w:rsidP="00DB5F5E">
      <w:pPr>
        <w:numPr>
          <w:ilvl w:val="0"/>
          <w:numId w:val="1"/>
        </w:numPr>
        <w:jc w:val="both"/>
        <w:rPr>
          <w:spacing w:val="-2"/>
          <w:sz w:val="22"/>
          <w:szCs w:val="22"/>
          <w:lang w:val="cs-CZ"/>
        </w:rPr>
      </w:pPr>
      <w:r w:rsidRPr="00DB5F5E">
        <w:rPr>
          <w:spacing w:val="-2"/>
          <w:sz w:val="22"/>
          <w:szCs w:val="22"/>
          <w:lang w:val="cs-CZ"/>
        </w:rPr>
        <w:t>při streptokokových infekcích, vzhledem k nízké citlivosti těchto bakterií.</w:t>
      </w:r>
    </w:p>
    <w:p w14:paraId="6BAB35A1" w14:textId="77777777" w:rsidR="00227C2F" w:rsidRPr="006C093C" w:rsidRDefault="00227C2F" w:rsidP="006C093C">
      <w:pPr>
        <w:pStyle w:val="Zkladntextodsazen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6C093C">
        <w:rPr>
          <w:rFonts w:ascii="Times New Roman" w:hAnsi="Times New Roman" w:cs="Times New Roman"/>
          <w:spacing w:val="-2"/>
          <w:sz w:val="22"/>
          <w:szCs w:val="22"/>
          <w:lang w:val="cs-CZ"/>
        </w:rPr>
        <w:t>Nepoužívat jako prevenci vzniku onemocnění.</w:t>
      </w:r>
    </w:p>
    <w:p w14:paraId="22355E52" w14:textId="773A0440" w:rsidR="00227C2F" w:rsidRPr="006C093C" w:rsidRDefault="00227C2F" w:rsidP="006C093C">
      <w:pPr>
        <w:pStyle w:val="Zkladntextodsazen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  <w:r w:rsidRPr="006C093C">
        <w:rPr>
          <w:rFonts w:ascii="Times New Roman" w:hAnsi="Times New Roman" w:cs="Times New Roman"/>
          <w:spacing w:val="-2"/>
          <w:sz w:val="22"/>
          <w:szCs w:val="22"/>
          <w:lang w:val="cs-CZ"/>
        </w:rPr>
        <w:lastRenderedPageBreak/>
        <w:t xml:space="preserve">Nepoužívat, je-li známo, že se v hejnu, které má být léčeno, vyskytla rezistence / zkřížená rezistence vůči </w:t>
      </w:r>
      <w:proofErr w:type="spellStart"/>
      <w:r w:rsidRPr="006C093C">
        <w:rPr>
          <w:rFonts w:ascii="Times New Roman" w:hAnsi="Times New Roman" w:cs="Times New Roman"/>
          <w:spacing w:val="-2"/>
          <w:sz w:val="22"/>
          <w:szCs w:val="22"/>
          <w:lang w:val="cs-CZ"/>
        </w:rPr>
        <w:t>fluorochinolonům</w:t>
      </w:r>
      <w:proofErr w:type="spellEnd"/>
      <w:r w:rsidRPr="006C093C">
        <w:rPr>
          <w:rFonts w:ascii="Times New Roman" w:hAnsi="Times New Roman" w:cs="Times New Roman"/>
          <w:spacing w:val="-2"/>
          <w:sz w:val="22"/>
          <w:szCs w:val="22"/>
          <w:lang w:val="cs-CZ"/>
        </w:rPr>
        <w:t xml:space="preserve">. </w:t>
      </w:r>
    </w:p>
    <w:p w14:paraId="74703AF0" w14:textId="77777777" w:rsidR="00227C2F" w:rsidRPr="00DB5F5E" w:rsidRDefault="00227C2F" w:rsidP="00DB5F5E">
      <w:pPr>
        <w:jc w:val="both"/>
        <w:rPr>
          <w:sz w:val="22"/>
          <w:szCs w:val="22"/>
          <w:lang w:val="cs-CZ"/>
        </w:rPr>
      </w:pPr>
    </w:p>
    <w:p w14:paraId="5D2D1108" w14:textId="77777777" w:rsidR="006D09E0" w:rsidRPr="00DB5F5E" w:rsidRDefault="006D09E0" w:rsidP="00DB5F5E">
      <w:pPr>
        <w:jc w:val="both"/>
        <w:rPr>
          <w:sz w:val="22"/>
          <w:szCs w:val="22"/>
          <w:lang w:val="cs-CZ"/>
        </w:rPr>
      </w:pPr>
    </w:p>
    <w:p w14:paraId="5880E883" w14:textId="03ADCA58" w:rsidR="006D09E0" w:rsidRPr="006C093C" w:rsidRDefault="006D09E0" w:rsidP="00DB5F5E">
      <w:pPr>
        <w:jc w:val="both"/>
        <w:rPr>
          <w:b/>
          <w:bCs/>
          <w:sz w:val="22"/>
          <w:szCs w:val="22"/>
          <w:lang w:val="cs-CZ"/>
        </w:rPr>
      </w:pPr>
      <w:r w:rsidRPr="006C093C">
        <w:rPr>
          <w:b/>
          <w:bCs/>
          <w:sz w:val="22"/>
          <w:szCs w:val="22"/>
          <w:highlight w:val="lightGray"/>
          <w:lang w:val="cs-CZ"/>
        </w:rPr>
        <w:t>6.</w:t>
      </w:r>
      <w:r w:rsidRPr="006C093C">
        <w:rPr>
          <w:b/>
          <w:bCs/>
          <w:sz w:val="22"/>
          <w:szCs w:val="22"/>
          <w:lang w:val="cs-CZ"/>
        </w:rPr>
        <w:tab/>
        <w:t>Zvláštní upozornění</w:t>
      </w:r>
    </w:p>
    <w:p w14:paraId="7D438EA3" w14:textId="77777777" w:rsidR="006D09E0" w:rsidRPr="00DB5F5E" w:rsidRDefault="006D09E0" w:rsidP="00DB5F5E">
      <w:pPr>
        <w:jc w:val="both"/>
        <w:rPr>
          <w:sz w:val="22"/>
          <w:szCs w:val="22"/>
          <w:lang w:val="cs-CZ"/>
        </w:rPr>
      </w:pPr>
    </w:p>
    <w:p w14:paraId="30873B15" w14:textId="38A66F99" w:rsidR="006D09E0" w:rsidRPr="006C093C" w:rsidRDefault="006D09E0" w:rsidP="00DB5F5E">
      <w:pPr>
        <w:tabs>
          <w:tab w:val="left" w:pos="-720"/>
        </w:tabs>
        <w:suppressAutoHyphens/>
        <w:ind w:left="709" w:hanging="709"/>
        <w:jc w:val="both"/>
        <w:rPr>
          <w:bCs/>
          <w:sz w:val="22"/>
          <w:szCs w:val="22"/>
          <w:u w:val="single"/>
          <w:lang w:val="cs-CZ"/>
        </w:rPr>
      </w:pPr>
      <w:r w:rsidRPr="006C093C">
        <w:rPr>
          <w:bCs/>
          <w:sz w:val="22"/>
          <w:szCs w:val="22"/>
          <w:u w:val="single"/>
          <w:lang w:val="cs-CZ"/>
        </w:rPr>
        <w:t xml:space="preserve">Zvláštní opatření pro </w:t>
      </w:r>
      <w:r w:rsidRPr="00DB5F5E">
        <w:rPr>
          <w:bCs/>
          <w:sz w:val="22"/>
          <w:szCs w:val="22"/>
          <w:u w:val="single"/>
          <w:lang w:val="cs-CZ"/>
        </w:rPr>
        <w:t xml:space="preserve">bezpečné </w:t>
      </w:r>
      <w:r w:rsidRPr="006C093C">
        <w:rPr>
          <w:bCs/>
          <w:sz w:val="22"/>
          <w:szCs w:val="22"/>
          <w:u w:val="single"/>
          <w:lang w:val="cs-CZ"/>
        </w:rPr>
        <w:t>použití</w:t>
      </w:r>
      <w:r w:rsidRPr="00DB5F5E">
        <w:rPr>
          <w:bCs/>
          <w:sz w:val="22"/>
          <w:szCs w:val="22"/>
          <w:u w:val="single"/>
          <w:lang w:val="cs-CZ"/>
        </w:rPr>
        <w:t xml:space="preserve"> u cílových druhů zvířat</w:t>
      </w:r>
      <w:r w:rsidRPr="006C093C">
        <w:rPr>
          <w:bCs/>
          <w:sz w:val="22"/>
          <w:szCs w:val="22"/>
          <w:u w:val="single"/>
          <w:lang w:val="cs-CZ"/>
        </w:rPr>
        <w:t xml:space="preserve">: </w:t>
      </w:r>
    </w:p>
    <w:p w14:paraId="4EF26B9F" w14:textId="7FC2E03C" w:rsidR="006D09E0" w:rsidRPr="00DB5F5E" w:rsidRDefault="006D09E0" w:rsidP="00DB5F5E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 xml:space="preserve">Při použití </w:t>
      </w:r>
      <w:r w:rsidR="003B2D34" w:rsidRPr="00DB5F5E">
        <w:rPr>
          <w:sz w:val="22"/>
          <w:szCs w:val="22"/>
          <w:lang w:val="cs-CZ"/>
        </w:rPr>
        <w:t xml:space="preserve">veterinárního léčivého </w:t>
      </w:r>
      <w:r w:rsidRPr="00DB5F5E">
        <w:rPr>
          <w:sz w:val="22"/>
          <w:szCs w:val="22"/>
          <w:lang w:val="cs-CZ"/>
        </w:rPr>
        <w:t xml:space="preserve">přípravku je nutno vzít v úvahu oficiální a místní pravidla antibiotické politiky. </w:t>
      </w:r>
    </w:p>
    <w:p w14:paraId="4517882E" w14:textId="32DA61C0" w:rsidR="006D09E0" w:rsidRPr="00DB5F5E" w:rsidRDefault="003B2D34" w:rsidP="00DB5F5E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 xml:space="preserve">Použití </w:t>
      </w:r>
      <w:proofErr w:type="spellStart"/>
      <w:r w:rsidRPr="00DB5F5E">
        <w:rPr>
          <w:sz w:val="22"/>
          <w:szCs w:val="22"/>
          <w:lang w:val="cs-CZ"/>
        </w:rPr>
        <w:t>fluorochinolonů</w:t>
      </w:r>
      <w:proofErr w:type="spellEnd"/>
      <w:r w:rsidRPr="00DB5F5E">
        <w:rPr>
          <w:sz w:val="22"/>
          <w:szCs w:val="22"/>
          <w:lang w:val="cs-CZ"/>
        </w:rPr>
        <w:t xml:space="preserve"> by mělo být vyhrazeno léčbě klinických stavů</w:t>
      </w:r>
      <w:r w:rsidR="006D09E0" w:rsidRPr="00DB5F5E">
        <w:rPr>
          <w:sz w:val="22"/>
          <w:szCs w:val="22"/>
          <w:lang w:val="cs-CZ"/>
        </w:rPr>
        <w:t>, které měly slabou odezvu, nebo se očekává slabá odezva na ostatní skupiny antibiotik.</w:t>
      </w:r>
    </w:p>
    <w:p w14:paraId="32D02940" w14:textId="1F22343F" w:rsidR="006D09E0" w:rsidRPr="00DB5F5E" w:rsidRDefault="006D09E0" w:rsidP="00DB5F5E">
      <w:pPr>
        <w:jc w:val="both"/>
        <w:rPr>
          <w:i/>
          <w:color w:val="C00000"/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 xml:space="preserve">Od doby, kdy byl enrofloxacin poprvé registrován pro použití u drůbeže, došlo k rozšíření kmenů </w:t>
      </w:r>
      <w:proofErr w:type="spellStart"/>
      <w:proofErr w:type="gramStart"/>
      <w:r w:rsidRPr="00DB5F5E">
        <w:rPr>
          <w:i/>
          <w:iCs/>
          <w:sz w:val="22"/>
          <w:szCs w:val="22"/>
          <w:lang w:val="cs-CZ"/>
        </w:rPr>
        <w:t>E.coli</w:t>
      </w:r>
      <w:proofErr w:type="spellEnd"/>
      <w:proofErr w:type="gramEnd"/>
      <w:r w:rsidRPr="00DB5F5E">
        <w:rPr>
          <w:sz w:val="22"/>
          <w:szCs w:val="22"/>
          <w:lang w:val="cs-CZ"/>
        </w:rPr>
        <w:t xml:space="preserve"> se sníženou citlivostí</w:t>
      </w:r>
      <w:r w:rsidR="008D65D1" w:rsidRPr="00DB5F5E">
        <w:rPr>
          <w:sz w:val="22"/>
          <w:szCs w:val="22"/>
          <w:lang w:val="cs-CZ"/>
        </w:rPr>
        <w:t xml:space="preserve"> či rezistencí</w:t>
      </w:r>
      <w:r w:rsidRPr="00DB5F5E">
        <w:rPr>
          <w:sz w:val="22"/>
          <w:szCs w:val="22"/>
          <w:lang w:val="cs-CZ"/>
        </w:rPr>
        <w:t xml:space="preserve"> vůči </w:t>
      </w:r>
      <w:proofErr w:type="spellStart"/>
      <w:r w:rsidRPr="00DB5F5E">
        <w:rPr>
          <w:sz w:val="22"/>
          <w:szCs w:val="22"/>
          <w:lang w:val="cs-CZ"/>
        </w:rPr>
        <w:t>fluorochinolonům</w:t>
      </w:r>
      <w:proofErr w:type="spellEnd"/>
      <w:r w:rsidRPr="00DB5F5E">
        <w:rPr>
          <w:sz w:val="22"/>
          <w:szCs w:val="22"/>
          <w:lang w:val="cs-CZ"/>
        </w:rPr>
        <w:t>. Rezistence byla v EU zaznamenána také u</w:t>
      </w:r>
      <w:r w:rsidR="000D4C37" w:rsidRPr="00DB5F5E">
        <w:rPr>
          <w:sz w:val="22"/>
          <w:szCs w:val="22"/>
          <w:lang w:val="cs-CZ"/>
        </w:rPr>
        <w:t> </w:t>
      </w:r>
      <w:proofErr w:type="spellStart"/>
      <w:r w:rsidRPr="00DB5F5E">
        <w:rPr>
          <w:i/>
          <w:sz w:val="22"/>
          <w:szCs w:val="22"/>
          <w:lang w:val="cs-CZ"/>
        </w:rPr>
        <w:t>Mycoplasma</w:t>
      </w:r>
      <w:proofErr w:type="spellEnd"/>
      <w:r w:rsidRPr="00DB5F5E">
        <w:rPr>
          <w:i/>
          <w:sz w:val="22"/>
          <w:szCs w:val="22"/>
          <w:lang w:val="cs-CZ"/>
        </w:rPr>
        <w:t xml:space="preserve"> </w:t>
      </w:r>
      <w:proofErr w:type="spellStart"/>
      <w:r w:rsidRPr="00DB5F5E">
        <w:rPr>
          <w:i/>
          <w:sz w:val="22"/>
          <w:szCs w:val="22"/>
          <w:lang w:val="cs-CZ"/>
        </w:rPr>
        <w:t>synoviae</w:t>
      </w:r>
      <w:proofErr w:type="spellEnd"/>
      <w:r w:rsidRPr="00DB5F5E">
        <w:rPr>
          <w:i/>
          <w:color w:val="C00000"/>
          <w:sz w:val="22"/>
          <w:szCs w:val="22"/>
          <w:lang w:val="cs-CZ"/>
        </w:rPr>
        <w:t>.</w:t>
      </w:r>
    </w:p>
    <w:p w14:paraId="76CB3C3C" w14:textId="3DC1BB29" w:rsidR="006D09E0" w:rsidRPr="00DB5F5E" w:rsidRDefault="006D09E0" w:rsidP="00DB5F5E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 xml:space="preserve">Použití </w:t>
      </w:r>
      <w:proofErr w:type="spellStart"/>
      <w:r w:rsidRPr="00DB5F5E">
        <w:rPr>
          <w:sz w:val="22"/>
          <w:szCs w:val="22"/>
          <w:lang w:val="cs-CZ"/>
        </w:rPr>
        <w:t>fluorochinolonů</w:t>
      </w:r>
      <w:proofErr w:type="spellEnd"/>
      <w:r w:rsidRPr="00DB5F5E">
        <w:rPr>
          <w:sz w:val="22"/>
          <w:szCs w:val="22"/>
          <w:lang w:val="cs-CZ"/>
        </w:rPr>
        <w:t xml:space="preserve"> by mělo být vždy, </w:t>
      </w:r>
      <w:r w:rsidR="003B2D34" w:rsidRPr="00DB5F5E">
        <w:rPr>
          <w:sz w:val="22"/>
          <w:szCs w:val="22"/>
          <w:lang w:val="cs-CZ"/>
        </w:rPr>
        <w:t>kdy</w:t>
      </w:r>
      <w:r w:rsidRPr="00DB5F5E">
        <w:rPr>
          <w:sz w:val="22"/>
          <w:szCs w:val="22"/>
          <w:lang w:val="cs-CZ"/>
        </w:rPr>
        <w:t xml:space="preserve"> je to možné, založeno na výsledku </w:t>
      </w:r>
      <w:r w:rsidR="003B2D34" w:rsidRPr="00DB5F5E">
        <w:rPr>
          <w:sz w:val="22"/>
          <w:szCs w:val="22"/>
          <w:lang w:val="cs-CZ"/>
        </w:rPr>
        <w:t>stanovení</w:t>
      </w:r>
      <w:r w:rsidRPr="00DB5F5E">
        <w:rPr>
          <w:sz w:val="22"/>
          <w:szCs w:val="22"/>
          <w:lang w:val="cs-CZ"/>
        </w:rPr>
        <w:t xml:space="preserve"> citlivosti. </w:t>
      </w:r>
    </w:p>
    <w:p w14:paraId="6DD2CEA4" w14:textId="5D77DA89" w:rsidR="006D09E0" w:rsidRPr="00DB5F5E" w:rsidRDefault="003B2D34" w:rsidP="00DB5F5E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 xml:space="preserve">Použití veterinárního léčivého přípravku v rozporu s pokyny uvedenými </w:t>
      </w:r>
      <w:r w:rsidR="006D09E0" w:rsidRPr="00DB5F5E">
        <w:rPr>
          <w:sz w:val="22"/>
          <w:szCs w:val="22"/>
          <w:lang w:val="cs-CZ"/>
        </w:rPr>
        <w:t>v t</w:t>
      </w:r>
      <w:r w:rsidRPr="00DB5F5E">
        <w:rPr>
          <w:sz w:val="22"/>
          <w:szCs w:val="22"/>
          <w:lang w:val="cs-CZ"/>
        </w:rPr>
        <w:t>éto</w:t>
      </w:r>
      <w:r w:rsidR="006D09E0" w:rsidRPr="00DB5F5E">
        <w:rPr>
          <w:sz w:val="22"/>
          <w:szCs w:val="22"/>
          <w:lang w:val="cs-CZ"/>
        </w:rPr>
        <w:t xml:space="preserve"> </w:t>
      </w:r>
      <w:r w:rsidRPr="00DB5F5E">
        <w:rPr>
          <w:sz w:val="22"/>
          <w:szCs w:val="22"/>
          <w:lang w:val="cs-CZ"/>
        </w:rPr>
        <w:t xml:space="preserve">příbalové informaci </w:t>
      </w:r>
      <w:r w:rsidR="006D09E0" w:rsidRPr="00DB5F5E">
        <w:rPr>
          <w:sz w:val="22"/>
          <w:szCs w:val="22"/>
          <w:lang w:val="cs-CZ"/>
        </w:rPr>
        <w:t xml:space="preserve">může zvýšit prevalenci bakterií rezistentních </w:t>
      </w:r>
      <w:r w:rsidRPr="00DB5F5E">
        <w:rPr>
          <w:sz w:val="22"/>
          <w:szCs w:val="22"/>
          <w:lang w:val="cs-CZ"/>
        </w:rPr>
        <w:t>vůči</w:t>
      </w:r>
      <w:r w:rsidR="006D09E0" w:rsidRPr="00DB5F5E">
        <w:rPr>
          <w:sz w:val="22"/>
          <w:szCs w:val="22"/>
          <w:lang w:val="cs-CZ"/>
        </w:rPr>
        <w:t xml:space="preserve"> </w:t>
      </w:r>
      <w:proofErr w:type="spellStart"/>
      <w:r w:rsidR="006D09E0" w:rsidRPr="00DB5F5E">
        <w:rPr>
          <w:sz w:val="22"/>
          <w:szCs w:val="22"/>
          <w:lang w:val="cs-CZ"/>
        </w:rPr>
        <w:t>fluorochinolon</w:t>
      </w:r>
      <w:r w:rsidRPr="00DB5F5E">
        <w:rPr>
          <w:sz w:val="22"/>
          <w:szCs w:val="22"/>
          <w:lang w:val="cs-CZ"/>
        </w:rPr>
        <w:t>ům</w:t>
      </w:r>
      <w:proofErr w:type="spellEnd"/>
      <w:r w:rsidR="006D09E0" w:rsidRPr="00DB5F5E">
        <w:rPr>
          <w:sz w:val="22"/>
          <w:szCs w:val="22"/>
          <w:lang w:val="cs-CZ"/>
        </w:rPr>
        <w:t xml:space="preserve"> a snížit účinnost terapie ostatními </w:t>
      </w:r>
      <w:proofErr w:type="spellStart"/>
      <w:r w:rsidR="006D09E0" w:rsidRPr="00DB5F5E">
        <w:rPr>
          <w:sz w:val="22"/>
          <w:szCs w:val="22"/>
          <w:lang w:val="cs-CZ"/>
        </w:rPr>
        <w:t>chinolony</w:t>
      </w:r>
      <w:proofErr w:type="spellEnd"/>
      <w:r w:rsidR="006D09E0" w:rsidRPr="00DB5F5E">
        <w:rPr>
          <w:sz w:val="22"/>
          <w:szCs w:val="22"/>
          <w:lang w:val="cs-CZ"/>
        </w:rPr>
        <w:t xml:space="preserve"> z důvodu možné zkřížené rezistence.   </w:t>
      </w:r>
    </w:p>
    <w:p w14:paraId="4B4E6BBA" w14:textId="77777777" w:rsidR="006D09E0" w:rsidRPr="00DB5F5E" w:rsidRDefault="006D09E0" w:rsidP="00DB5F5E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1A87AC0B" w14:textId="1E341FC1" w:rsidR="006D09E0" w:rsidRPr="006C093C" w:rsidRDefault="006D09E0" w:rsidP="00DB5F5E">
      <w:pPr>
        <w:pStyle w:val="Zkladntext"/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</w:pPr>
      <w:r w:rsidRPr="006C093C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 xml:space="preserve">Zvláštní opatření </w:t>
      </w:r>
      <w:r w:rsidR="00411758" w:rsidRPr="00DB5F5E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 xml:space="preserve">pro </w:t>
      </w:r>
      <w:r w:rsidRPr="006C093C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>osob</w:t>
      </w:r>
      <w:r w:rsidR="00411758" w:rsidRPr="00DB5F5E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>u</w:t>
      </w:r>
      <w:r w:rsidRPr="006C093C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>, kter</w:t>
      </w:r>
      <w:r w:rsidR="00C06E84" w:rsidRPr="00DB5F5E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>á</w:t>
      </w:r>
      <w:r w:rsidRPr="006C093C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 xml:space="preserve"> podáv</w:t>
      </w:r>
      <w:r w:rsidR="00C06E84" w:rsidRPr="00DB5F5E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>á</w:t>
      </w:r>
      <w:r w:rsidRPr="006C093C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 xml:space="preserve"> veterinární léčivý přípravek zvířatům:</w:t>
      </w:r>
    </w:p>
    <w:p w14:paraId="61DFE3EE" w14:textId="50B2DE9E" w:rsidR="006D09E0" w:rsidRPr="00DB5F5E" w:rsidRDefault="006D09E0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 xml:space="preserve">V průběhu </w:t>
      </w:r>
      <w:r w:rsidR="00C06E84" w:rsidRPr="00DB5F5E">
        <w:rPr>
          <w:sz w:val="22"/>
          <w:szCs w:val="22"/>
          <w:lang w:val="cs-CZ"/>
        </w:rPr>
        <w:t>podávání</w:t>
      </w:r>
      <w:r w:rsidRPr="00DB5F5E">
        <w:rPr>
          <w:sz w:val="22"/>
          <w:szCs w:val="22"/>
          <w:lang w:val="cs-CZ"/>
        </w:rPr>
        <w:t xml:space="preserve"> přípravku nekuřte, nejezte a nepijte. </w:t>
      </w:r>
    </w:p>
    <w:p w14:paraId="65381BAB" w14:textId="77777777" w:rsidR="006D09E0" w:rsidRPr="00DB5F5E" w:rsidRDefault="006D09E0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Po použití přípravku si důkladně umyjte ruce vodou a mýdlem.</w:t>
      </w:r>
    </w:p>
    <w:p w14:paraId="348A52C7" w14:textId="70A7043A" w:rsidR="006D09E0" w:rsidRPr="00DB5F5E" w:rsidRDefault="006D09E0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Zabraňte kontaktu s pokožkou a očima. V případě zasažení pokožky opláchněte exponovanou část ihned po expozici proudem pitné vody. V případě zasažení očí vyplachujte zasažené oko proudem pitné vody alespoň po dobu 15</w:t>
      </w:r>
      <w:r w:rsidR="00624D63">
        <w:rPr>
          <w:sz w:val="22"/>
          <w:szCs w:val="22"/>
          <w:lang w:val="cs-CZ"/>
        </w:rPr>
        <w:t xml:space="preserve"> </w:t>
      </w:r>
      <w:r w:rsidRPr="00DB5F5E">
        <w:rPr>
          <w:sz w:val="22"/>
          <w:szCs w:val="22"/>
          <w:lang w:val="cs-CZ"/>
        </w:rPr>
        <w:t xml:space="preserve">minut. Pokud se dostaví potíže, vyhledejte lékařskou pomoc a ukažte příbalovou informaci nebo etiketu praktickému lékaři. Otok obličeje, rtů, očí nebo potíže s dýcháním jsou vážné </w:t>
      </w:r>
      <w:r w:rsidR="00C06E84" w:rsidRPr="00DB5F5E">
        <w:rPr>
          <w:sz w:val="22"/>
          <w:szCs w:val="22"/>
          <w:lang w:val="cs-CZ"/>
        </w:rPr>
        <w:t>příznaky</w:t>
      </w:r>
      <w:r w:rsidRPr="00DB5F5E">
        <w:rPr>
          <w:sz w:val="22"/>
          <w:szCs w:val="22"/>
          <w:lang w:val="cs-CZ"/>
        </w:rPr>
        <w:t xml:space="preserve"> a </w:t>
      </w:r>
      <w:r w:rsidR="00C06E84" w:rsidRPr="006C093C">
        <w:rPr>
          <w:sz w:val="22"/>
          <w:szCs w:val="22"/>
          <w:lang w:val="cs-CZ" w:eastAsia="en-US"/>
        </w:rPr>
        <w:t>vyžadují okamžitou lékařskou pomoc</w:t>
      </w:r>
      <w:r w:rsidRPr="00DB5F5E">
        <w:rPr>
          <w:sz w:val="22"/>
          <w:szCs w:val="22"/>
          <w:lang w:val="cs-CZ"/>
        </w:rPr>
        <w:t>.</w:t>
      </w:r>
    </w:p>
    <w:p w14:paraId="39966619" w14:textId="77777777" w:rsidR="006D09E0" w:rsidRPr="00DB5F5E" w:rsidRDefault="006D09E0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Při nakládání s veterinárním léčivým přípravkem by se měly používat osobní ochranné prostředky skládající se alespoň z gumových či latexových rukavic.</w:t>
      </w:r>
    </w:p>
    <w:p w14:paraId="59D7A3B3" w14:textId="77777777" w:rsidR="006D09E0" w:rsidRPr="00DB5F5E" w:rsidRDefault="006D09E0" w:rsidP="00DB5F5E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 xml:space="preserve">Lidé se známou přecitlivělostí na </w:t>
      </w:r>
      <w:proofErr w:type="spellStart"/>
      <w:r w:rsidRPr="00DB5F5E">
        <w:rPr>
          <w:sz w:val="22"/>
          <w:szCs w:val="22"/>
          <w:lang w:val="cs-CZ"/>
        </w:rPr>
        <w:t>fluorochinolony</w:t>
      </w:r>
      <w:proofErr w:type="spellEnd"/>
      <w:r w:rsidRPr="00DB5F5E">
        <w:rPr>
          <w:sz w:val="22"/>
          <w:szCs w:val="22"/>
          <w:lang w:val="cs-CZ"/>
        </w:rPr>
        <w:t xml:space="preserve"> by se měli vyhnout kontaktu s veterinárním léčivým přípravkem.</w:t>
      </w:r>
    </w:p>
    <w:p w14:paraId="07ACBC55" w14:textId="77777777" w:rsidR="006D09E0" w:rsidRPr="00DB5F5E" w:rsidRDefault="006D09E0" w:rsidP="00DB5F5E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</w:p>
    <w:p w14:paraId="40AFE2F8" w14:textId="525A05CD" w:rsidR="006D09E0" w:rsidRPr="006C093C" w:rsidRDefault="006D09E0" w:rsidP="00DB5F5E">
      <w:pPr>
        <w:pStyle w:val="Zkladntext"/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</w:pPr>
      <w:r w:rsidRPr="006C093C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 xml:space="preserve">Interakce s </w:t>
      </w:r>
      <w:r w:rsidRPr="00DB5F5E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>jinými</w:t>
      </w:r>
      <w:r w:rsidRPr="006C093C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 xml:space="preserve"> léčivými přípravky a další formy interakce:</w:t>
      </w:r>
    </w:p>
    <w:p w14:paraId="36A30EE0" w14:textId="74A28E1D" w:rsidR="006D09E0" w:rsidRPr="00DB5F5E" w:rsidRDefault="003B2D34" w:rsidP="00DB5F5E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 xml:space="preserve">Současné podávání veterinárního léčivého přípravku s tetracykliny není doporučeno vzhledem k možným antagonistickým účinkům. Kombinace se </w:t>
      </w:r>
      <w:proofErr w:type="spellStart"/>
      <w:r w:rsidRPr="00DB5F5E">
        <w:rPr>
          <w:sz w:val="22"/>
          <w:szCs w:val="22"/>
          <w:lang w:val="cs-CZ"/>
        </w:rPr>
        <w:t>sulfametoxazolem</w:t>
      </w:r>
      <w:proofErr w:type="spellEnd"/>
      <w:r w:rsidRPr="00DB5F5E">
        <w:rPr>
          <w:sz w:val="22"/>
          <w:szCs w:val="22"/>
          <w:lang w:val="cs-CZ"/>
        </w:rPr>
        <w:t xml:space="preserve"> a </w:t>
      </w:r>
      <w:proofErr w:type="spellStart"/>
      <w:r w:rsidRPr="00DB5F5E">
        <w:rPr>
          <w:sz w:val="22"/>
          <w:szCs w:val="22"/>
          <w:lang w:val="cs-CZ"/>
        </w:rPr>
        <w:t>trimetoprimem</w:t>
      </w:r>
      <w:proofErr w:type="spellEnd"/>
      <w:r w:rsidRPr="00DB5F5E">
        <w:rPr>
          <w:sz w:val="22"/>
          <w:szCs w:val="22"/>
          <w:lang w:val="cs-CZ"/>
        </w:rPr>
        <w:t xml:space="preserve"> je kontraindikována z důvodu rizika toxicity. Podávání současně s kationty dvoumocných (např. Mg²⁺) a trojmocných kovů (např. Al³⁺) by mělo být vyloučeno, protože absorpce enrofloxacinu může být snížena</w:t>
      </w:r>
      <w:r w:rsidRPr="00DB5F5E">
        <w:rPr>
          <w:bCs/>
          <w:sz w:val="22"/>
          <w:szCs w:val="22"/>
          <w:lang w:val="cs-CZ"/>
        </w:rPr>
        <w:t>.</w:t>
      </w:r>
      <w:r w:rsidR="006D09E0" w:rsidRPr="00DB5F5E">
        <w:rPr>
          <w:bCs/>
          <w:sz w:val="22"/>
          <w:szCs w:val="22"/>
          <w:lang w:val="cs-CZ"/>
        </w:rPr>
        <w:t xml:space="preserve"> </w:t>
      </w:r>
    </w:p>
    <w:p w14:paraId="287E657E" w14:textId="77777777" w:rsidR="006D09E0" w:rsidRPr="00DB5F5E" w:rsidRDefault="006D09E0" w:rsidP="00DB5F5E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Nepodávejte současně s nesteroidními antiflogistiky.</w:t>
      </w:r>
    </w:p>
    <w:p w14:paraId="1FD19084" w14:textId="6A364680" w:rsidR="006D09E0" w:rsidRPr="00DB5F5E" w:rsidRDefault="006D09E0" w:rsidP="00DB5F5E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Enrofloxacin se váže na plazmatické bílkoviny a nesmí být podáván společně s</w:t>
      </w:r>
      <w:r w:rsidR="00E82822"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 přípravky obsahujícími kyselinu acetylsalicylovou</w:t>
      </w:r>
      <w:r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, </w:t>
      </w:r>
      <w:proofErr w:type="spellStart"/>
      <w:r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hydrokortison</w:t>
      </w:r>
      <w:proofErr w:type="spellEnd"/>
      <w:r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, </w:t>
      </w:r>
      <w:proofErr w:type="spellStart"/>
      <w:r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phenylbutazon</w:t>
      </w:r>
      <w:proofErr w:type="spellEnd"/>
      <w:r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, su</w:t>
      </w:r>
      <w:r w:rsidR="00E82822"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lf</w:t>
      </w:r>
      <w:r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onamidy s ohledem na jejich silnější vazbu na plazmatické bílkoviny. </w:t>
      </w:r>
    </w:p>
    <w:p w14:paraId="0B8D8FD7" w14:textId="77777777" w:rsidR="006D09E0" w:rsidRPr="00DB5F5E" w:rsidRDefault="006D09E0" w:rsidP="00DB5F5E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</w:p>
    <w:p w14:paraId="45A1CEA7" w14:textId="3F3B9296" w:rsidR="006D09E0" w:rsidRPr="006C093C" w:rsidRDefault="006D09E0" w:rsidP="00DB5F5E">
      <w:pPr>
        <w:pStyle w:val="Zkladntext"/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</w:pPr>
      <w:r w:rsidRPr="006C093C">
        <w:rPr>
          <w:rFonts w:ascii="Times New Roman" w:hAnsi="Times New Roman" w:cs="Times New Roman"/>
          <w:b w:val="0"/>
          <w:sz w:val="22"/>
          <w:szCs w:val="22"/>
          <w:u w:val="single"/>
          <w:lang w:val="cs-CZ"/>
        </w:rPr>
        <w:t>Předávkování:</w:t>
      </w:r>
    </w:p>
    <w:p w14:paraId="05404740" w14:textId="77777777" w:rsidR="009264A2" w:rsidRPr="00DB5F5E" w:rsidRDefault="009264A2" w:rsidP="00DB5F5E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Maximální tolerovaná dávka je přibližně dvojnásobkem terapeutické dávky.</w:t>
      </w:r>
    </w:p>
    <w:p w14:paraId="0DFA0A31" w14:textId="77777777" w:rsidR="009264A2" w:rsidRPr="00DB5F5E" w:rsidRDefault="009264A2" w:rsidP="00DB5F5E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DB5F5E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Při předávkování se může objevit gastrointestinální intolerance, zejména zvracení a nechutenství, často doprovázená neklidem, který obvykle odezní po přerušení podávání veterinárního léčivého přípravku.</w:t>
      </w:r>
    </w:p>
    <w:p w14:paraId="47586E38" w14:textId="77777777" w:rsidR="00FC5FAB" w:rsidRDefault="009264A2" w:rsidP="00DB5F5E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 w:rsidRPr="006C469F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Dále může být pozorována </w:t>
      </w:r>
      <w:proofErr w:type="spellStart"/>
      <w:r w:rsidRPr="006C469F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fotosenzitivita</w:t>
      </w:r>
      <w:proofErr w:type="spellEnd"/>
      <w:r w:rsidRPr="006C469F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a hypersenzitivní reakce, jež mohou být doprovázeny </w:t>
      </w:r>
      <w:proofErr w:type="spellStart"/>
      <w:r w:rsidRPr="006A1B2F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artralgickými</w:t>
      </w:r>
      <w:proofErr w:type="spellEnd"/>
      <w:r w:rsidRPr="006A1B2F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obtížemi</w:t>
      </w:r>
      <w:r w:rsidR="00FC5FAB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. </w:t>
      </w:r>
    </w:p>
    <w:p w14:paraId="4C65A628" w14:textId="0988274D" w:rsidR="009264A2" w:rsidRPr="006A1B2F" w:rsidRDefault="00FC5FAB" w:rsidP="00DB5F5E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V případě potřeby je nutné zahájit symptomatickou léčbu</w:t>
      </w:r>
      <w:r w:rsidR="009264A2" w:rsidRPr="006A1B2F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.</w:t>
      </w:r>
    </w:p>
    <w:p w14:paraId="5B21CCDE" w14:textId="77777777" w:rsidR="006D09E0" w:rsidRPr="006C469F" w:rsidRDefault="006D09E0" w:rsidP="00DB5F5E">
      <w:pPr>
        <w:pStyle w:val="Zkladntextodsazen"/>
        <w:ind w:hanging="11"/>
        <w:rPr>
          <w:rFonts w:ascii="Times New Roman" w:hAnsi="Times New Roman" w:cs="Times New Roman"/>
          <w:spacing w:val="-2"/>
          <w:sz w:val="22"/>
          <w:szCs w:val="22"/>
          <w:lang w:val="cs-CZ"/>
        </w:rPr>
      </w:pPr>
    </w:p>
    <w:p w14:paraId="7ABF9D77" w14:textId="6B736885" w:rsidR="006D09E0" w:rsidRPr="006C093C" w:rsidRDefault="006D09E0" w:rsidP="00DB5F5E">
      <w:pPr>
        <w:keepNext/>
        <w:tabs>
          <w:tab w:val="left" w:pos="-720"/>
        </w:tabs>
        <w:suppressAutoHyphens/>
        <w:jc w:val="both"/>
        <w:rPr>
          <w:bCs/>
          <w:sz w:val="22"/>
          <w:szCs w:val="22"/>
          <w:u w:val="single"/>
          <w:lang w:val="cs-CZ"/>
        </w:rPr>
      </w:pPr>
      <w:r w:rsidRPr="006C093C">
        <w:rPr>
          <w:bCs/>
          <w:sz w:val="22"/>
          <w:szCs w:val="22"/>
          <w:u w:val="single"/>
          <w:lang w:val="cs-CZ"/>
        </w:rPr>
        <w:lastRenderedPageBreak/>
        <w:t>Hlavní inkompatibility:</w:t>
      </w:r>
    </w:p>
    <w:p w14:paraId="2408D25F" w14:textId="77777777" w:rsidR="006D09E0" w:rsidRPr="00DB5F5E" w:rsidRDefault="006D09E0" w:rsidP="00DB5F5E">
      <w:pPr>
        <w:tabs>
          <w:tab w:val="left" w:pos="-720"/>
          <w:tab w:val="left" w:pos="0"/>
        </w:tabs>
        <w:suppressAutoHyphens/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S kyselými roztoky může dojít k vysrážení léčivé látky.</w:t>
      </w:r>
    </w:p>
    <w:p w14:paraId="017B4EF9" w14:textId="77777777" w:rsidR="006D09E0" w:rsidRPr="00DB5F5E" w:rsidRDefault="006D09E0" w:rsidP="00DB5F5E">
      <w:pPr>
        <w:jc w:val="both"/>
        <w:rPr>
          <w:sz w:val="22"/>
          <w:szCs w:val="22"/>
          <w:lang w:val="cs-CZ"/>
        </w:rPr>
      </w:pPr>
    </w:p>
    <w:p w14:paraId="1D55D7A4" w14:textId="77777777" w:rsidR="006D09E0" w:rsidRPr="006C093C" w:rsidRDefault="006D09E0" w:rsidP="006C093C">
      <w:pPr>
        <w:jc w:val="both"/>
        <w:rPr>
          <w:sz w:val="22"/>
          <w:szCs w:val="22"/>
          <w:lang w:val="cs-CZ"/>
        </w:rPr>
      </w:pPr>
    </w:p>
    <w:p w14:paraId="10921083" w14:textId="7FE19FE3" w:rsidR="00227C2F" w:rsidRPr="006C093C" w:rsidRDefault="006D09E0" w:rsidP="006C093C">
      <w:pPr>
        <w:keepNext/>
        <w:jc w:val="both"/>
        <w:rPr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7</w:t>
      </w:r>
      <w:r w:rsidR="00227C2F" w:rsidRPr="006C093C">
        <w:rPr>
          <w:b/>
          <w:sz w:val="22"/>
          <w:szCs w:val="22"/>
          <w:highlight w:val="lightGray"/>
          <w:lang w:val="cs-CZ"/>
        </w:rPr>
        <w:t>.</w:t>
      </w:r>
      <w:r w:rsidR="00227C2F" w:rsidRPr="006C093C">
        <w:rPr>
          <w:b/>
          <w:sz w:val="22"/>
          <w:szCs w:val="22"/>
          <w:lang w:val="cs-CZ"/>
        </w:rPr>
        <w:tab/>
        <w:t>N</w:t>
      </w:r>
      <w:r w:rsidRPr="00DB5F5E">
        <w:rPr>
          <w:b/>
          <w:sz w:val="22"/>
          <w:szCs w:val="22"/>
          <w:lang w:val="cs-CZ"/>
        </w:rPr>
        <w:t>ežádoucí účinky</w:t>
      </w:r>
      <w:r w:rsidRPr="00DB5F5E" w:rsidDel="006D09E0">
        <w:rPr>
          <w:b/>
          <w:sz w:val="22"/>
          <w:szCs w:val="22"/>
          <w:lang w:val="cs-CZ"/>
        </w:rPr>
        <w:t xml:space="preserve"> </w:t>
      </w:r>
    </w:p>
    <w:p w14:paraId="03FD36D4" w14:textId="77777777" w:rsidR="00D413E5" w:rsidRPr="00DB5F5E" w:rsidRDefault="00D413E5" w:rsidP="00DB5F5E">
      <w:pPr>
        <w:keepNext/>
        <w:snapToGrid w:val="0"/>
        <w:jc w:val="both"/>
        <w:rPr>
          <w:snapToGrid/>
          <w:sz w:val="22"/>
          <w:szCs w:val="22"/>
          <w:lang w:val="cs-CZ"/>
        </w:rPr>
      </w:pPr>
    </w:p>
    <w:p w14:paraId="35DF8960" w14:textId="62A8E244" w:rsidR="006D09E0" w:rsidRPr="00DB5F5E" w:rsidRDefault="006D09E0" w:rsidP="00DB5F5E">
      <w:pPr>
        <w:keepNext/>
        <w:snapToGrid w:val="0"/>
        <w:jc w:val="both"/>
        <w:rPr>
          <w:snapToGrid/>
          <w:sz w:val="22"/>
          <w:szCs w:val="22"/>
          <w:lang w:val="cs-CZ"/>
        </w:rPr>
      </w:pPr>
      <w:r w:rsidRPr="00DB5F5E">
        <w:rPr>
          <w:snapToGrid/>
          <w:sz w:val="22"/>
          <w:szCs w:val="22"/>
          <w:lang w:val="cs-CZ"/>
        </w:rPr>
        <w:t>Brojleři kura domácího: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8"/>
        <w:gridCol w:w="5718"/>
      </w:tblGrid>
      <w:tr w:rsidR="006D09E0" w:rsidRPr="00DB5F5E" w14:paraId="35373AC6" w14:textId="77777777" w:rsidTr="006C093C">
        <w:tc>
          <w:tcPr>
            <w:tcW w:w="1957" w:type="pct"/>
          </w:tcPr>
          <w:p w14:paraId="40587C12" w14:textId="77777777" w:rsidR="00581D90" w:rsidRPr="00581D90" w:rsidRDefault="00581D90" w:rsidP="00581D90">
            <w:pPr>
              <w:keepNext/>
              <w:snapToGrid w:val="0"/>
              <w:jc w:val="both"/>
              <w:rPr>
                <w:sz w:val="22"/>
                <w:szCs w:val="22"/>
                <w:lang w:val="cs-CZ"/>
              </w:rPr>
            </w:pPr>
            <w:r w:rsidRPr="00581D90">
              <w:rPr>
                <w:sz w:val="22"/>
                <w:szCs w:val="22"/>
                <w:lang w:val="cs-CZ"/>
              </w:rPr>
              <w:t xml:space="preserve">Neznámá četnost </w:t>
            </w:r>
          </w:p>
          <w:p w14:paraId="5BA5F7F9" w14:textId="1397C336" w:rsidR="006D09E0" w:rsidRPr="00DB5F5E" w:rsidRDefault="00581D90" w:rsidP="00581D90">
            <w:pPr>
              <w:spacing w:before="60" w:after="60"/>
              <w:rPr>
                <w:sz w:val="22"/>
                <w:szCs w:val="22"/>
                <w:lang w:val="cs-CZ"/>
              </w:rPr>
            </w:pPr>
            <w:r w:rsidRPr="00581D90">
              <w:rPr>
                <w:sz w:val="22"/>
                <w:szCs w:val="22"/>
                <w:lang w:val="cs-CZ"/>
              </w:rPr>
              <w:t>(z dostupných údajů nelze určit)</w:t>
            </w:r>
          </w:p>
        </w:tc>
        <w:tc>
          <w:tcPr>
            <w:tcW w:w="3043" w:type="pct"/>
          </w:tcPr>
          <w:p w14:paraId="0926EBF8" w14:textId="31223F71" w:rsidR="006D09E0" w:rsidRPr="00DB5F5E" w:rsidRDefault="00581D90" w:rsidP="00DB5F5E">
            <w:pPr>
              <w:spacing w:before="60" w:after="60"/>
              <w:rPr>
                <w:iCs/>
                <w:sz w:val="22"/>
                <w:szCs w:val="22"/>
                <w:lang w:val="cs-CZ"/>
              </w:rPr>
            </w:pPr>
            <w:r>
              <w:rPr>
                <w:iCs/>
                <w:sz w:val="22"/>
                <w:szCs w:val="22"/>
                <w:lang w:val="cs-CZ"/>
              </w:rPr>
              <w:t>P</w:t>
            </w:r>
            <w:r w:rsidRPr="002118A5">
              <w:rPr>
                <w:iCs/>
                <w:sz w:val="22"/>
                <w:szCs w:val="22"/>
                <w:lang w:val="cs-CZ"/>
              </w:rPr>
              <w:t>oruchy vazivové tkáně</w:t>
            </w:r>
            <w:r>
              <w:rPr>
                <w:iCs/>
                <w:sz w:val="22"/>
                <w:szCs w:val="22"/>
                <w:lang w:val="cs-CZ"/>
              </w:rPr>
              <w:t xml:space="preserve"> – blíže neurčené</w:t>
            </w:r>
            <w:r w:rsidRPr="00DB5F5E" w:rsidDel="00581D90">
              <w:rPr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22D681D1" w14:textId="77777777" w:rsidR="006D09E0" w:rsidRPr="00DB5F5E" w:rsidRDefault="006D09E0" w:rsidP="00DB5F5E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1A3EF822" w14:textId="09E89A96" w:rsidR="006D09E0" w:rsidRPr="00DB5F5E" w:rsidRDefault="006D09E0" w:rsidP="00DB5F5E">
      <w:pPr>
        <w:snapToGrid w:val="0"/>
        <w:jc w:val="both"/>
        <w:rPr>
          <w:snapToGrid/>
          <w:sz w:val="22"/>
          <w:szCs w:val="22"/>
          <w:lang w:val="cs-CZ"/>
        </w:rPr>
      </w:pPr>
      <w:r w:rsidRPr="00DB5F5E">
        <w:rPr>
          <w:snapToGrid/>
          <w:sz w:val="22"/>
          <w:szCs w:val="22"/>
          <w:vertAlign w:val="superscript"/>
          <w:lang w:val="cs-CZ"/>
        </w:rPr>
        <w:t>1</w:t>
      </w:r>
      <w:r w:rsidRPr="00DB5F5E">
        <w:rPr>
          <w:snapToGrid/>
          <w:sz w:val="22"/>
          <w:szCs w:val="22"/>
          <w:lang w:val="cs-CZ"/>
        </w:rPr>
        <w:t xml:space="preserve"> především u mladých zvířat, a při zvýšeném příjmu vody</w:t>
      </w:r>
      <w:r w:rsidR="003B2D34" w:rsidRPr="00DB5F5E">
        <w:rPr>
          <w:sz w:val="22"/>
          <w:szCs w:val="22"/>
        </w:rPr>
        <w:t xml:space="preserve"> </w:t>
      </w:r>
      <w:r w:rsidR="003B2D34" w:rsidRPr="00DB5F5E">
        <w:rPr>
          <w:snapToGrid/>
          <w:sz w:val="22"/>
          <w:szCs w:val="22"/>
          <w:lang w:val="cs-CZ"/>
        </w:rPr>
        <w:t>je nutné zajistit podávání veterinárního léčivého přípravku v pitné vodě o předepsané teplotě a při dodržení stanovených podmínek.</w:t>
      </w:r>
    </w:p>
    <w:p w14:paraId="7CC1F595" w14:textId="77777777" w:rsidR="006D09E0" w:rsidRPr="00DB5F5E" w:rsidRDefault="006D09E0" w:rsidP="00DB5F5E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0ED517D0" w14:textId="6140212F" w:rsidR="006D09E0" w:rsidRPr="00DB5F5E" w:rsidRDefault="006D09E0" w:rsidP="00DB5F5E">
      <w:pPr>
        <w:snapToGrid w:val="0"/>
        <w:jc w:val="both"/>
        <w:rPr>
          <w:snapToGrid/>
          <w:sz w:val="22"/>
          <w:szCs w:val="22"/>
          <w:lang w:val="cs-CZ"/>
        </w:rPr>
      </w:pPr>
      <w:r w:rsidRPr="00DB5F5E">
        <w:rPr>
          <w:snapToGrid/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</w:t>
      </w:r>
      <w:r w:rsidR="002E79A9">
        <w:rPr>
          <w:snapToGrid/>
          <w:sz w:val="22"/>
          <w:szCs w:val="22"/>
          <w:lang w:val="cs-CZ"/>
        </w:rPr>
        <w:t>i</w:t>
      </w:r>
      <w:r w:rsidRPr="00DB5F5E">
        <w:rPr>
          <w:snapToGrid/>
          <w:sz w:val="22"/>
          <w:szCs w:val="22"/>
          <w:lang w:val="cs-CZ"/>
        </w:rPr>
        <w:t xml:space="preserve"> rozhodnutí o registraci nebo </w:t>
      </w:r>
      <w:r w:rsidR="00704D6A" w:rsidRPr="00704D6A">
        <w:rPr>
          <w:snapToGrid/>
          <w:sz w:val="22"/>
          <w:szCs w:val="22"/>
          <w:lang w:val="cs-CZ"/>
        </w:rPr>
        <w:t xml:space="preserve">jeho místnímu zástupci </w:t>
      </w:r>
      <w:r w:rsidRPr="00DB5F5E">
        <w:rPr>
          <w:snapToGrid/>
          <w:sz w:val="22"/>
          <w:szCs w:val="22"/>
          <w:lang w:val="cs-CZ"/>
        </w:rPr>
        <w:t>s využitím kontaktních údajů uvedených na konci této příbalové informace nebo prostřednictvím národního systému hlášení nežádoucích účinků:</w:t>
      </w:r>
    </w:p>
    <w:p w14:paraId="7162CA54" w14:textId="77777777" w:rsidR="00D413E5" w:rsidRPr="00DB5F5E" w:rsidRDefault="00D413E5" w:rsidP="00DB5F5E">
      <w:pPr>
        <w:snapToGrid w:val="0"/>
        <w:jc w:val="both"/>
        <w:rPr>
          <w:snapToGrid/>
          <w:sz w:val="22"/>
          <w:szCs w:val="22"/>
          <w:lang w:val="cs-CZ"/>
        </w:rPr>
      </w:pPr>
    </w:p>
    <w:p w14:paraId="1FFF3BD7" w14:textId="77777777" w:rsidR="006D09E0" w:rsidRPr="00DB5F5E" w:rsidRDefault="006D09E0" w:rsidP="00DB5F5E">
      <w:pPr>
        <w:snapToGrid w:val="0"/>
        <w:jc w:val="both"/>
        <w:rPr>
          <w:snapToGrid/>
          <w:sz w:val="22"/>
          <w:szCs w:val="22"/>
          <w:lang w:val="cs-CZ"/>
        </w:rPr>
      </w:pPr>
      <w:r w:rsidRPr="00DB5F5E">
        <w:rPr>
          <w:snapToGrid/>
          <w:sz w:val="22"/>
          <w:szCs w:val="22"/>
          <w:lang w:val="cs-CZ"/>
        </w:rPr>
        <w:t>Ústav pro státní kontrolu veterinárních biopreparátů a léčiv</w:t>
      </w:r>
    </w:p>
    <w:p w14:paraId="1DA76034" w14:textId="77777777" w:rsidR="006D09E0" w:rsidRPr="00DB5F5E" w:rsidRDefault="006D09E0" w:rsidP="00DB5F5E">
      <w:pPr>
        <w:snapToGrid w:val="0"/>
        <w:jc w:val="both"/>
        <w:rPr>
          <w:snapToGrid/>
          <w:sz w:val="22"/>
          <w:szCs w:val="22"/>
          <w:lang w:val="cs-CZ"/>
        </w:rPr>
      </w:pPr>
      <w:r w:rsidRPr="00DB5F5E">
        <w:rPr>
          <w:snapToGrid/>
          <w:sz w:val="22"/>
          <w:szCs w:val="22"/>
          <w:lang w:val="cs-CZ"/>
        </w:rPr>
        <w:t>Hudcova 232/</w:t>
      </w:r>
      <w:proofErr w:type="gramStart"/>
      <w:r w:rsidRPr="00DB5F5E">
        <w:rPr>
          <w:snapToGrid/>
          <w:sz w:val="22"/>
          <w:szCs w:val="22"/>
          <w:lang w:val="cs-CZ"/>
        </w:rPr>
        <w:t>56a</w:t>
      </w:r>
      <w:proofErr w:type="gramEnd"/>
    </w:p>
    <w:p w14:paraId="39226E1A" w14:textId="77777777" w:rsidR="006D09E0" w:rsidRPr="00DB5F5E" w:rsidRDefault="006D09E0" w:rsidP="00DB5F5E">
      <w:pPr>
        <w:snapToGrid w:val="0"/>
        <w:jc w:val="both"/>
        <w:rPr>
          <w:snapToGrid/>
          <w:sz w:val="22"/>
          <w:szCs w:val="22"/>
          <w:lang w:val="cs-CZ"/>
        </w:rPr>
      </w:pPr>
      <w:r w:rsidRPr="00DB5F5E">
        <w:rPr>
          <w:snapToGrid/>
          <w:sz w:val="22"/>
          <w:szCs w:val="22"/>
          <w:lang w:val="cs-CZ"/>
        </w:rPr>
        <w:t>621 00 Brno</w:t>
      </w:r>
    </w:p>
    <w:p w14:paraId="7BFCFBB7" w14:textId="77777777" w:rsidR="00923A1E" w:rsidRDefault="006D09E0" w:rsidP="00923A1E">
      <w:pPr>
        <w:snapToGrid w:val="0"/>
        <w:jc w:val="both"/>
        <w:rPr>
          <w:snapToGrid/>
          <w:sz w:val="22"/>
          <w:szCs w:val="22"/>
          <w:lang w:val="cs-CZ"/>
        </w:rPr>
      </w:pPr>
      <w:r w:rsidRPr="00DB5F5E">
        <w:rPr>
          <w:snapToGrid/>
          <w:sz w:val="22"/>
          <w:szCs w:val="22"/>
          <w:lang w:val="cs-CZ"/>
        </w:rPr>
        <w:t xml:space="preserve">e-mail: </w:t>
      </w:r>
      <w:hyperlink r:id="rId8" w:history="1">
        <w:r w:rsidRPr="00DB5F5E">
          <w:rPr>
            <w:rStyle w:val="Hypertextovodkaz"/>
            <w:snapToGrid/>
            <w:sz w:val="22"/>
            <w:szCs w:val="22"/>
            <w:lang w:val="cs-CZ"/>
          </w:rPr>
          <w:t>adr@uskvbl.cz</w:t>
        </w:r>
      </w:hyperlink>
    </w:p>
    <w:p w14:paraId="78E6B2A9" w14:textId="7445E6EE" w:rsidR="006D09E0" w:rsidRPr="00923A1E" w:rsidRDefault="00923A1E" w:rsidP="00923A1E">
      <w:pPr>
        <w:snapToGrid w:val="0"/>
        <w:jc w:val="both"/>
        <w:rPr>
          <w:snapToGrid/>
          <w:sz w:val="22"/>
          <w:szCs w:val="22"/>
          <w:lang w:val="cs-CZ"/>
        </w:rPr>
      </w:pPr>
      <w:r w:rsidRPr="00923A1E">
        <w:rPr>
          <w:snapToGrid/>
          <w:sz w:val="22"/>
          <w:szCs w:val="22"/>
          <w:lang w:val="cs-CZ"/>
        </w:rPr>
        <w:t>tel.: +420 720 940 693</w:t>
      </w:r>
    </w:p>
    <w:p w14:paraId="45FEAF01" w14:textId="38B93704" w:rsidR="006D09E0" w:rsidRPr="006C093C" w:rsidRDefault="006D09E0" w:rsidP="006C093C">
      <w:pPr>
        <w:jc w:val="both"/>
        <w:rPr>
          <w:sz w:val="22"/>
          <w:szCs w:val="22"/>
          <w:lang w:val="cs-CZ"/>
        </w:rPr>
      </w:pPr>
      <w:r w:rsidRPr="00DB5F5E">
        <w:rPr>
          <w:snapToGrid/>
          <w:sz w:val="22"/>
          <w:szCs w:val="22"/>
          <w:lang w:val="cs-CZ"/>
        </w:rPr>
        <w:t xml:space="preserve">Webové stránky: </w:t>
      </w:r>
      <w:hyperlink r:id="rId9" w:history="1">
        <w:r w:rsidRPr="00DB5F5E">
          <w:rPr>
            <w:rStyle w:val="Hypertextovodkaz"/>
            <w:snapToGrid/>
            <w:sz w:val="22"/>
            <w:szCs w:val="22"/>
            <w:lang w:val="cs-CZ"/>
          </w:rPr>
          <w:t>http://www.uskvbl.cz/cs/farmakovigilance</w:t>
        </w:r>
      </w:hyperlink>
      <w:r w:rsidRPr="00DB5F5E">
        <w:rPr>
          <w:snapToGrid/>
          <w:sz w:val="22"/>
          <w:szCs w:val="22"/>
          <w:lang w:val="cs-CZ"/>
        </w:rPr>
        <w:t xml:space="preserve"> </w:t>
      </w:r>
    </w:p>
    <w:p w14:paraId="44500942" w14:textId="77777777" w:rsidR="006D09E0" w:rsidRPr="006C093C" w:rsidRDefault="006D09E0" w:rsidP="006C093C">
      <w:pPr>
        <w:jc w:val="both"/>
        <w:rPr>
          <w:sz w:val="22"/>
          <w:szCs w:val="22"/>
          <w:lang w:val="cs-CZ"/>
        </w:rPr>
      </w:pPr>
    </w:p>
    <w:p w14:paraId="4DCB7A9D" w14:textId="77777777" w:rsidR="00227C2F" w:rsidRPr="006C093C" w:rsidRDefault="00227C2F" w:rsidP="006C093C">
      <w:pPr>
        <w:jc w:val="both"/>
        <w:rPr>
          <w:b/>
          <w:sz w:val="22"/>
          <w:szCs w:val="22"/>
          <w:lang w:val="cs-CZ"/>
        </w:rPr>
      </w:pPr>
    </w:p>
    <w:p w14:paraId="122BACF5" w14:textId="61D559F6" w:rsidR="00227C2F" w:rsidRPr="006C093C" w:rsidRDefault="00227C2F" w:rsidP="006C093C">
      <w:pPr>
        <w:jc w:val="both"/>
        <w:rPr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8.</w:t>
      </w:r>
      <w:r w:rsidRPr="006C093C">
        <w:rPr>
          <w:b/>
          <w:sz w:val="22"/>
          <w:szCs w:val="22"/>
          <w:lang w:val="cs-CZ"/>
        </w:rPr>
        <w:tab/>
        <w:t>D</w:t>
      </w:r>
      <w:r w:rsidR="006D09E0" w:rsidRPr="00DB5F5E">
        <w:rPr>
          <w:b/>
          <w:sz w:val="22"/>
          <w:szCs w:val="22"/>
          <w:lang w:val="cs-CZ"/>
        </w:rPr>
        <w:t>ávkování pro každý druh, cesty a způsob podání</w:t>
      </w:r>
    </w:p>
    <w:p w14:paraId="3096F744" w14:textId="77777777" w:rsidR="00227C2F" w:rsidRPr="006C093C" w:rsidRDefault="00227C2F" w:rsidP="006C093C">
      <w:pPr>
        <w:jc w:val="both"/>
        <w:rPr>
          <w:sz w:val="22"/>
          <w:szCs w:val="22"/>
          <w:lang w:val="cs-CZ"/>
        </w:rPr>
      </w:pPr>
    </w:p>
    <w:p w14:paraId="2A98B163" w14:textId="1CE700FB" w:rsidR="00227C2F" w:rsidRPr="00DB5F5E" w:rsidRDefault="00B66712" w:rsidP="00DB5F5E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Perorální p</w:t>
      </w:r>
      <w:r w:rsidR="00227C2F" w:rsidRPr="006C093C">
        <w:rPr>
          <w:sz w:val="22"/>
          <w:szCs w:val="22"/>
          <w:lang w:val="cs-CZ"/>
        </w:rPr>
        <w:t>odání v pitné vodě.</w:t>
      </w:r>
    </w:p>
    <w:p w14:paraId="0351B445" w14:textId="77777777" w:rsidR="006D09E0" w:rsidRPr="006C093C" w:rsidRDefault="006D09E0" w:rsidP="006C093C">
      <w:pPr>
        <w:jc w:val="both"/>
        <w:rPr>
          <w:sz w:val="22"/>
          <w:szCs w:val="22"/>
          <w:lang w:val="cs-CZ"/>
        </w:rPr>
      </w:pPr>
    </w:p>
    <w:p w14:paraId="3ED9F9F5" w14:textId="77777777" w:rsidR="00227C2F" w:rsidRPr="006C093C" w:rsidRDefault="00227C2F" w:rsidP="006C093C">
      <w:pPr>
        <w:tabs>
          <w:tab w:val="left" w:pos="-720"/>
        </w:tabs>
        <w:suppressAutoHyphens/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Brojleři kura domácího:</w:t>
      </w:r>
    </w:p>
    <w:p w14:paraId="4B57016C" w14:textId="206D8CCF" w:rsidR="00227C2F" w:rsidRPr="006C093C" w:rsidRDefault="00227C2F" w:rsidP="006C093C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10 mg enrofloxacinu / kg živé hmotnosti</w:t>
      </w:r>
      <w:r w:rsidR="008D65D1" w:rsidRPr="001E5CF0">
        <w:rPr>
          <w:sz w:val="22"/>
          <w:szCs w:val="22"/>
          <w:lang w:val="cs-CZ"/>
        </w:rPr>
        <w:t>/</w:t>
      </w:r>
      <w:r w:rsidRPr="006C093C">
        <w:rPr>
          <w:sz w:val="22"/>
          <w:szCs w:val="22"/>
          <w:lang w:val="cs-CZ"/>
        </w:rPr>
        <w:t xml:space="preserve">den po dobu 3–5 po sobě následujících dní.  </w:t>
      </w:r>
      <w:r w:rsidR="008D65D1" w:rsidRPr="001E5CF0">
        <w:rPr>
          <w:sz w:val="22"/>
          <w:szCs w:val="22"/>
          <w:lang w:val="cs-CZ"/>
        </w:rPr>
        <w:t>U smíšených infekcí a chronických progresivních forem</w:t>
      </w:r>
      <w:r w:rsidR="008D65D1" w:rsidRPr="006C093C" w:rsidDel="008D65D1">
        <w:rPr>
          <w:sz w:val="22"/>
          <w:szCs w:val="22"/>
          <w:lang w:val="cs-CZ"/>
        </w:rPr>
        <w:t xml:space="preserve"> </w:t>
      </w:r>
      <w:r w:rsidRPr="006C093C">
        <w:rPr>
          <w:sz w:val="22"/>
          <w:szCs w:val="22"/>
          <w:lang w:val="cs-CZ"/>
        </w:rPr>
        <w:t>po dobu 5 po sobě následujících dní.</w:t>
      </w:r>
    </w:p>
    <w:p w14:paraId="4CB42DCF" w14:textId="44FEDCC2" w:rsidR="003B2D34" w:rsidRPr="001E5CF0" w:rsidRDefault="003B2D34" w:rsidP="00DB5F5E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1E5CF0">
        <w:rPr>
          <w:sz w:val="22"/>
          <w:szCs w:val="22"/>
          <w:lang w:val="cs-CZ"/>
        </w:rPr>
        <w:t xml:space="preserve">Pokud během 2–3 dnů od zahájení léčby tímto veterinárním léčivým přípravkem nedojde ke klinickému zlepšení, měla by být </w:t>
      </w:r>
      <w:r w:rsidR="008D65D1" w:rsidRPr="001E5CF0">
        <w:rPr>
          <w:sz w:val="22"/>
          <w:szCs w:val="22"/>
          <w:lang w:val="cs-CZ"/>
        </w:rPr>
        <w:t xml:space="preserve">se zohledněním </w:t>
      </w:r>
      <w:r w:rsidRPr="001E5CF0">
        <w:rPr>
          <w:sz w:val="22"/>
          <w:szCs w:val="22"/>
          <w:lang w:val="cs-CZ"/>
        </w:rPr>
        <w:t xml:space="preserve">výsledků stanovení citlivosti zahájena </w:t>
      </w:r>
      <w:r w:rsidR="008D65D1" w:rsidRPr="001E5CF0">
        <w:rPr>
          <w:sz w:val="22"/>
          <w:szCs w:val="22"/>
          <w:lang w:val="cs-CZ"/>
        </w:rPr>
        <w:t xml:space="preserve">následná </w:t>
      </w:r>
      <w:r w:rsidRPr="001E5CF0">
        <w:rPr>
          <w:sz w:val="22"/>
          <w:szCs w:val="22"/>
          <w:lang w:val="cs-CZ"/>
        </w:rPr>
        <w:t>antimikrobní terapie.</w:t>
      </w:r>
    </w:p>
    <w:p w14:paraId="3946C3E1" w14:textId="77777777" w:rsidR="00623138" w:rsidRDefault="003B2D34" w:rsidP="00623138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1E5CF0">
        <w:rPr>
          <w:sz w:val="22"/>
          <w:szCs w:val="22"/>
          <w:lang w:val="cs-CZ"/>
        </w:rPr>
        <w:t>Pro zajištění správného dávkování je třeba co nejpřesněji stanovit živou</w:t>
      </w:r>
      <w:r w:rsidR="00623138">
        <w:rPr>
          <w:sz w:val="22"/>
          <w:szCs w:val="22"/>
          <w:lang w:val="cs-CZ"/>
        </w:rPr>
        <w:t xml:space="preserve"> hmotnost.</w:t>
      </w:r>
    </w:p>
    <w:p w14:paraId="4B3BB551" w14:textId="3A23F2AF" w:rsidR="00623138" w:rsidRPr="00623138" w:rsidRDefault="00623138" w:rsidP="00623138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623138">
        <w:rPr>
          <w:sz w:val="22"/>
          <w:szCs w:val="22"/>
          <w:lang w:val="cs-CZ"/>
        </w:rPr>
        <w:t>Příjem vody se může lišit v závislosti na věku, zdravotním stavu, plemeni a způsobu chovu.</w:t>
      </w:r>
      <w:r w:rsidRPr="00623138">
        <w:rPr>
          <w:sz w:val="22"/>
          <w:szCs w:val="22"/>
          <w:lang w:val="cs-CZ"/>
        </w:rPr>
        <w:t xml:space="preserve"> Příjem </w:t>
      </w:r>
      <w:proofErr w:type="spellStart"/>
      <w:r w:rsidRPr="00623138">
        <w:rPr>
          <w:sz w:val="22"/>
          <w:szCs w:val="22"/>
          <w:lang w:val="cs-CZ"/>
        </w:rPr>
        <w:t>medikované</w:t>
      </w:r>
      <w:proofErr w:type="spellEnd"/>
      <w:r w:rsidRPr="00623138">
        <w:rPr>
          <w:sz w:val="22"/>
          <w:szCs w:val="22"/>
          <w:lang w:val="cs-CZ"/>
        </w:rPr>
        <w:t xml:space="preserve"> pitné vody závisí na klinickém stavu zvířat. Pro dosažení správného dávkování může být nezbytné odpovídajícím způsobem upravit koncentraci enrofloxacinu. Při přípravě </w:t>
      </w:r>
      <w:proofErr w:type="spellStart"/>
      <w:r w:rsidRPr="00623138">
        <w:rPr>
          <w:sz w:val="22"/>
          <w:szCs w:val="22"/>
          <w:lang w:val="cs-CZ"/>
        </w:rPr>
        <w:t>medikované</w:t>
      </w:r>
      <w:proofErr w:type="spellEnd"/>
      <w:r w:rsidRPr="00623138">
        <w:rPr>
          <w:sz w:val="22"/>
          <w:szCs w:val="22"/>
          <w:lang w:val="cs-CZ"/>
        </w:rPr>
        <w:t xml:space="preserve"> pitné vody je nutné zohlednit živou hmotnost léčených zvířat a jejich průměrnou denní spotřebu vody. Při cílové dávce 10 mg enrofloxacinu/kg živé hmotnosti lze k zajištění požadovaného množství veterinárního léčivého přípravku v litru pitné vody použít následující výpočet:</w:t>
      </w:r>
    </w:p>
    <w:p w14:paraId="42438C44" w14:textId="0ACC754F" w:rsidR="008D65D1" w:rsidRPr="006C093C" w:rsidRDefault="008D65D1" w:rsidP="006C093C">
      <w:pPr>
        <w:pStyle w:val="Zkladntext2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4F62BB32" w14:textId="6C5E23C9" w:rsidR="00227C2F" w:rsidRPr="006C093C" w:rsidRDefault="008D65D1" w:rsidP="006C093C">
      <w:pPr>
        <w:jc w:val="both"/>
        <w:rPr>
          <w:sz w:val="22"/>
          <w:szCs w:val="22"/>
          <w:lang w:val="cs-CZ"/>
        </w:rPr>
      </w:pPr>
      <w:r w:rsidRPr="001E5CF0">
        <w:rPr>
          <w:noProof/>
          <w:sz w:val="22"/>
          <w:szCs w:val="22"/>
          <w:lang w:val="cs-CZ"/>
        </w:rPr>
        <w:drawing>
          <wp:inline distT="0" distB="0" distL="0" distR="0" wp14:anchorId="057495A0" wp14:editId="2D0E5154">
            <wp:extent cx="5524500" cy="754729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7699" cy="76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B9EC6" w14:textId="4B3C8791" w:rsidR="009264A2" w:rsidRPr="00071640" w:rsidRDefault="009264A2" w:rsidP="00DB5F5E">
      <w:pPr>
        <w:jc w:val="both"/>
        <w:rPr>
          <w:sz w:val="22"/>
          <w:szCs w:val="22"/>
          <w:lang w:val="cs-CZ"/>
        </w:rPr>
      </w:pPr>
      <w:r w:rsidRPr="00071640">
        <w:rPr>
          <w:sz w:val="22"/>
          <w:szCs w:val="22"/>
          <w:lang w:val="cs-CZ"/>
        </w:rPr>
        <w:lastRenderedPageBreak/>
        <w:t xml:space="preserve">Pro zajištění správného dávkování, včetně </w:t>
      </w:r>
      <w:r w:rsidR="008D65D1" w:rsidRPr="00071640">
        <w:rPr>
          <w:sz w:val="22"/>
          <w:szCs w:val="22"/>
          <w:lang w:val="cs-CZ"/>
        </w:rPr>
        <w:t xml:space="preserve">zamezení </w:t>
      </w:r>
      <w:r w:rsidRPr="00071640">
        <w:rPr>
          <w:sz w:val="22"/>
          <w:szCs w:val="22"/>
          <w:lang w:val="cs-CZ"/>
        </w:rPr>
        <w:t xml:space="preserve">podání </w:t>
      </w:r>
      <w:proofErr w:type="spellStart"/>
      <w:r w:rsidRPr="00071640">
        <w:rPr>
          <w:sz w:val="22"/>
          <w:szCs w:val="22"/>
          <w:lang w:val="cs-CZ"/>
        </w:rPr>
        <w:t>subterapeutické</w:t>
      </w:r>
      <w:proofErr w:type="spellEnd"/>
      <w:r w:rsidRPr="00071640">
        <w:rPr>
          <w:sz w:val="22"/>
          <w:szCs w:val="22"/>
          <w:lang w:val="cs-CZ"/>
        </w:rPr>
        <w:t xml:space="preserve"> dávky, je nezbytné stanovit živou hmotnost zvířat s maximální možnou přesností. </w:t>
      </w:r>
    </w:p>
    <w:p w14:paraId="213FB5DA" w14:textId="748245E5" w:rsidR="00227C2F" w:rsidRPr="006C093C" w:rsidRDefault="009264A2" w:rsidP="006C093C">
      <w:pPr>
        <w:pStyle w:val="Zkladntext"/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</w:pPr>
      <w:proofErr w:type="spellStart"/>
      <w:r w:rsidRPr="00071640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Medikovaná</w:t>
      </w:r>
      <w:proofErr w:type="spellEnd"/>
      <w:r w:rsidRPr="00071640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 xml:space="preserve"> pitná voda má být podávána jako jediný zdroj pitné vody pro léčená zvířata</w:t>
      </w:r>
      <w:r w:rsidR="00227C2F" w:rsidRPr="006C093C">
        <w:rPr>
          <w:rFonts w:ascii="Times New Roman" w:hAnsi="Times New Roman" w:cs="Times New Roman"/>
          <w:b w:val="0"/>
          <w:bCs w:val="0"/>
          <w:sz w:val="22"/>
          <w:szCs w:val="22"/>
          <w:lang w:val="cs-CZ"/>
        </w:rPr>
        <w:t>.</w:t>
      </w:r>
    </w:p>
    <w:p w14:paraId="24303C85" w14:textId="77777777" w:rsidR="00227C2F" w:rsidRPr="00071640" w:rsidRDefault="00227C2F" w:rsidP="00DB5F5E">
      <w:pPr>
        <w:jc w:val="both"/>
        <w:rPr>
          <w:b/>
          <w:sz w:val="22"/>
          <w:szCs w:val="22"/>
          <w:lang w:val="cs-CZ"/>
        </w:rPr>
      </w:pPr>
    </w:p>
    <w:p w14:paraId="656476F4" w14:textId="77777777" w:rsidR="006E6DAC" w:rsidRPr="006C093C" w:rsidRDefault="006E6DAC" w:rsidP="006C093C">
      <w:pPr>
        <w:jc w:val="both"/>
        <w:rPr>
          <w:b/>
          <w:sz w:val="22"/>
          <w:szCs w:val="22"/>
          <w:lang w:val="cs-CZ"/>
        </w:rPr>
      </w:pPr>
    </w:p>
    <w:p w14:paraId="698E895D" w14:textId="44C050DC" w:rsidR="00227C2F" w:rsidRPr="006C093C" w:rsidRDefault="00227C2F" w:rsidP="006C093C">
      <w:pPr>
        <w:keepNext/>
        <w:jc w:val="both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9.</w:t>
      </w:r>
      <w:r w:rsidRPr="006C093C">
        <w:rPr>
          <w:b/>
          <w:sz w:val="22"/>
          <w:szCs w:val="22"/>
          <w:lang w:val="cs-CZ"/>
        </w:rPr>
        <w:tab/>
      </w:r>
      <w:r w:rsidR="006D09E0" w:rsidRPr="00DB5F5E">
        <w:rPr>
          <w:b/>
          <w:sz w:val="22"/>
          <w:szCs w:val="22"/>
          <w:lang w:val="cs-CZ"/>
        </w:rPr>
        <w:t>Informace o správném podávání</w:t>
      </w:r>
    </w:p>
    <w:p w14:paraId="1C38A6D4" w14:textId="77777777" w:rsidR="00227C2F" w:rsidRPr="006C093C" w:rsidRDefault="00227C2F" w:rsidP="006C093C">
      <w:pPr>
        <w:keepNext/>
        <w:jc w:val="both"/>
        <w:rPr>
          <w:sz w:val="22"/>
          <w:szCs w:val="22"/>
          <w:lang w:val="cs-CZ"/>
        </w:rPr>
      </w:pPr>
    </w:p>
    <w:p w14:paraId="4464D806" w14:textId="20EAECB4" w:rsidR="00227C2F" w:rsidRPr="006C093C" w:rsidRDefault="00227C2F" w:rsidP="006C093C">
      <w:pPr>
        <w:pStyle w:val="Zkladntext2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6C093C">
        <w:rPr>
          <w:rFonts w:ascii="Times New Roman" w:hAnsi="Times New Roman" w:cs="Times New Roman"/>
          <w:sz w:val="22"/>
          <w:szCs w:val="22"/>
        </w:rPr>
        <w:t>Roztok připravujte těsně před použitím. Vodu používejte denně čerstvou.</w:t>
      </w:r>
    </w:p>
    <w:p w14:paraId="6BC0432E" w14:textId="77777777" w:rsidR="00227C2F" w:rsidRPr="00DB5F5E" w:rsidRDefault="00227C2F" w:rsidP="00DB5F5E">
      <w:pPr>
        <w:jc w:val="both"/>
        <w:rPr>
          <w:sz w:val="22"/>
          <w:szCs w:val="22"/>
          <w:lang w:val="cs-CZ"/>
        </w:rPr>
      </w:pPr>
    </w:p>
    <w:p w14:paraId="456F6E53" w14:textId="77777777" w:rsidR="006D09E0" w:rsidRPr="006C093C" w:rsidRDefault="006D09E0" w:rsidP="006C093C">
      <w:pPr>
        <w:jc w:val="both"/>
        <w:rPr>
          <w:sz w:val="22"/>
          <w:szCs w:val="22"/>
          <w:lang w:val="cs-CZ"/>
        </w:rPr>
      </w:pPr>
    </w:p>
    <w:p w14:paraId="49DE3638" w14:textId="6F8774A1" w:rsidR="00227C2F" w:rsidRPr="006C093C" w:rsidRDefault="00227C2F" w:rsidP="006C093C">
      <w:pPr>
        <w:jc w:val="both"/>
        <w:rPr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10.</w:t>
      </w:r>
      <w:r w:rsidRPr="006C093C">
        <w:rPr>
          <w:b/>
          <w:sz w:val="22"/>
          <w:szCs w:val="22"/>
          <w:lang w:val="cs-CZ"/>
        </w:rPr>
        <w:tab/>
        <w:t>O</w:t>
      </w:r>
      <w:r w:rsidR="006D09E0" w:rsidRPr="00DB5F5E">
        <w:rPr>
          <w:b/>
          <w:sz w:val="22"/>
          <w:szCs w:val="22"/>
          <w:lang w:val="cs-CZ"/>
        </w:rPr>
        <w:t>chranné lhůty</w:t>
      </w:r>
    </w:p>
    <w:p w14:paraId="7DAE4200" w14:textId="77777777" w:rsidR="006D09E0" w:rsidRPr="00DB5F5E" w:rsidRDefault="006D09E0" w:rsidP="00DB5F5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</w:p>
    <w:p w14:paraId="5DB74558" w14:textId="56483EDE" w:rsidR="006D09E0" w:rsidRPr="00DB5F5E" w:rsidRDefault="00227C2F" w:rsidP="00DB5F5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6C093C">
        <w:rPr>
          <w:rFonts w:ascii="Times New Roman" w:hAnsi="Times New Roman" w:cs="Times New Roman"/>
          <w:color w:val="auto"/>
          <w:sz w:val="22"/>
          <w:szCs w:val="22"/>
          <w:lang w:val="cs-CZ"/>
        </w:rPr>
        <w:t>Kur domácí</w:t>
      </w:r>
      <w:r w:rsidR="007F5F3E" w:rsidRPr="00DB5F5E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 (</w:t>
      </w:r>
      <w:r w:rsidR="00AB1A3A" w:rsidRPr="00DB5F5E">
        <w:rPr>
          <w:rFonts w:ascii="Times New Roman" w:hAnsi="Times New Roman" w:cs="Times New Roman"/>
          <w:color w:val="auto"/>
          <w:sz w:val="22"/>
          <w:szCs w:val="22"/>
          <w:lang w:val="cs-CZ"/>
        </w:rPr>
        <w:t>brojleři</w:t>
      </w:r>
      <w:r w:rsidR="007F5F3E" w:rsidRPr="00DB5F5E">
        <w:rPr>
          <w:rFonts w:ascii="Times New Roman" w:hAnsi="Times New Roman" w:cs="Times New Roman"/>
          <w:color w:val="auto"/>
          <w:sz w:val="22"/>
          <w:szCs w:val="22"/>
          <w:lang w:val="cs-CZ"/>
        </w:rPr>
        <w:t>)</w:t>
      </w:r>
      <w:r w:rsidRPr="006C093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: </w:t>
      </w:r>
    </w:p>
    <w:p w14:paraId="6CD2DB95" w14:textId="584B598C" w:rsidR="00227C2F" w:rsidRPr="006C093C" w:rsidRDefault="00227C2F" w:rsidP="00DB5F5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6C093C">
        <w:rPr>
          <w:rFonts w:ascii="Times New Roman" w:hAnsi="Times New Roman" w:cs="Times New Roman"/>
          <w:color w:val="auto"/>
          <w:sz w:val="22"/>
          <w:szCs w:val="22"/>
          <w:lang w:val="cs-CZ"/>
        </w:rPr>
        <w:t xml:space="preserve">Maso: 7 dní. </w:t>
      </w:r>
    </w:p>
    <w:p w14:paraId="33CFD1CD" w14:textId="77777777" w:rsidR="00227C2F" w:rsidRPr="006C093C" w:rsidRDefault="00227C2F" w:rsidP="00DB5F5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6C093C">
        <w:rPr>
          <w:rFonts w:ascii="Times New Roman" w:hAnsi="Times New Roman" w:cs="Times New Roman"/>
          <w:color w:val="auto"/>
          <w:sz w:val="22"/>
          <w:szCs w:val="22"/>
          <w:lang w:val="cs-CZ"/>
        </w:rPr>
        <w:t>Nepoužívat u nosnic, jejichž vejce jsou určena pro lidskou spotřebu.</w:t>
      </w:r>
    </w:p>
    <w:p w14:paraId="46B07EB6" w14:textId="3A922A04" w:rsidR="00227C2F" w:rsidRPr="006C093C" w:rsidRDefault="00227C2F" w:rsidP="00DB5F5E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cs-CZ"/>
        </w:rPr>
      </w:pPr>
      <w:r w:rsidRPr="006C093C">
        <w:rPr>
          <w:rFonts w:ascii="Times New Roman" w:hAnsi="Times New Roman" w:cs="Times New Roman"/>
          <w:color w:val="auto"/>
          <w:sz w:val="22"/>
          <w:szCs w:val="22"/>
          <w:lang w:val="cs-CZ"/>
        </w:rPr>
        <w:t>Nepoužívat u kuřic během 14 dní před počátkem snášky.</w:t>
      </w:r>
    </w:p>
    <w:p w14:paraId="7BF9F2C4" w14:textId="77777777" w:rsidR="00227C2F" w:rsidRPr="006C093C" w:rsidRDefault="00227C2F" w:rsidP="00DB5F5E">
      <w:pPr>
        <w:ind w:left="720"/>
        <w:jc w:val="both"/>
        <w:rPr>
          <w:sz w:val="22"/>
          <w:szCs w:val="22"/>
          <w:lang w:val="cs-CZ"/>
        </w:rPr>
      </w:pPr>
    </w:p>
    <w:p w14:paraId="3EE34390" w14:textId="77777777" w:rsidR="00227C2F" w:rsidRPr="006C093C" w:rsidRDefault="00227C2F" w:rsidP="006C093C">
      <w:pPr>
        <w:jc w:val="both"/>
        <w:rPr>
          <w:iCs/>
          <w:sz w:val="22"/>
          <w:szCs w:val="22"/>
          <w:lang w:val="cs-CZ"/>
        </w:rPr>
      </w:pPr>
    </w:p>
    <w:p w14:paraId="2FA3B69E" w14:textId="1462BA17" w:rsidR="00227C2F" w:rsidRPr="006C093C" w:rsidRDefault="00227C2F" w:rsidP="006C093C">
      <w:pPr>
        <w:jc w:val="both"/>
        <w:rPr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11.</w:t>
      </w:r>
      <w:r w:rsidRPr="006C093C">
        <w:rPr>
          <w:b/>
          <w:sz w:val="22"/>
          <w:szCs w:val="22"/>
          <w:lang w:val="cs-CZ"/>
        </w:rPr>
        <w:tab/>
        <w:t>Z</w:t>
      </w:r>
      <w:r w:rsidR="006D09E0" w:rsidRPr="00DB5F5E">
        <w:rPr>
          <w:b/>
          <w:sz w:val="22"/>
          <w:szCs w:val="22"/>
          <w:lang w:val="cs-CZ"/>
        </w:rPr>
        <w:t>vláštní opatření pro uchovávání</w:t>
      </w:r>
    </w:p>
    <w:p w14:paraId="36A193EE" w14:textId="77777777" w:rsidR="00227C2F" w:rsidRPr="006C093C" w:rsidRDefault="00227C2F" w:rsidP="006C093C">
      <w:pPr>
        <w:jc w:val="both"/>
        <w:rPr>
          <w:sz w:val="22"/>
          <w:szCs w:val="22"/>
          <w:lang w:val="cs-CZ"/>
        </w:rPr>
      </w:pPr>
    </w:p>
    <w:p w14:paraId="6FB4E4B4" w14:textId="2A89C7A5" w:rsidR="00227C2F" w:rsidRPr="006C093C" w:rsidRDefault="00227C2F" w:rsidP="006C093C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Uchováv</w:t>
      </w:r>
      <w:r w:rsidR="00411758" w:rsidRPr="00DB5F5E">
        <w:rPr>
          <w:sz w:val="22"/>
          <w:szCs w:val="22"/>
          <w:lang w:val="cs-CZ"/>
        </w:rPr>
        <w:t>ejte</w:t>
      </w:r>
      <w:r w:rsidRPr="006C093C">
        <w:rPr>
          <w:sz w:val="22"/>
          <w:szCs w:val="22"/>
          <w:lang w:val="cs-CZ"/>
        </w:rPr>
        <w:t xml:space="preserve"> mimo do</w:t>
      </w:r>
      <w:r w:rsidR="00411758" w:rsidRPr="00DB5F5E">
        <w:rPr>
          <w:sz w:val="22"/>
          <w:szCs w:val="22"/>
          <w:lang w:val="cs-CZ"/>
        </w:rPr>
        <w:t>hled a do</w:t>
      </w:r>
      <w:r w:rsidRPr="006C093C">
        <w:rPr>
          <w:sz w:val="22"/>
          <w:szCs w:val="22"/>
          <w:lang w:val="cs-CZ"/>
        </w:rPr>
        <w:t>sah dětí</w:t>
      </w:r>
      <w:r w:rsidR="006D09E0" w:rsidRPr="00DB5F5E">
        <w:rPr>
          <w:sz w:val="22"/>
          <w:szCs w:val="22"/>
          <w:lang w:val="cs-CZ"/>
        </w:rPr>
        <w:t>.</w:t>
      </w:r>
    </w:p>
    <w:p w14:paraId="09B6C607" w14:textId="13622E89" w:rsidR="00227C2F" w:rsidRPr="006C093C" w:rsidRDefault="00227C2F" w:rsidP="006C093C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6C093C">
          <w:rPr>
            <w:sz w:val="22"/>
            <w:szCs w:val="22"/>
            <w:lang w:val="cs-CZ"/>
          </w:rPr>
          <w:t>25 °C</w:t>
        </w:r>
      </w:smartTag>
      <w:r w:rsidR="006D09E0" w:rsidRPr="00DB5F5E">
        <w:rPr>
          <w:sz w:val="22"/>
          <w:szCs w:val="22"/>
          <w:lang w:val="cs-CZ"/>
        </w:rPr>
        <w:t>.</w:t>
      </w:r>
    </w:p>
    <w:p w14:paraId="5CE253DE" w14:textId="1DA26B0B" w:rsidR="00CC1B0F" w:rsidRPr="006C093C" w:rsidRDefault="006E6DAC" w:rsidP="006C093C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Nepoužívejte tento veterinární léčivý přípravek po uplynutí doby použitelnosti uvedené na etiketě po Exp. Doba použitelnosti končí posledním dnem v uvedeném měsíci.</w:t>
      </w:r>
      <w:r w:rsidR="00D413E5" w:rsidRPr="00DB5F5E">
        <w:rPr>
          <w:sz w:val="22"/>
          <w:szCs w:val="22"/>
          <w:lang w:val="cs-CZ"/>
        </w:rPr>
        <w:t xml:space="preserve"> </w:t>
      </w:r>
    </w:p>
    <w:p w14:paraId="46CB2A00" w14:textId="30A99140" w:rsidR="00227C2F" w:rsidRPr="006C093C" w:rsidRDefault="00227C2F" w:rsidP="006C093C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 xml:space="preserve">Doba použitelnosti po prvním otevření </w:t>
      </w:r>
      <w:r w:rsidR="006E6DAC" w:rsidRPr="00DB5F5E">
        <w:rPr>
          <w:sz w:val="22"/>
          <w:szCs w:val="22"/>
          <w:lang w:val="cs-CZ"/>
        </w:rPr>
        <w:t xml:space="preserve">vnitřního </w:t>
      </w:r>
      <w:r w:rsidRPr="006C093C">
        <w:rPr>
          <w:sz w:val="22"/>
          <w:szCs w:val="22"/>
          <w:lang w:val="cs-CZ"/>
        </w:rPr>
        <w:t>obalu: 3 měsíce</w:t>
      </w:r>
      <w:r w:rsidR="006E6DAC" w:rsidRPr="00DB5F5E">
        <w:rPr>
          <w:sz w:val="22"/>
          <w:szCs w:val="22"/>
          <w:lang w:val="cs-CZ"/>
        </w:rPr>
        <w:t>.</w:t>
      </w:r>
    </w:p>
    <w:p w14:paraId="7B172EDE" w14:textId="176BB075" w:rsidR="00227C2F" w:rsidRPr="006C093C" w:rsidRDefault="00227C2F" w:rsidP="006C093C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 xml:space="preserve">Doba použitelnosti po </w:t>
      </w:r>
      <w:r w:rsidR="00253D36">
        <w:rPr>
          <w:sz w:val="22"/>
          <w:szCs w:val="22"/>
          <w:lang w:val="cs-CZ"/>
        </w:rPr>
        <w:t>naředění</w:t>
      </w:r>
      <w:r w:rsidR="00253D36" w:rsidRPr="006C093C">
        <w:rPr>
          <w:sz w:val="22"/>
          <w:szCs w:val="22"/>
          <w:lang w:val="cs-CZ"/>
        </w:rPr>
        <w:t xml:space="preserve"> </w:t>
      </w:r>
      <w:r w:rsidR="006E6DAC" w:rsidRPr="00DB5F5E">
        <w:rPr>
          <w:sz w:val="22"/>
          <w:szCs w:val="22"/>
          <w:lang w:val="cs-CZ"/>
        </w:rPr>
        <w:t>podle návodu</w:t>
      </w:r>
      <w:r w:rsidRPr="006C093C">
        <w:rPr>
          <w:sz w:val="22"/>
          <w:szCs w:val="22"/>
          <w:lang w:val="cs-CZ"/>
        </w:rPr>
        <w:t>: 24 hodin</w:t>
      </w:r>
      <w:r w:rsidR="006E6DAC" w:rsidRPr="00DB5F5E">
        <w:rPr>
          <w:sz w:val="22"/>
          <w:szCs w:val="22"/>
          <w:lang w:val="cs-CZ"/>
        </w:rPr>
        <w:t>.</w:t>
      </w:r>
    </w:p>
    <w:p w14:paraId="436DF7EE" w14:textId="77777777" w:rsidR="00227C2F" w:rsidRPr="00DB5F5E" w:rsidRDefault="00227C2F" w:rsidP="00DB5F5E">
      <w:pPr>
        <w:jc w:val="both"/>
        <w:rPr>
          <w:sz w:val="22"/>
          <w:szCs w:val="22"/>
          <w:lang w:val="cs-CZ"/>
        </w:rPr>
      </w:pPr>
    </w:p>
    <w:p w14:paraId="771087A0" w14:textId="77777777" w:rsidR="006E6DAC" w:rsidRPr="00DB5F5E" w:rsidRDefault="006E6DAC" w:rsidP="00DB5F5E">
      <w:pPr>
        <w:jc w:val="both"/>
        <w:rPr>
          <w:sz w:val="22"/>
          <w:szCs w:val="22"/>
          <w:lang w:val="cs-CZ"/>
        </w:rPr>
      </w:pPr>
    </w:p>
    <w:p w14:paraId="6D51AE76" w14:textId="77777777" w:rsidR="006E6DAC" w:rsidRPr="006C093C" w:rsidRDefault="006E6DAC" w:rsidP="00DB5F5E">
      <w:pPr>
        <w:jc w:val="both"/>
        <w:rPr>
          <w:b/>
          <w:bCs/>
          <w:sz w:val="22"/>
          <w:szCs w:val="22"/>
          <w:lang w:val="cs-CZ"/>
        </w:rPr>
      </w:pPr>
      <w:r w:rsidRPr="006C093C">
        <w:rPr>
          <w:b/>
          <w:bCs/>
          <w:sz w:val="22"/>
          <w:szCs w:val="22"/>
          <w:highlight w:val="lightGray"/>
          <w:lang w:val="cs-CZ"/>
        </w:rPr>
        <w:t>12.</w:t>
      </w:r>
      <w:r w:rsidRPr="006C093C">
        <w:rPr>
          <w:b/>
          <w:bCs/>
          <w:sz w:val="22"/>
          <w:szCs w:val="22"/>
          <w:lang w:val="cs-CZ"/>
        </w:rPr>
        <w:tab/>
        <w:t>Zvláštní opatření pro likvidaci</w:t>
      </w:r>
    </w:p>
    <w:p w14:paraId="719EE4EB" w14:textId="77777777" w:rsidR="006E6DAC" w:rsidRPr="00DB5F5E" w:rsidRDefault="006E6DAC" w:rsidP="00DB5F5E">
      <w:pPr>
        <w:jc w:val="both"/>
        <w:rPr>
          <w:sz w:val="22"/>
          <w:szCs w:val="22"/>
          <w:lang w:val="cs-CZ"/>
        </w:rPr>
      </w:pPr>
    </w:p>
    <w:p w14:paraId="77C0F58B" w14:textId="7B70E0E3" w:rsidR="006E6DAC" w:rsidRPr="00DB5F5E" w:rsidRDefault="006E6DAC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Léčivé přípravky se nesmí likvidovat prostřednictvím odpadní vody či domovního odpadu.</w:t>
      </w:r>
    </w:p>
    <w:p w14:paraId="4098BE2C" w14:textId="77777777" w:rsidR="006E6DAC" w:rsidRPr="00DB5F5E" w:rsidRDefault="006E6DAC" w:rsidP="00DB5F5E">
      <w:pPr>
        <w:jc w:val="both"/>
        <w:rPr>
          <w:sz w:val="22"/>
          <w:szCs w:val="22"/>
          <w:lang w:val="cs-CZ"/>
        </w:rPr>
      </w:pPr>
    </w:p>
    <w:p w14:paraId="69524A51" w14:textId="77777777" w:rsidR="006E6DAC" w:rsidRPr="00DB5F5E" w:rsidRDefault="006E6DAC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14F9F12D" w14:textId="77777777" w:rsidR="006E6DAC" w:rsidRPr="00DB5F5E" w:rsidRDefault="006E6DAC" w:rsidP="00DB5F5E">
      <w:pPr>
        <w:jc w:val="both"/>
        <w:rPr>
          <w:sz w:val="22"/>
          <w:szCs w:val="22"/>
          <w:lang w:val="cs-CZ"/>
        </w:rPr>
      </w:pPr>
    </w:p>
    <w:p w14:paraId="22088F03" w14:textId="298AF828" w:rsidR="006E6DAC" w:rsidRPr="00DB5F5E" w:rsidRDefault="006E6DAC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O možnostech likvidace nepotřebných léčivých přípravků se poraďte s vaším veterinárním lékařem nebo lékárníkem.</w:t>
      </w:r>
    </w:p>
    <w:p w14:paraId="510D9B37" w14:textId="77777777" w:rsidR="006E6DAC" w:rsidRPr="00DB5F5E" w:rsidRDefault="006E6DAC" w:rsidP="00DB5F5E">
      <w:pPr>
        <w:jc w:val="both"/>
        <w:rPr>
          <w:sz w:val="22"/>
          <w:szCs w:val="22"/>
          <w:lang w:val="cs-CZ"/>
        </w:rPr>
      </w:pPr>
    </w:p>
    <w:p w14:paraId="15C1DB26" w14:textId="77777777" w:rsidR="006E6DAC" w:rsidRPr="006C093C" w:rsidRDefault="006E6DAC" w:rsidP="006C093C">
      <w:pPr>
        <w:jc w:val="both"/>
        <w:rPr>
          <w:sz w:val="22"/>
          <w:szCs w:val="22"/>
          <w:lang w:val="cs-CZ"/>
        </w:rPr>
      </w:pPr>
    </w:p>
    <w:p w14:paraId="3D8FE245" w14:textId="6CCD9FCC" w:rsidR="00227C2F" w:rsidRPr="006C093C" w:rsidRDefault="00227C2F" w:rsidP="006C093C">
      <w:pPr>
        <w:jc w:val="both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13.</w:t>
      </w:r>
      <w:r w:rsidRPr="006C093C">
        <w:rPr>
          <w:b/>
          <w:sz w:val="22"/>
          <w:szCs w:val="22"/>
          <w:lang w:val="cs-CZ"/>
        </w:rPr>
        <w:tab/>
        <w:t xml:space="preserve"> </w:t>
      </w:r>
      <w:r w:rsidR="006E6DAC" w:rsidRPr="00DB5F5E">
        <w:rPr>
          <w:b/>
          <w:sz w:val="22"/>
          <w:szCs w:val="22"/>
          <w:lang w:val="cs-CZ"/>
        </w:rPr>
        <w:t>Klasifikace veterinárních léčivých přípravků</w:t>
      </w:r>
    </w:p>
    <w:p w14:paraId="245E0372" w14:textId="77777777" w:rsidR="006E6DAC" w:rsidRPr="00DB5F5E" w:rsidRDefault="006E6DAC" w:rsidP="00DB5F5E">
      <w:pPr>
        <w:jc w:val="both"/>
        <w:rPr>
          <w:bCs/>
          <w:sz w:val="22"/>
          <w:szCs w:val="22"/>
          <w:lang w:val="cs-CZ"/>
        </w:rPr>
      </w:pPr>
    </w:p>
    <w:p w14:paraId="0726CBC2" w14:textId="31CD19A8" w:rsidR="006E6DAC" w:rsidRPr="006C093C" w:rsidRDefault="006E6DAC" w:rsidP="00DB5F5E">
      <w:pPr>
        <w:jc w:val="both"/>
        <w:rPr>
          <w:bCs/>
          <w:sz w:val="22"/>
          <w:szCs w:val="22"/>
          <w:lang w:val="cs-CZ"/>
        </w:rPr>
      </w:pPr>
      <w:r w:rsidRPr="006C093C">
        <w:rPr>
          <w:bCs/>
          <w:sz w:val="22"/>
          <w:szCs w:val="22"/>
          <w:lang w:val="cs-CZ"/>
        </w:rPr>
        <w:t>Veterinární léčivý přípravek je vydáván pouze na předpis.</w:t>
      </w:r>
    </w:p>
    <w:p w14:paraId="76638746" w14:textId="77777777" w:rsidR="006E6DAC" w:rsidRPr="00DB5F5E" w:rsidRDefault="006E6DAC" w:rsidP="00DB5F5E">
      <w:pPr>
        <w:jc w:val="both"/>
        <w:rPr>
          <w:bCs/>
          <w:sz w:val="22"/>
          <w:szCs w:val="22"/>
          <w:lang w:val="cs-CZ"/>
        </w:rPr>
      </w:pPr>
    </w:p>
    <w:p w14:paraId="7A66B820" w14:textId="77777777" w:rsidR="006E6DAC" w:rsidRPr="00DB5F5E" w:rsidRDefault="006E6DAC" w:rsidP="00DB5F5E">
      <w:pPr>
        <w:jc w:val="both"/>
        <w:rPr>
          <w:bCs/>
          <w:sz w:val="22"/>
          <w:szCs w:val="22"/>
          <w:lang w:val="cs-CZ"/>
        </w:rPr>
      </w:pPr>
    </w:p>
    <w:p w14:paraId="752FEEDA" w14:textId="77777777" w:rsidR="006E6DAC" w:rsidRPr="006C093C" w:rsidRDefault="006E6DAC" w:rsidP="00DB5F5E">
      <w:pPr>
        <w:keepNext/>
        <w:jc w:val="both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14.</w:t>
      </w:r>
      <w:r w:rsidRPr="006C093C">
        <w:rPr>
          <w:b/>
          <w:sz w:val="22"/>
          <w:szCs w:val="22"/>
          <w:lang w:val="cs-CZ"/>
        </w:rPr>
        <w:tab/>
        <w:t>Registrační čísla a velikosti balení</w:t>
      </w:r>
    </w:p>
    <w:p w14:paraId="4AEB2226" w14:textId="77777777" w:rsidR="006E6DAC" w:rsidRPr="00DB5F5E" w:rsidRDefault="006E6DAC" w:rsidP="00DB5F5E">
      <w:pPr>
        <w:keepNext/>
        <w:jc w:val="both"/>
        <w:rPr>
          <w:bCs/>
          <w:sz w:val="22"/>
          <w:szCs w:val="22"/>
          <w:lang w:val="cs-CZ"/>
        </w:rPr>
      </w:pPr>
    </w:p>
    <w:p w14:paraId="3D30FD62" w14:textId="1D3B975B" w:rsidR="006E6DAC" w:rsidRPr="00DB5F5E" w:rsidRDefault="006E6DAC" w:rsidP="00DB5F5E">
      <w:pPr>
        <w:jc w:val="both"/>
        <w:rPr>
          <w:bCs/>
          <w:sz w:val="22"/>
          <w:szCs w:val="22"/>
          <w:lang w:val="cs-CZ"/>
        </w:rPr>
      </w:pPr>
      <w:r w:rsidRPr="00DB5F5E">
        <w:rPr>
          <w:bCs/>
          <w:sz w:val="22"/>
          <w:szCs w:val="22"/>
          <w:lang w:val="cs-CZ"/>
        </w:rPr>
        <w:t>96/021/</w:t>
      </w:r>
      <w:proofErr w:type="gramStart"/>
      <w:r w:rsidRPr="00DB5F5E">
        <w:rPr>
          <w:bCs/>
          <w:sz w:val="22"/>
          <w:szCs w:val="22"/>
          <w:lang w:val="cs-CZ"/>
        </w:rPr>
        <w:t>02-C</w:t>
      </w:r>
      <w:proofErr w:type="gramEnd"/>
    </w:p>
    <w:p w14:paraId="6DE4A623" w14:textId="77777777" w:rsidR="006E6DAC" w:rsidRPr="00DB5F5E" w:rsidRDefault="006E6DAC" w:rsidP="00DB5F5E">
      <w:pPr>
        <w:jc w:val="both"/>
        <w:rPr>
          <w:bCs/>
          <w:sz w:val="22"/>
          <w:szCs w:val="22"/>
          <w:lang w:val="cs-CZ"/>
        </w:rPr>
      </w:pPr>
    </w:p>
    <w:p w14:paraId="248C02E2" w14:textId="63DABD71" w:rsidR="006E6DAC" w:rsidRPr="006C093C" w:rsidRDefault="006E6DAC" w:rsidP="00DB5F5E">
      <w:pPr>
        <w:keepNext/>
        <w:jc w:val="both"/>
        <w:rPr>
          <w:bCs/>
          <w:sz w:val="22"/>
          <w:szCs w:val="22"/>
          <w:u w:val="single"/>
          <w:lang w:val="cs-CZ"/>
        </w:rPr>
      </w:pPr>
      <w:r w:rsidRPr="006C093C">
        <w:rPr>
          <w:bCs/>
          <w:sz w:val="22"/>
          <w:szCs w:val="22"/>
          <w:u w:val="single"/>
          <w:lang w:val="cs-CZ"/>
        </w:rPr>
        <w:t>Velikost balení:</w:t>
      </w:r>
    </w:p>
    <w:p w14:paraId="0F6C7863" w14:textId="368A16B3" w:rsidR="006E6DAC" w:rsidRPr="00DB5F5E" w:rsidRDefault="006E6DAC" w:rsidP="00DB5F5E">
      <w:pPr>
        <w:jc w:val="both"/>
        <w:rPr>
          <w:bCs/>
          <w:sz w:val="22"/>
          <w:szCs w:val="22"/>
          <w:lang w:val="cs-CZ"/>
        </w:rPr>
      </w:pPr>
      <w:r w:rsidRPr="00DB5F5E">
        <w:rPr>
          <w:bCs/>
          <w:sz w:val="22"/>
          <w:szCs w:val="22"/>
          <w:lang w:val="cs-CZ"/>
        </w:rPr>
        <w:t>Polyethylenová láhev o objemu 1000 a 5000 ml.</w:t>
      </w:r>
    </w:p>
    <w:p w14:paraId="1F40C900" w14:textId="77777777" w:rsidR="006E6DAC" w:rsidRPr="00DB5F5E" w:rsidRDefault="006E6DAC" w:rsidP="00DB5F5E">
      <w:pPr>
        <w:jc w:val="both"/>
        <w:rPr>
          <w:bCs/>
          <w:sz w:val="22"/>
          <w:szCs w:val="22"/>
          <w:lang w:val="cs-CZ"/>
        </w:rPr>
      </w:pPr>
    </w:p>
    <w:p w14:paraId="56969C58" w14:textId="50F93EE8" w:rsidR="006E6DAC" w:rsidRPr="00DB5F5E" w:rsidRDefault="006E6DAC" w:rsidP="00DB5F5E">
      <w:pPr>
        <w:jc w:val="both"/>
        <w:rPr>
          <w:bCs/>
          <w:sz w:val="22"/>
          <w:szCs w:val="22"/>
          <w:lang w:val="cs-CZ"/>
        </w:rPr>
      </w:pPr>
      <w:r w:rsidRPr="00DB5F5E">
        <w:rPr>
          <w:bCs/>
          <w:sz w:val="22"/>
          <w:szCs w:val="22"/>
          <w:lang w:val="cs-CZ"/>
        </w:rPr>
        <w:t>Na trhu nemusí být všechny velikosti balení.</w:t>
      </w:r>
    </w:p>
    <w:p w14:paraId="3525F7A3" w14:textId="77777777" w:rsidR="006E6DAC" w:rsidRPr="00DB5F5E" w:rsidRDefault="006E6DAC" w:rsidP="00DB5F5E">
      <w:pPr>
        <w:jc w:val="both"/>
        <w:rPr>
          <w:bCs/>
          <w:sz w:val="22"/>
          <w:szCs w:val="22"/>
          <w:lang w:val="cs-CZ"/>
        </w:rPr>
      </w:pPr>
    </w:p>
    <w:p w14:paraId="29C2A579" w14:textId="77777777" w:rsidR="006E6DAC" w:rsidRPr="006C093C" w:rsidRDefault="006E6DAC" w:rsidP="00DB5F5E">
      <w:pPr>
        <w:jc w:val="both"/>
        <w:rPr>
          <w:bCs/>
          <w:sz w:val="22"/>
          <w:szCs w:val="22"/>
          <w:lang w:val="cs-CZ"/>
        </w:rPr>
      </w:pPr>
    </w:p>
    <w:p w14:paraId="117D38BB" w14:textId="4DF4F53E" w:rsidR="00227C2F" w:rsidRPr="006C093C" w:rsidRDefault="00227C2F" w:rsidP="006C093C">
      <w:pPr>
        <w:jc w:val="both"/>
        <w:rPr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1</w:t>
      </w:r>
      <w:r w:rsidR="006E6DAC" w:rsidRPr="00DB5F5E">
        <w:rPr>
          <w:b/>
          <w:sz w:val="22"/>
          <w:szCs w:val="22"/>
          <w:highlight w:val="lightGray"/>
          <w:lang w:val="cs-CZ"/>
        </w:rPr>
        <w:t>5</w:t>
      </w:r>
      <w:r w:rsidRPr="006C093C">
        <w:rPr>
          <w:b/>
          <w:sz w:val="22"/>
          <w:szCs w:val="22"/>
          <w:highlight w:val="lightGray"/>
          <w:lang w:val="cs-CZ"/>
        </w:rPr>
        <w:t>.</w:t>
      </w:r>
      <w:r w:rsidRPr="006C093C">
        <w:rPr>
          <w:b/>
          <w:sz w:val="22"/>
          <w:szCs w:val="22"/>
          <w:lang w:val="cs-CZ"/>
        </w:rPr>
        <w:tab/>
        <w:t>D</w:t>
      </w:r>
      <w:r w:rsidR="006E6DAC" w:rsidRPr="00DB5F5E">
        <w:rPr>
          <w:b/>
          <w:sz w:val="22"/>
          <w:szCs w:val="22"/>
          <w:lang w:val="cs-CZ"/>
        </w:rPr>
        <w:t>atum poslední revize příbalové informace</w:t>
      </w:r>
    </w:p>
    <w:p w14:paraId="57C46D16" w14:textId="77777777" w:rsidR="006E6DAC" w:rsidRPr="006C093C" w:rsidRDefault="006E6DAC" w:rsidP="006C093C">
      <w:pPr>
        <w:jc w:val="both"/>
        <w:rPr>
          <w:sz w:val="22"/>
          <w:szCs w:val="22"/>
          <w:lang w:val="cs-CZ"/>
        </w:rPr>
      </w:pPr>
    </w:p>
    <w:p w14:paraId="026D37DA" w14:textId="23F96D0D" w:rsidR="00227C2F" w:rsidRPr="006C093C" w:rsidRDefault="00B66712" w:rsidP="00DB5F5E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12</w:t>
      </w:r>
      <w:r w:rsidR="0021068A" w:rsidRPr="00DB5F5E">
        <w:rPr>
          <w:sz w:val="22"/>
          <w:szCs w:val="22"/>
          <w:lang w:val="cs-CZ"/>
        </w:rPr>
        <w:t>/2025</w:t>
      </w:r>
    </w:p>
    <w:p w14:paraId="3304552D" w14:textId="77777777" w:rsidR="00227C2F" w:rsidRPr="006C093C" w:rsidRDefault="00227C2F" w:rsidP="00DB5F5E">
      <w:pPr>
        <w:jc w:val="both"/>
        <w:rPr>
          <w:sz w:val="22"/>
          <w:szCs w:val="22"/>
          <w:lang w:val="cs-CZ"/>
        </w:rPr>
      </w:pPr>
    </w:p>
    <w:p w14:paraId="595AE79F" w14:textId="053FC072" w:rsidR="006E6DAC" w:rsidRPr="00DB5F5E" w:rsidRDefault="006E6DAC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Podrobné informace o tomto veterinárním léčivém přípravku jsou k dispozici v databázi přípravků Unie (</w:t>
      </w:r>
      <w:hyperlink r:id="rId11" w:history="1">
        <w:r w:rsidRPr="00DB5F5E">
          <w:rPr>
            <w:rStyle w:val="Hypertextovodkaz"/>
            <w:sz w:val="22"/>
            <w:szCs w:val="22"/>
            <w:lang w:val="cs-CZ"/>
          </w:rPr>
          <w:t>https://medicines.health.europa.eu/veterinary</w:t>
        </w:r>
      </w:hyperlink>
      <w:r w:rsidRPr="00DB5F5E">
        <w:rPr>
          <w:sz w:val="22"/>
          <w:szCs w:val="22"/>
          <w:lang w:val="cs-CZ"/>
        </w:rPr>
        <w:t>).</w:t>
      </w:r>
    </w:p>
    <w:p w14:paraId="0F74AA23" w14:textId="77777777" w:rsidR="006E6DAC" w:rsidRPr="00DB5F5E" w:rsidRDefault="006E6DAC" w:rsidP="00DB5F5E">
      <w:pPr>
        <w:jc w:val="both"/>
        <w:rPr>
          <w:sz w:val="22"/>
          <w:szCs w:val="22"/>
          <w:lang w:val="cs-CZ"/>
        </w:rPr>
      </w:pPr>
    </w:p>
    <w:p w14:paraId="0546367D" w14:textId="09E5729C" w:rsidR="00227C2F" w:rsidRPr="00DB5F5E" w:rsidRDefault="006E6DAC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Podrobné informace o tomto veterinárním léčivém přípravku naleznete také v národní databázi (</w:t>
      </w:r>
      <w:hyperlink r:id="rId12" w:history="1">
        <w:r w:rsidRPr="00DB5F5E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Pr="00DB5F5E">
        <w:rPr>
          <w:sz w:val="22"/>
          <w:szCs w:val="22"/>
          <w:lang w:val="cs-CZ"/>
        </w:rPr>
        <w:t>).</w:t>
      </w:r>
    </w:p>
    <w:p w14:paraId="44E75360" w14:textId="77777777" w:rsidR="006E6DAC" w:rsidRPr="00DB5F5E" w:rsidRDefault="006E6DAC" w:rsidP="00DB5F5E">
      <w:pPr>
        <w:jc w:val="both"/>
        <w:rPr>
          <w:sz w:val="22"/>
          <w:szCs w:val="22"/>
          <w:lang w:val="cs-CZ"/>
        </w:rPr>
      </w:pPr>
    </w:p>
    <w:p w14:paraId="4FDEFD4A" w14:textId="77777777" w:rsidR="006E6DAC" w:rsidRPr="00DB5F5E" w:rsidRDefault="006E6DAC" w:rsidP="00DB5F5E">
      <w:pPr>
        <w:jc w:val="both"/>
        <w:rPr>
          <w:sz w:val="22"/>
          <w:szCs w:val="22"/>
          <w:lang w:val="cs-CZ"/>
        </w:rPr>
      </w:pPr>
    </w:p>
    <w:p w14:paraId="66BD01E4" w14:textId="77777777" w:rsidR="006E6DAC" w:rsidRPr="006C093C" w:rsidRDefault="006E6DAC" w:rsidP="00DB5F5E">
      <w:pPr>
        <w:jc w:val="both"/>
        <w:rPr>
          <w:b/>
          <w:bCs/>
          <w:sz w:val="22"/>
          <w:szCs w:val="22"/>
          <w:lang w:val="cs-CZ"/>
        </w:rPr>
      </w:pPr>
      <w:r w:rsidRPr="006C093C">
        <w:rPr>
          <w:b/>
          <w:bCs/>
          <w:sz w:val="22"/>
          <w:szCs w:val="22"/>
          <w:highlight w:val="lightGray"/>
          <w:lang w:val="cs-CZ"/>
        </w:rPr>
        <w:t>16.</w:t>
      </w:r>
      <w:r w:rsidRPr="006C093C">
        <w:rPr>
          <w:b/>
          <w:bCs/>
          <w:sz w:val="22"/>
          <w:szCs w:val="22"/>
          <w:lang w:val="cs-CZ"/>
        </w:rPr>
        <w:tab/>
        <w:t>Kontaktní údaje</w:t>
      </w:r>
    </w:p>
    <w:p w14:paraId="7BFE7CA3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</w:p>
    <w:p w14:paraId="26775E2A" w14:textId="77777777" w:rsidR="006E6DAC" w:rsidRPr="006C093C" w:rsidRDefault="006E6DAC" w:rsidP="00DB5F5E">
      <w:pPr>
        <w:jc w:val="both"/>
        <w:rPr>
          <w:sz w:val="22"/>
          <w:szCs w:val="22"/>
          <w:u w:val="single"/>
          <w:lang w:val="cs-CZ"/>
        </w:rPr>
      </w:pPr>
      <w:r w:rsidRPr="006C093C">
        <w:rPr>
          <w:sz w:val="22"/>
          <w:szCs w:val="22"/>
          <w:u w:val="single"/>
          <w:lang w:val="cs-CZ"/>
        </w:rPr>
        <w:t>Držitel rozhodnutí o registraci a výrobce odpovědný za uvolnění šarže:</w:t>
      </w:r>
    </w:p>
    <w:p w14:paraId="4C644421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LABORATORIOS CALIER, S.A.</w:t>
      </w:r>
    </w:p>
    <w:p w14:paraId="3D967BC8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 xml:space="preserve">C/ </w:t>
      </w:r>
      <w:proofErr w:type="spellStart"/>
      <w:r w:rsidRPr="006C093C">
        <w:rPr>
          <w:sz w:val="22"/>
          <w:szCs w:val="22"/>
          <w:lang w:val="cs-CZ"/>
        </w:rPr>
        <w:t>Barcelonès</w:t>
      </w:r>
      <w:proofErr w:type="spellEnd"/>
      <w:r w:rsidRPr="006C093C">
        <w:rPr>
          <w:sz w:val="22"/>
          <w:szCs w:val="22"/>
          <w:lang w:val="cs-CZ"/>
        </w:rPr>
        <w:t>, 26 (</w:t>
      </w:r>
      <w:proofErr w:type="spellStart"/>
      <w:r w:rsidRPr="006C093C">
        <w:rPr>
          <w:sz w:val="22"/>
          <w:szCs w:val="22"/>
          <w:lang w:val="cs-CZ"/>
        </w:rPr>
        <w:t>Pla</w:t>
      </w:r>
      <w:proofErr w:type="spellEnd"/>
      <w:r w:rsidRPr="006C093C">
        <w:rPr>
          <w:sz w:val="22"/>
          <w:szCs w:val="22"/>
          <w:lang w:val="cs-CZ"/>
        </w:rPr>
        <w:t xml:space="preserve"> </w:t>
      </w:r>
      <w:proofErr w:type="spellStart"/>
      <w:r w:rsidRPr="006C093C">
        <w:rPr>
          <w:sz w:val="22"/>
          <w:szCs w:val="22"/>
          <w:lang w:val="cs-CZ"/>
        </w:rPr>
        <w:t>del</w:t>
      </w:r>
      <w:proofErr w:type="spellEnd"/>
      <w:r w:rsidRPr="006C093C">
        <w:rPr>
          <w:sz w:val="22"/>
          <w:szCs w:val="22"/>
          <w:lang w:val="cs-CZ"/>
        </w:rPr>
        <w:t xml:space="preserve"> </w:t>
      </w:r>
      <w:proofErr w:type="spellStart"/>
      <w:r w:rsidRPr="006C093C">
        <w:rPr>
          <w:sz w:val="22"/>
          <w:szCs w:val="22"/>
          <w:lang w:val="cs-CZ"/>
        </w:rPr>
        <w:t>Ramassar</w:t>
      </w:r>
      <w:proofErr w:type="spellEnd"/>
      <w:r w:rsidRPr="006C093C">
        <w:rPr>
          <w:sz w:val="22"/>
          <w:szCs w:val="22"/>
          <w:lang w:val="cs-CZ"/>
        </w:rPr>
        <w:t>)</w:t>
      </w:r>
    </w:p>
    <w:p w14:paraId="511780AC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 xml:space="preserve">08520 Les </w:t>
      </w:r>
      <w:proofErr w:type="spellStart"/>
      <w:r w:rsidRPr="006C093C">
        <w:rPr>
          <w:sz w:val="22"/>
          <w:szCs w:val="22"/>
          <w:lang w:val="cs-CZ"/>
        </w:rPr>
        <w:t>Franqueses</w:t>
      </w:r>
      <w:proofErr w:type="spellEnd"/>
      <w:r w:rsidRPr="006C093C">
        <w:rPr>
          <w:sz w:val="22"/>
          <w:szCs w:val="22"/>
          <w:lang w:val="cs-CZ"/>
        </w:rPr>
        <w:t xml:space="preserve"> </w:t>
      </w:r>
      <w:proofErr w:type="spellStart"/>
      <w:r w:rsidRPr="006C093C">
        <w:rPr>
          <w:sz w:val="22"/>
          <w:szCs w:val="22"/>
          <w:lang w:val="cs-CZ"/>
        </w:rPr>
        <w:t>del</w:t>
      </w:r>
      <w:proofErr w:type="spellEnd"/>
      <w:r w:rsidRPr="006C093C">
        <w:rPr>
          <w:sz w:val="22"/>
          <w:szCs w:val="22"/>
          <w:lang w:val="cs-CZ"/>
        </w:rPr>
        <w:t xml:space="preserve"> </w:t>
      </w:r>
      <w:proofErr w:type="spellStart"/>
      <w:r w:rsidRPr="006C093C">
        <w:rPr>
          <w:sz w:val="22"/>
          <w:szCs w:val="22"/>
          <w:lang w:val="cs-CZ"/>
        </w:rPr>
        <w:t>Vallès</w:t>
      </w:r>
      <w:proofErr w:type="spellEnd"/>
    </w:p>
    <w:p w14:paraId="0DB0183C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Barcelona</w:t>
      </w:r>
    </w:p>
    <w:p w14:paraId="379E6FCB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Španělsko</w:t>
      </w:r>
    </w:p>
    <w:p w14:paraId="543388D9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</w:p>
    <w:p w14:paraId="5815DF52" w14:textId="77777777" w:rsidR="006E6DAC" w:rsidRPr="006C093C" w:rsidRDefault="006E6DAC" w:rsidP="00DB5F5E">
      <w:pPr>
        <w:jc w:val="both"/>
        <w:rPr>
          <w:sz w:val="22"/>
          <w:szCs w:val="22"/>
          <w:u w:val="single"/>
          <w:lang w:val="cs-CZ"/>
        </w:rPr>
      </w:pPr>
      <w:r w:rsidRPr="006C093C">
        <w:rPr>
          <w:sz w:val="22"/>
          <w:szCs w:val="22"/>
          <w:u w:val="single"/>
          <w:lang w:val="cs-CZ"/>
        </w:rPr>
        <w:t>Místní zástupci a kontaktní údaje pro hlášení podezření na nežádoucí účinky:</w:t>
      </w:r>
    </w:p>
    <w:p w14:paraId="5A253B9B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 xml:space="preserve">BIOPHARM, </w:t>
      </w:r>
      <w:proofErr w:type="spellStart"/>
      <w:r w:rsidRPr="006C093C">
        <w:rPr>
          <w:sz w:val="22"/>
          <w:szCs w:val="22"/>
          <w:lang w:val="cs-CZ"/>
        </w:rPr>
        <w:t>spol</w:t>
      </w:r>
      <w:proofErr w:type="spellEnd"/>
      <w:r w:rsidRPr="006C093C">
        <w:rPr>
          <w:sz w:val="22"/>
          <w:szCs w:val="22"/>
          <w:lang w:val="cs-CZ"/>
        </w:rPr>
        <w:t>, s.r.o.</w:t>
      </w:r>
    </w:p>
    <w:p w14:paraId="616C9BF2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Žďár 156</w:t>
      </w:r>
    </w:p>
    <w:p w14:paraId="1EA78FAC" w14:textId="5379F7C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Rájec-Jestřebí 679 02</w:t>
      </w:r>
    </w:p>
    <w:p w14:paraId="1D3F7D86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Česká republika</w:t>
      </w:r>
    </w:p>
    <w:p w14:paraId="27BF2E76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 xml:space="preserve">Tel.: </w:t>
      </w:r>
      <w:r w:rsidRPr="006C093C">
        <w:rPr>
          <w:sz w:val="22"/>
          <w:szCs w:val="22"/>
          <w:lang w:val="cs-CZ"/>
        </w:rPr>
        <w:tab/>
        <w:t>+ 420 602 777 504</w:t>
      </w:r>
    </w:p>
    <w:p w14:paraId="6C6621DB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ab/>
        <w:t>+ 420 602 588 223</w:t>
      </w:r>
    </w:p>
    <w:p w14:paraId="252DC938" w14:textId="344EB15C" w:rsidR="006E6DAC" w:rsidRPr="006C093C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 xml:space="preserve">e-mail: </w:t>
      </w:r>
      <w:hyperlink r:id="rId13" w:history="1">
        <w:r w:rsidRPr="006C093C">
          <w:rPr>
            <w:rStyle w:val="Hypertextovodkaz"/>
            <w:lang w:val="cs-CZ"/>
          </w:rPr>
          <w:t>info@biopharm.cz</w:t>
        </w:r>
      </w:hyperlink>
      <w:r w:rsidRPr="006C093C">
        <w:rPr>
          <w:sz w:val="22"/>
          <w:szCs w:val="22"/>
          <w:lang w:val="cs-CZ"/>
        </w:rPr>
        <w:t xml:space="preserve"> </w:t>
      </w:r>
    </w:p>
    <w:p w14:paraId="688D2A28" w14:textId="77777777" w:rsidR="006E6DAC" w:rsidRPr="006C093C" w:rsidRDefault="006E6DAC" w:rsidP="00DB5F5E">
      <w:pPr>
        <w:jc w:val="both"/>
        <w:rPr>
          <w:sz w:val="22"/>
          <w:szCs w:val="22"/>
          <w:lang w:val="cs-CZ"/>
        </w:rPr>
      </w:pPr>
    </w:p>
    <w:p w14:paraId="0F38B63C" w14:textId="76C31AE8" w:rsidR="008B0106" w:rsidRPr="00DB5F5E" w:rsidRDefault="006E6DAC" w:rsidP="00DB5F5E">
      <w:pPr>
        <w:jc w:val="both"/>
        <w:rPr>
          <w:sz w:val="22"/>
          <w:szCs w:val="22"/>
          <w:lang w:val="cs-CZ"/>
        </w:rPr>
      </w:pPr>
      <w:r w:rsidRPr="006C093C">
        <w:rPr>
          <w:sz w:val="22"/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43004E8F" w14:textId="2E2117A2" w:rsidR="000D4C37" w:rsidRPr="00DB5F5E" w:rsidRDefault="000D4C37" w:rsidP="00DB5F5E">
      <w:pPr>
        <w:jc w:val="both"/>
        <w:rPr>
          <w:b/>
          <w:sz w:val="22"/>
          <w:szCs w:val="22"/>
          <w:lang w:val="cs-CZ"/>
        </w:rPr>
      </w:pPr>
    </w:p>
    <w:p w14:paraId="46946763" w14:textId="77777777" w:rsidR="000D4C37" w:rsidRPr="00DB5F5E" w:rsidRDefault="000D4C37" w:rsidP="00DB5F5E">
      <w:pPr>
        <w:jc w:val="both"/>
        <w:rPr>
          <w:b/>
          <w:sz w:val="22"/>
          <w:szCs w:val="22"/>
          <w:lang w:val="cs-CZ"/>
        </w:rPr>
      </w:pPr>
    </w:p>
    <w:p w14:paraId="1BCBB608" w14:textId="68155F36" w:rsidR="00245F37" w:rsidRPr="00DB5F5E" w:rsidRDefault="008B0106" w:rsidP="00DB5F5E">
      <w:pPr>
        <w:jc w:val="both"/>
        <w:rPr>
          <w:b/>
          <w:sz w:val="22"/>
          <w:szCs w:val="22"/>
          <w:lang w:val="cs-CZ"/>
        </w:rPr>
      </w:pPr>
      <w:r w:rsidRPr="006C093C">
        <w:rPr>
          <w:b/>
          <w:sz w:val="22"/>
          <w:szCs w:val="22"/>
          <w:highlight w:val="lightGray"/>
          <w:lang w:val="cs-CZ"/>
        </w:rPr>
        <w:t>17.</w:t>
      </w:r>
      <w:r w:rsidRPr="006C093C">
        <w:rPr>
          <w:b/>
          <w:sz w:val="22"/>
          <w:szCs w:val="22"/>
          <w:lang w:val="cs-CZ"/>
        </w:rPr>
        <w:t xml:space="preserve"> </w:t>
      </w:r>
      <w:r w:rsidR="00287B6F" w:rsidRPr="00DB5F5E">
        <w:rPr>
          <w:b/>
          <w:sz w:val="22"/>
          <w:szCs w:val="22"/>
          <w:lang w:val="cs-CZ"/>
        </w:rPr>
        <w:tab/>
      </w:r>
      <w:r w:rsidRPr="006C093C">
        <w:rPr>
          <w:b/>
          <w:sz w:val="22"/>
          <w:szCs w:val="22"/>
          <w:lang w:val="cs-CZ"/>
        </w:rPr>
        <w:t>Další Informace</w:t>
      </w:r>
    </w:p>
    <w:p w14:paraId="5736F67E" w14:textId="729B23BA" w:rsidR="008B0106" w:rsidRPr="00DB5F5E" w:rsidRDefault="008B0106" w:rsidP="00DB5F5E">
      <w:pPr>
        <w:jc w:val="both"/>
        <w:rPr>
          <w:b/>
          <w:sz w:val="22"/>
          <w:szCs w:val="22"/>
          <w:lang w:val="cs-CZ"/>
        </w:rPr>
      </w:pPr>
    </w:p>
    <w:p w14:paraId="44B67C40" w14:textId="39A52DDF" w:rsidR="008B0106" w:rsidRPr="006C093C" w:rsidRDefault="008B0106" w:rsidP="00DB5F5E">
      <w:pPr>
        <w:jc w:val="both"/>
        <w:rPr>
          <w:sz w:val="22"/>
          <w:szCs w:val="22"/>
          <w:lang w:val="cs-CZ"/>
        </w:rPr>
      </w:pPr>
      <w:r w:rsidRPr="00DB5F5E">
        <w:rPr>
          <w:sz w:val="22"/>
          <w:szCs w:val="22"/>
          <w:lang w:val="cs-CZ"/>
        </w:rPr>
        <w:t>Přípravek s indikačním omezením.</w:t>
      </w:r>
    </w:p>
    <w:sectPr w:rsidR="008B0106" w:rsidRPr="006C093C" w:rsidSect="00BB4CE8">
      <w:pgSz w:w="12240" w:h="15840"/>
      <w:pgMar w:top="1417" w:right="1417" w:bottom="1417" w:left="1417" w:header="1440" w:footer="144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269DB" w14:textId="77777777" w:rsidR="000F0D79" w:rsidRDefault="000F0D79" w:rsidP="00D413E5">
      <w:r>
        <w:separator/>
      </w:r>
    </w:p>
  </w:endnote>
  <w:endnote w:type="continuationSeparator" w:id="0">
    <w:p w14:paraId="56DA6A86" w14:textId="77777777" w:rsidR="000F0D79" w:rsidRDefault="000F0D79" w:rsidP="00D4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AC89C" w14:textId="77777777" w:rsidR="000F0D79" w:rsidRDefault="000F0D79" w:rsidP="00D413E5">
      <w:r>
        <w:separator/>
      </w:r>
    </w:p>
  </w:footnote>
  <w:footnote w:type="continuationSeparator" w:id="0">
    <w:p w14:paraId="0F8E153B" w14:textId="77777777" w:rsidR="000F0D79" w:rsidRDefault="000F0D79" w:rsidP="00D4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5CE7"/>
    <w:multiLevelType w:val="multilevel"/>
    <w:tmpl w:val="C16610DC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F26AD2"/>
    <w:multiLevelType w:val="hybridMultilevel"/>
    <w:tmpl w:val="9E7C77B8"/>
    <w:lvl w:ilvl="0" w:tplc="DECCE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9F585B"/>
    <w:multiLevelType w:val="hybridMultilevel"/>
    <w:tmpl w:val="3C12EB5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C1"/>
    <w:rsid w:val="00001871"/>
    <w:rsid w:val="0004092C"/>
    <w:rsid w:val="00056068"/>
    <w:rsid w:val="00061D6A"/>
    <w:rsid w:val="0006763B"/>
    <w:rsid w:val="00071640"/>
    <w:rsid w:val="00097A72"/>
    <w:rsid w:val="000D4C37"/>
    <w:rsid w:val="000F0D79"/>
    <w:rsid w:val="00116C8C"/>
    <w:rsid w:val="001773E0"/>
    <w:rsid w:val="00182E42"/>
    <w:rsid w:val="00186751"/>
    <w:rsid w:val="00191674"/>
    <w:rsid w:val="001C349F"/>
    <w:rsid w:val="001E5CF0"/>
    <w:rsid w:val="001F0770"/>
    <w:rsid w:val="001F1F47"/>
    <w:rsid w:val="0021068A"/>
    <w:rsid w:val="00227C2F"/>
    <w:rsid w:val="00245F37"/>
    <w:rsid w:val="00253D36"/>
    <w:rsid w:val="00254E45"/>
    <w:rsid w:val="00265FF1"/>
    <w:rsid w:val="00287B6F"/>
    <w:rsid w:val="002B4F42"/>
    <w:rsid w:val="002D35A0"/>
    <w:rsid w:val="002E79A9"/>
    <w:rsid w:val="003023D3"/>
    <w:rsid w:val="0030697B"/>
    <w:rsid w:val="00340B6B"/>
    <w:rsid w:val="00352172"/>
    <w:rsid w:val="003B2D34"/>
    <w:rsid w:val="003F5B32"/>
    <w:rsid w:val="00411758"/>
    <w:rsid w:val="00447A42"/>
    <w:rsid w:val="00450928"/>
    <w:rsid w:val="00463CF6"/>
    <w:rsid w:val="004B4775"/>
    <w:rsid w:val="005030EA"/>
    <w:rsid w:val="00522E1A"/>
    <w:rsid w:val="00560DDF"/>
    <w:rsid w:val="00581D90"/>
    <w:rsid w:val="005A3F97"/>
    <w:rsid w:val="005C04D4"/>
    <w:rsid w:val="00620038"/>
    <w:rsid w:val="00623138"/>
    <w:rsid w:val="00624D63"/>
    <w:rsid w:val="006A1B2F"/>
    <w:rsid w:val="006A61A9"/>
    <w:rsid w:val="006B1104"/>
    <w:rsid w:val="006C0718"/>
    <w:rsid w:val="006C093C"/>
    <w:rsid w:val="006C469F"/>
    <w:rsid w:val="006D09E0"/>
    <w:rsid w:val="006E6DAC"/>
    <w:rsid w:val="006F7D8B"/>
    <w:rsid w:val="00704D6A"/>
    <w:rsid w:val="00722951"/>
    <w:rsid w:val="00723376"/>
    <w:rsid w:val="00726946"/>
    <w:rsid w:val="00766935"/>
    <w:rsid w:val="007E2F87"/>
    <w:rsid w:val="007F5F3E"/>
    <w:rsid w:val="00863AE9"/>
    <w:rsid w:val="008A2BA5"/>
    <w:rsid w:val="008B0106"/>
    <w:rsid w:val="008B2965"/>
    <w:rsid w:val="008C47B6"/>
    <w:rsid w:val="008D65D1"/>
    <w:rsid w:val="008D6A14"/>
    <w:rsid w:val="00913D26"/>
    <w:rsid w:val="009221C8"/>
    <w:rsid w:val="00923A1E"/>
    <w:rsid w:val="009264A2"/>
    <w:rsid w:val="0093382B"/>
    <w:rsid w:val="0095460A"/>
    <w:rsid w:val="009E2758"/>
    <w:rsid w:val="009F2FDF"/>
    <w:rsid w:val="00A31138"/>
    <w:rsid w:val="00A84EFF"/>
    <w:rsid w:val="00A8554C"/>
    <w:rsid w:val="00AA3B0A"/>
    <w:rsid w:val="00AB0625"/>
    <w:rsid w:val="00AB1A3A"/>
    <w:rsid w:val="00AB7267"/>
    <w:rsid w:val="00AC03C1"/>
    <w:rsid w:val="00AE1521"/>
    <w:rsid w:val="00AF6B36"/>
    <w:rsid w:val="00B02132"/>
    <w:rsid w:val="00B21A6D"/>
    <w:rsid w:val="00B538D0"/>
    <w:rsid w:val="00B66712"/>
    <w:rsid w:val="00B678D9"/>
    <w:rsid w:val="00B72D68"/>
    <w:rsid w:val="00B84170"/>
    <w:rsid w:val="00BB00A8"/>
    <w:rsid w:val="00BB4CE8"/>
    <w:rsid w:val="00BC16C3"/>
    <w:rsid w:val="00C06E84"/>
    <w:rsid w:val="00C33EEA"/>
    <w:rsid w:val="00C653CB"/>
    <w:rsid w:val="00CC1B0F"/>
    <w:rsid w:val="00CC2504"/>
    <w:rsid w:val="00CF65BE"/>
    <w:rsid w:val="00D07745"/>
    <w:rsid w:val="00D413E5"/>
    <w:rsid w:val="00D61B5B"/>
    <w:rsid w:val="00D75933"/>
    <w:rsid w:val="00DB5F5E"/>
    <w:rsid w:val="00DC48BA"/>
    <w:rsid w:val="00DD0FFD"/>
    <w:rsid w:val="00DD7FD6"/>
    <w:rsid w:val="00DE7E13"/>
    <w:rsid w:val="00DF2798"/>
    <w:rsid w:val="00E1404C"/>
    <w:rsid w:val="00E60411"/>
    <w:rsid w:val="00E82822"/>
    <w:rsid w:val="00EC0506"/>
    <w:rsid w:val="00EC3D5C"/>
    <w:rsid w:val="00EF2100"/>
    <w:rsid w:val="00F31108"/>
    <w:rsid w:val="00F31C6B"/>
    <w:rsid w:val="00F34F6A"/>
    <w:rsid w:val="00F54C61"/>
    <w:rsid w:val="00F84812"/>
    <w:rsid w:val="00F90AEF"/>
    <w:rsid w:val="00FC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794556D"/>
  <w15:chartTrackingRefBased/>
  <w15:docId w15:val="{01232DC4-7D92-44A6-9DE8-AC751EA3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E6DAC"/>
    <w:rPr>
      <w:snapToGrid w:val="0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Arial" w:hAnsi="Arial" w:cs="Arial"/>
      <w:i/>
      <w:iCs/>
      <w:snapToGrid/>
      <w:spacing w:val="-2"/>
      <w:sz w:val="22"/>
      <w:szCs w:val="22"/>
      <w:lang w:val="es-ES_tradnl"/>
    </w:rPr>
  </w:style>
  <w:style w:type="paragraph" w:styleId="Nadpis2">
    <w:name w:val="heading 2"/>
    <w:basedOn w:val="Normln"/>
    <w:next w:val="Normln"/>
    <w:qFormat/>
    <w:pPr>
      <w:keepNext/>
      <w:tabs>
        <w:tab w:val="left" w:pos="-720"/>
      </w:tabs>
      <w:suppressAutoHyphens/>
      <w:jc w:val="both"/>
      <w:outlineLvl w:val="1"/>
    </w:pPr>
    <w:rPr>
      <w:rFonts w:ascii="Arial" w:hAnsi="Arial" w:cs="Arial"/>
      <w:b/>
      <w:bCs/>
      <w:spacing w:val="-2"/>
      <w:sz w:val="22"/>
      <w:szCs w:val="22"/>
      <w:lang w:val="es-ES_tradnl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i/>
      <w:iCs/>
      <w:spacing w:val="-2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i/>
      <w:iCs/>
      <w:lang w:val="es-ES"/>
    </w:rPr>
  </w:style>
  <w:style w:type="paragraph" w:styleId="Nadpis5">
    <w:name w:val="heading 5"/>
    <w:basedOn w:val="Normln"/>
    <w:next w:val="Normln"/>
    <w:qFormat/>
    <w:pPr>
      <w:keepNext/>
      <w:tabs>
        <w:tab w:val="left" w:pos="-720"/>
      </w:tabs>
      <w:suppressAutoHyphens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</w:tabs>
      <w:suppressAutoHyphens/>
      <w:spacing w:line="360" w:lineRule="auto"/>
      <w:ind w:left="709" w:hanging="709"/>
      <w:jc w:val="both"/>
      <w:outlineLvl w:val="5"/>
    </w:pPr>
    <w:rPr>
      <w:rFonts w:ascii="Arial" w:hAnsi="Arial"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tabs>
        <w:tab w:val="left" w:pos="-720"/>
        <w:tab w:val="left" w:pos="0"/>
      </w:tabs>
      <w:suppressAutoHyphens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left" w:pos="-720"/>
        <w:tab w:val="left" w:pos="0"/>
      </w:tabs>
      <w:suppressAutoHyphens/>
      <w:ind w:left="567"/>
      <w:jc w:val="both"/>
    </w:pPr>
    <w:rPr>
      <w:rFonts w:ascii="Arial" w:hAnsi="Arial" w:cs="Arial"/>
      <w:spacing w:val="-2"/>
      <w:sz w:val="22"/>
      <w:szCs w:val="22"/>
    </w:rPr>
  </w:style>
  <w:style w:type="paragraph" w:styleId="Zkladntext3">
    <w:name w:val="Body Text 3"/>
    <w:basedOn w:val="Normln"/>
    <w:pPr>
      <w:tabs>
        <w:tab w:val="left" w:pos="-720"/>
        <w:tab w:val="left" w:pos="709"/>
      </w:tabs>
      <w:suppressAutoHyphens/>
      <w:ind w:right="-94"/>
      <w:jc w:val="both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jc w:val="both"/>
    </w:pPr>
    <w:rPr>
      <w:rFonts w:ascii="Arial" w:hAnsi="Arial" w:cs="Arial"/>
      <w:b/>
      <w:bCs/>
    </w:rPr>
  </w:style>
  <w:style w:type="paragraph" w:styleId="Zkladntextodsazen3">
    <w:name w:val="Body Text Indent 3"/>
    <w:basedOn w:val="Normln"/>
    <w:pPr>
      <w:tabs>
        <w:tab w:val="left" w:pos="-720"/>
      </w:tabs>
      <w:suppressAutoHyphens/>
      <w:ind w:left="709"/>
      <w:jc w:val="both"/>
    </w:pPr>
    <w:rPr>
      <w:rFonts w:ascii="Arial" w:hAnsi="Arial" w:cs="Arial"/>
      <w:spacing w:val="-2"/>
      <w:sz w:val="22"/>
      <w:szCs w:val="22"/>
    </w:rPr>
  </w:style>
  <w:style w:type="paragraph" w:styleId="Zkladntext2">
    <w:name w:val="Body Text 2"/>
    <w:basedOn w:val="Normln"/>
    <w:pPr>
      <w:tabs>
        <w:tab w:val="left" w:pos="-720"/>
        <w:tab w:val="left" w:pos="0"/>
      </w:tabs>
      <w:suppressAutoHyphens/>
      <w:spacing w:line="360" w:lineRule="auto"/>
      <w:jc w:val="both"/>
    </w:pPr>
    <w:rPr>
      <w:rFonts w:ascii="Arial" w:hAnsi="Arial" w:cs="Arial"/>
      <w:lang w:val="cs-CZ"/>
    </w:rPr>
  </w:style>
  <w:style w:type="paragraph" w:styleId="Textbubliny">
    <w:name w:val="Balloon Text"/>
    <w:basedOn w:val="Normln"/>
    <w:semiHidden/>
    <w:rsid w:val="0093382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97A7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97A72"/>
    <w:rPr>
      <w:sz w:val="20"/>
      <w:szCs w:val="20"/>
    </w:rPr>
  </w:style>
  <w:style w:type="character" w:customStyle="1" w:styleId="ZkladntextodsazenChar">
    <w:name w:val="Základní text odsazený Char"/>
    <w:link w:val="Zkladntextodsazen"/>
    <w:rsid w:val="00227C2F"/>
    <w:rPr>
      <w:rFonts w:ascii="Arial" w:hAnsi="Arial" w:cs="Arial"/>
      <w:snapToGrid w:val="0"/>
      <w:sz w:val="24"/>
      <w:szCs w:val="24"/>
      <w:lang w:val="en-GB"/>
    </w:rPr>
  </w:style>
  <w:style w:type="character" w:customStyle="1" w:styleId="ZkladntextChar">
    <w:name w:val="Základní text Char"/>
    <w:link w:val="Zkladntext"/>
    <w:rsid w:val="00227C2F"/>
    <w:rPr>
      <w:rFonts w:ascii="Arial" w:hAnsi="Arial" w:cs="Arial"/>
      <w:b/>
      <w:bCs/>
      <w:snapToGrid w:val="0"/>
      <w:sz w:val="24"/>
      <w:szCs w:val="24"/>
      <w:lang w:val="en-GB"/>
    </w:rPr>
  </w:style>
  <w:style w:type="paragraph" w:customStyle="1" w:styleId="Default">
    <w:name w:val="Default"/>
    <w:rsid w:val="00227C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84812"/>
    <w:rPr>
      <w:snapToGrid w:val="0"/>
      <w:sz w:val="24"/>
      <w:szCs w:val="24"/>
      <w:lang w:val="en-GB"/>
    </w:rPr>
  </w:style>
  <w:style w:type="paragraph" w:customStyle="1" w:styleId="Style1">
    <w:name w:val="Style1"/>
    <w:basedOn w:val="Normln"/>
    <w:qFormat/>
    <w:rsid w:val="00D75933"/>
    <w:pPr>
      <w:tabs>
        <w:tab w:val="left" w:pos="0"/>
      </w:tabs>
      <w:ind w:left="567" w:hanging="567"/>
    </w:pPr>
    <w:rPr>
      <w:b/>
      <w:snapToGrid/>
      <w:sz w:val="22"/>
      <w:szCs w:val="22"/>
      <w:lang w:val="cs-CZ" w:eastAsia="en-US"/>
    </w:rPr>
  </w:style>
  <w:style w:type="character" w:styleId="Hypertextovodkaz">
    <w:name w:val="Hyperlink"/>
    <w:basedOn w:val="Standardnpsmoodstavce"/>
    <w:rsid w:val="00265FF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FF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5460A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95460A"/>
    <w:pPr>
      <w:tabs>
        <w:tab w:val="left" w:pos="567"/>
      </w:tabs>
    </w:pPr>
    <w:rPr>
      <w:snapToGrid/>
      <w:sz w:val="22"/>
      <w:szCs w:val="20"/>
      <w:lang w:val="cs-CZ" w:eastAsia="en-US"/>
    </w:rPr>
  </w:style>
  <w:style w:type="character" w:customStyle="1" w:styleId="TextvysvtlivekChar">
    <w:name w:val="Text vysvětlivek Char"/>
    <w:basedOn w:val="Standardnpsmoodstavce"/>
    <w:link w:val="Textvysvtlivek"/>
    <w:rsid w:val="0095460A"/>
    <w:rPr>
      <w:sz w:val="22"/>
      <w:lang w:val="cs-CZ" w:eastAsia="en-US"/>
    </w:rPr>
  </w:style>
  <w:style w:type="paragraph" w:customStyle="1" w:styleId="Style2">
    <w:name w:val="Style2"/>
    <w:basedOn w:val="Normln"/>
    <w:qFormat/>
    <w:rsid w:val="0095460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  <w:ind w:left="567" w:hanging="567"/>
    </w:pPr>
    <w:rPr>
      <w:b/>
      <w:snapToGrid/>
      <w:sz w:val="22"/>
      <w:szCs w:val="22"/>
      <w:lang w:val="cs-CZ" w:eastAsia="en-US"/>
    </w:rPr>
  </w:style>
  <w:style w:type="paragraph" w:customStyle="1" w:styleId="Style5">
    <w:name w:val="Style5"/>
    <w:basedOn w:val="Normln"/>
    <w:qFormat/>
    <w:rsid w:val="0095460A"/>
    <w:pPr>
      <w:numPr>
        <w:ilvl w:val="12"/>
      </w:numPr>
    </w:pPr>
    <w:rPr>
      <w:snapToGrid/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D413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13E5"/>
    <w:rPr>
      <w:snapToGrid w:val="0"/>
      <w:sz w:val="24"/>
      <w:szCs w:val="24"/>
      <w:lang w:val="en-GB"/>
    </w:rPr>
  </w:style>
  <w:style w:type="paragraph" w:styleId="Zpat">
    <w:name w:val="footer"/>
    <w:basedOn w:val="Normln"/>
    <w:link w:val="ZpatChar"/>
    <w:rsid w:val="00D413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13E5"/>
    <w:rPr>
      <w:snapToGrid w:val="0"/>
      <w:sz w:val="24"/>
      <w:szCs w:val="24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9264A2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264A2"/>
    <w:rPr>
      <w:snapToGrid w:val="0"/>
      <w:lang w:val="en-GB"/>
    </w:rPr>
  </w:style>
  <w:style w:type="character" w:customStyle="1" w:styleId="PedmtkomenteChar">
    <w:name w:val="Předmět komentáře Char"/>
    <w:basedOn w:val="TextkomenteChar"/>
    <w:link w:val="Pedmtkomente"/>
    <w:rsid w:val="009264A2"/>
    <w:rPr>
      <w:b/>
      <w:bCs/>
      <w:snapToGrid w:val="0"/>
      <w:lang w:val="en-GB"/>
    </w:rPr>
  </w:style>
  <w:style w:type="character" w:styleId="Sledovanodkaz">
    <w:name w:val="FollowedHyperlink"/>
    <w:basedOn w:val="Standardnpsmoodstavce"/>
    <w:rsid w:val="000716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mailto:info@biophar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D87EC-E351-4F44-BAAC-CE867FC6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1383</Words>
  <Characters>8161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Laboratorios Calier, S.A.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S.Eslava</dc:creator>
  <cp:keywords/>
  <dc:description/>
  <cp:lastModifiedBy>Dana Studená</cp:lastModifiedBy>
  <cp:revision>65</cp:revision>
  <cp:lastPrinted>2012-01-09T11:17:00Z</cp:lastPrinted>
  <dcterms:created xsi:type="dcterms:W3CDTF">2025-07-02T10:25:00Z</dcterms:created>
  <dcterms:modified xsi:type="dcterms:W3CDTF">2025-12-10T10:49:00Z</dcterms:modified>
</cp:coreProperties>
</file>