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503542EC" w14:textId="09E12F44" w:rsidR="008465FA" w:rsidRDefault="008465FA" w:rsidP="008465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1" w:name="_Hlk205881509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60 mg/15 mg </w:t>
      </w:r>
      <w:r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Pr="002C7312">
        <w:rPr>
          <w:rFonts w:ascii="Times New Roman" w:hAnsi="Times New Roman"/>
          <w:b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 xml:space="preserve">– 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spot-on pro středně velké kočky </w:t>
      </w:r>
    </w:p>
    <w:bookmarkEnd w:id="1"/>
    <w:p w14:paraId="6329016E" w14:textId="3DD3D7FB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1186F0" w14:textId="77777777" w:rsidR="00CD03F4" w:rsidRDefault="00CD03F4" w:rsidP="00F81DD1">
      <w:pPr>
        <w:jc w:val="both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461F2209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</w:t>
      </w:r>
      <w:r w:rsidR="00F91951">
        <w:rPr>
          <w:rFonts w:ascii="Times New Roman" w:hAnsi="Times New Roman" w:cs="Times New Roman"/>
          <w:lang w:val="cs"/>
        </w:rPr>
        <w:t>85,8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 w:rsidR="00A36D97">
        <w:rPr>
          <w:rFonts w:ascii="Times New Roman" w:hAnsi="Times New Roman" w:cs="Times New Roman"/>
          <w:lang w:val="cs"/>
        </w:rPr>
        <w:t>praziquantelum</w:t>
      </w:r>
      <w:proofErr w:type="spellEnd"/>
      <w:r w:rsidR="00A36D97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</w:t>
      </w:r>
      <w:r w:rsidR="00F91951">
        <w:rPr>
          <w:rFonts w:ascii="Times New Roman" w:hAnsi="Times New Roman" w:cs="Times New Roman"/>
          <w:lang w:val="cs"/>
        </w:rPr>
        <w:t>21,4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A36D97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5562D6CE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</w:t>
      </w:r>
      <w:r w:rsidR="00F91951">
        <w:rPr>
          <w:rFonts w:ascii="Times New Roman" w:hAnsi="Times New Roman" w:cs="Times New Roman"/>
          <w:iCs/>
          <w:lang w:val="cs"/>
        </w:rPr>
        <w:t>7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3369810C" w:rsidR="00010657" w:rsidRDefault="00A36D97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8465FA">
        <w:rPr>
          <w:rFonts w:ascii="Times New Roman" w:hAnsi="Times New Roman" w:cs="Times New Roman"/>
          <w:iCs/>
          <w:lang w:val="cs"/>
        </w:rPr>
        <w:t>6</w:t>
      </w:r>
      <w:r w:rsidR="002013C9">
        <w:rPr>
          <w:rFonts w:ascii="Times New Roman" w:hAnsi="Times New Roman" w:cs="Times New Roman"/>
          <w:iCs/>
          <w:lang w:val="cs"/>
        </w:rPr>
        <w:t>0 mg</w:t>
      </w:r>
    </w:p>
    <w:p w14:paraId="444ED3E2" w14:textId="0D9ADDF9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A36D97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</w:t>
      </w:r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  <w:t>15</w:t>
      </w:r>
      <w:r>
        <w:rPr>
          <w:rFonts w:ascii="Times New Roman" w:hAnsi="Times New Roman" w:cs="Times New Roman"/>
          <w:iCs/>
          <w:lang w:val="cs"/>
        </w:rPr>
        <w:t xml:space="preserve">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1918CFC3" w:rsidR="00010657" w:rsidRDefault="00DF4EF6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718871AA" w:rsidR="00010657" w:rsidRDefault="002013C9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</w:t>
            </w:r>
            <w:r w:rsidR="00A36D97">
              <w:rPr>
                <w:rFonts w:ascii="Times New Roman" w:hAnsi="Times New Roman" w:cs="Times New Roman"/>
                <w:lang w:val="cs"/>
              </w:rPr>
              <w:t>s</w:t>
            </w:r>
            <w:r>
              <w:rPr>
                <w:rFonts w:ascii="Times New Roman" w:hAnsi="Times New Roman" w:cs="Times New Roman"/>
                <w:lang w:val="cs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3C2255D5" w:rsidR="00010657" w:rsidRDefault="00F91951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3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7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8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1A7D6B77" w:rsidR="00010657" w:rsidRDefault="00A36D9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58906C8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</w:t>
      </w:r>
      <w:r w:rsidR="00F91951">
        <w:rPr>
          <w:rFonts w:ascii="Times New Roman" w:hAnsi="Times New Roman" w:cs="Times New Roman"/>
          <w:lang w:val="cs"/>
        </w:rPr>
        <w:t>2</w:t>
      </w:r>
      <w:r>
        <w:rPr>
          <w:rFonts w:ascii="Times New Roman" w:hAnsi="Times New Roman" w:cs="Times New Roman"/>
          <w:lang w:val="cs"/>
        </w:rPr>
        <w:t>,5–5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2B47B71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026CE6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026CE6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026CE6">
        <w:rPr>
          <w:rFonts w:ascii="Times New Roman" w:hAnsi="Times New Roman" w:cs="Times New Roman"/>
          <w:lang w:val="cs"/>
        </w:rPr>
        <w:t xml:space="preserve">citlivými k některé </w:t>
      </w:r>
      <w:r>
        <w:rPr>
          <w:rFonts w:ascii="Times New Roman" w:hAnsi="Times New Roman" w:cs="Times New Roman"/>
          <w:lang w:val="cs"/>
        </w:rPr>
        <w:t>z účinných látek</w:t>
      </w:r>
      <w:r w:rsidR="00026CE6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72CB9D95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026CE6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6512DBF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026CE6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026CE6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5EF94215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026CE6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>arvy L3) – léčba k</w:t>
      </w:r>
      <w:r w:rsidR="00026CE6">
        <w:rPr>
          <w:rFonts w:ascii="Times New Roman" w:hAnsi="Times New Roman" w:cs="Times New Roman"/>
          <w:lang w:val="cs"/>
        </w:rPr>
        <w:t>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026CE6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1E4FED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27EEE2F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026CE6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026CE6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3E2BAC04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026CE6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026CE6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2C72D8F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3E407D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38BA8A5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3E407D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3E407D">
        <w:rPr>
          <w:rFonts w:ascii="Times New Roman" w:eastAsia="Times New Roman" w:hAnsi="Times New Roman" w:cs="Times New Roman"/>
          <w:color w:val="000000"/>
          <w:lang w:val="cs" w:eastAsia="sl-SI"/>
        </w:rPr>
        <w:t>juvenilní stáda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675A23A3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3E407D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5C6EE24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Nepoužívat u koťat nebo koček vážících méně než </w:t>
      </w:r>
      <w:r w:rsidR="00F91951">
        <w:rPr>
          <w:rFonts w:ascii="Times New Roman" w:hAnsi="Times New Roman" w:cs="Times New Roman"/>
          <w:lang w:val="cs"/>
        </w:rPr>
        <w:t>2</w:t>
      </w:r>
      <w:r>
        <w:rPr>
          <w:rFonts w:ascii="Times New Roman" w:hAnsi="Times New Roman" w:cs="Times New Roman"/>
          <w:lang w:val="cs"/>
        </w:rPr>
        <w:t>,5 kg.</w:t>
      </w:r>
    </w:p>
    <w:p w14:paraId="2ED9A641" w14:textId="3F76A87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3E407D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3E407D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3E407D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3E407D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21E3BFB0" w:rsidR="00010657" w:rsidRDefault="003E407D" w:rsidP="00F81DD1">
      <w:pPr>
        <w:jc w:val="both"/>
        <w:rPr>
          <w:rFonts w:ascii="Times New Roman" w:hAnsi="Times New Roman" w:cs="Times New Roman"/>
        </w:rPr>
      </w:pPr>
      <w:bookmarkStart w:id="2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s</w:t>
      </w:r>
      <w:r w:rsidR="002013C9">
        <w:rPr>
          <w:rFonts w:ascii="Times New Roman" w:hAnsi="Times New Roman" w:cs="Times New Roman"/>
          <w:lang w:val="cs"/>
        </w:rPr>
        <w:t xml:space="preserve">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</w:t>
      </w:r>
      <w:r>
        <w:rPr>
          <w:rFonts w:ascii="Times New Roman" w:hAnsi="Times New Roman" w:cs="Times New Roman"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druhu </w:t>
      </w:r>
      <w:r>
        <w:rPr>
          <w:rFonts w:ascii="Times New Roman" w:hAnsi="Times New Roman" w:cs="Times New Roman"/>
          <w:lang w:val="cs"/>
        </w:rPr>
        <w:t xml:space="preserve">parazita </w:t>
      </w:r>
      <w:r w:rsidR="002013C9">
        <w:rPr>
          <w:rFonts w:ascii="Times New Roman" w:hAnsi="Times New Roman" w:cs="Times New Roman"/>
          <w:lang w:val="cs"/>
        </w:rPr>
        <w:t xml:space="preserve">a </w:t>
      </w:r>
      <w:r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5C34B6BC" w:rsidR="00010657" w:rsidRDefault="003E407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1753EF6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3E407D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5F1E4D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AA4055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5F1E4D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 </w:t>
      </w:r>
      <w:r w:rsidR="005F1E4D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5F1E4D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5AAAB7A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5F1E4D">
        <w:rPr>
          <w:rFonts w:ascii="Times New Roman" w:hAnsi="Times New Roman" w:cs="Times New Roman"/>
          <w:lang w:val="cs"/>
        </w:rPr>
        <w:t>tasemnicemi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5F1E4D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</w:t>
      </w:r>
      <w:r w:rsidR="005F1E4D">
        <w:rPr>
          <w:rFonts w:ascii="Times New Roman" w:hAnsi="Times New Roman" w:cs="Times New Roman"/>
          <w:lang w:val="cs"/>
        </w:rPr>
        <w:t>árním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6254BA4A" w:rsidR="00010657" w:rsidRDefault="005F1E4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205E23C2" w14:textId="00F9D36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5F1E4D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5F1E4D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798EE5A3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5F1E4D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5F1E4D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 </w:t>
      </w:r>
      <w:r w:rsidR="005F1E4D">
        <w:rPr>
          <w:rFonts w:ascii="Times New Roman" w:hAnsi="Times New Roman" w:cs="Times New Roman"/>
          <w:lang w:val="cs"/>
        </w:rPr>
        <w:t>je třeba vzít</w:t>
      </w:r>
      <w:r>
        <w:rPr>
          <w:rFonts w:ascii="Times New Roman" w:hAnsi="Times New Roman" w:cs="Times New Roman"/>
          <w:lang w:val="cs"/>
        </w:rPr>
        <w:t xml:space="preserve"> v úvahu místní </w:t>
      </w:r>
      <w:r w:rsidR="005F1E4D">
        <w:rPr>
          <w:rFonts w:ascii="Times New Roman" w:hAnsi="Times New Roman" w:cs="Times New Roman"/>
          <w:lang w:val="cs"/>
        </w:rPr>
        <w:t xml:space="preserve">epidemiologickou </w:t>
      </w:r>
      <w:r>
        <w:rPr>
          <w:rFonts w:ascii="Times New Roman" w:hAnsi="Times New Roman" w:cs="Times New Roman"/>
          <w:lang w:val="cs"/>
        </w:rPr>
        <w:t>informac</w:t>
      </w:r>
      <w:r w:rsidR="005F1E4D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 </w:t>
      </w:r>
      <w:r w:rsidR="005F1E4D">
        <w:rPr>
          <w:rFonts w:ascii="Times New Roman" w:hAnsi="Times New Roman" w:cs="Times New Roman"/>
          <w:lang w:val="cs"/>
        </w:rPr>
        <w:t xml:space="preserve">aktuální </w:t>
      </w:r>
      <w:r>
        <w:rPr>
          <w:rFonts w:ascii="Times New Roman" w:hAnsi="Times New Roman" w:cs="Times New Roman"/>
          <w:lang w:val="cs"/>
        </w:rPr>
        <w:t>citlivosti cílových parazitů, pokud jsou k dispozici.</w:t>
      </w:r>
    </w:p>
    <w:p w14:paraId="35CC3240" w14:textId="4E54C101" w:rsidR="00010657" w:rsidRDefault="005F1E4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247D1B6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5F1E4D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2"/>
    <w:p w14:paraId="1160485F" w14:textId="42A7C12A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5F1E4D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5F1E4D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29F33E41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5F1E4D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5F1E4D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5F1E4D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5F1E4D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3370E857" w:rsidR="00010657" w:rsidRDefault="005F1E4D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7BEE373D" w:rsidR="00010657" w:rsidRDefault="005F1E4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už</w:t>
      </w:r>
      <w:r>
        <w:rPr>
          <w:rFonts w:ascii="Times New Roman" w:hAnsi="Times New Roman" w:cs="Times New Roman"/>
          <w:lang w:val="cs" w:eastAsia="en-GB"/>
        </w:rPr>
        <w:t>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45B5DB91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0F5F04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7CCA122C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0F5F04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1EB26184" w:rsidR="00010657" w:rsidRDefault="000F5F04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 xml:space="preserve">dokud </w:t>
      </w:r>
      <w:r w:rsidR="002013C9">
        <w:rPr>
          <w:rFonts w:ascii="Times New Roman" w:hAnsi="Times New Roman" w:cs="Times New Roman"/>
          <w:lang w:val="cs"/>
        </w:rPr>
        <w:t>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3C53BB47" w:rsidR="00010657" w:rsidRDefault="000F5F04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3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734460B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3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4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4"/>
    <w:p w14:paraId="60013E9B" w14:textId="77777777" w:rsidR="00010657" w:rsidRPr="00AD3645" w:rsidRDefault="002013C9" w:rsidP="00F81DD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5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5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22ACC2E1" w:rsidR="00010657" w:rsidRDefault="00430B1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54DD0F6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Emodepsid je substrátem pro P-glykoprotein. Současná léčba jinými </w:t>
      </w:r>
      <w:r w:rsidR="00430B10">
        <w:rPr>
          <w:rFonts w:ascii="Times New Roman" w:hAnsi="Times New Roman" w:cs="Times New Roman"/>
          <w:lang w:val="cs"/>
        </w:rPr>
        <w:t>léčivými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1E4FED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</w:t>
      </w:r>
      <w:r w:rsidRPr="008465FA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  <w:r w:rsidR="00430B10" w:rsidRPr="00BE076E">
        <w:rPr>
          <w:rFonts w:ascii="Times New Roman" w:hAnsi="Times New Roman" w:cs="Times New Roman"/>
          <w:lang w:val="cs"/>
        </w:rPr>
        <w:t>V případě, že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3FA5728F" w:rsidR="00010657" w:rsidRDefault="00430B1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0091CAF" w14:textId="03FD4CF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430B10">
        <w:rPr>
          <w:rFonts w:ascii="Times New Roman" w:hAnsi="Times New Roman" w:cs="Times New Roman"/>
          <w:noProof/>
          <w:lang w:val="cs"/>
        </w:rPr>
        <w:t>je třeba</w:t>
      </w:r>
      <w:r>
        <w:rPr>
          <w:rFonts w:ascii="Times New Roman" w:hAnsi="Times New Roman" w:cs="Times New Roman"/>
          <w:noProof/>
          <w:lang w:val="cs"/>
        </w:rPr>
        <w:t xml:space="preserve"> co nejpřesněji</w:t>
      </w:r>
      <w:r w:rsidR="00430B10">
        <w:rPr>
          <w:rFonts w:ascii="Times New Roman" w:hAnsi="Times New Roman" w:cs="Times New Roman"/>
          <w:noProof/>
          <w:lang w:val="cs"/>
        </w:rPr>
        <w:t xml:space="preserve"> stanovit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430B10">
        <w:rPr>
          <w:rFonts w:ascii="Times New Roman" w:hAnsi="Times New Roman" w:cs="Times New Roman"/>
          <w:noProof/>
          <w:lang w:val="cs"/>
        </w:rPr>
        <w:t>by mohlo</w:t>
      </w:r>
      <w:r>
        <w:rPr>
          <w:rFonts w:ascii="Times New Roman" w:hAnsi="Times New Roman" w:cs="Times New Roman"/>
          <w:noProof/>
          <w:lang w:val="cs"/>
        </w:rPr>
        <w:t xml:space="preserve"> </w:t>
      </w:r>
      <w:r w:rsidR="00430B10">
        <w:rPr>
          <w:rFonts w:ascii="Times New Roman" w:hAnsi="Times New Roman" w:cs="Times New Roman"/>
          <w:noProof/>
          <w:lang w:val="cs"/>
        </w:rPr>
        <w:t>vést k</w:t>
      </w:r>
      <w:r>
        <w:rPr>
          <w:rFonts w:ascii="Times New Roman" w:hAnsi="Times New Roman" w:cs="Times New Roman"/>
          <w:noProof/>
          <w:lang w:val="cs"/>
        </w:rPr>
        <w:t xml:space="preserve"> neúčinné</w:t>
      </w:r>
      <w:r w:rsidR="00430B10">
        <w:rPr>
          <w:rFonts w:ascii="Times New Roman" w:hAnsi="Times New Roman" w:cs="Times New Roman"/>
          <w:noProof/>
          <w:lang w:val="cs"/>
        </w:rPr>
        <w:t>mu</w:t>
      </w:r>
      <w:r>
        <w:rPr>
          <w:rFonts w:ascii="Times New Roman" w:hAnsi="Times New Roman" w:cs="Times New Roman"/>
          <w:noProof/>
          <w:lang w:val="cs"/>
        </w:rPr>
        <w:t xml:space="preserve"> použití a m</w:t>
      </w:r>
      <w:r w:rsidR="00430B10">
        <w:rPr>
          <w:rFonts w:ascii="Times New Roman" w:hAnsi="Times New Roman" w:cs="Times New Roman"/>
          <w:noProof/>
          <w:lang w:val="cs"/>
        </w:rPr>
        <w:t>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430B10">
        <w:rPr>
          <w:rFonts w:ascii="Times New Roman" w:hAnsi="Times New Roman" w:cs="Times New Roman"/>
          <w:noProof/>
          <w:lang w:val="cs"/>
        </w:rPr>
        <w:t>ři</w:t>
      </w:r>
      <w:r>
        <w:rPr>
          <w:rFonts w:ascii="Times New Roman" w:hAnsi="Times New Roman" w:cs="Times New Roman"/>
          <w:noProof/>
          <w:lang w:val="cs"/>
        </w:rPr>
        <w:t>t rozvoj rezistence.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277D3F2C" w:rsidR="00010657" w:rsidRDefault="00430B10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4BB12D49" w:rsidR="00010657" w:rsidRDefault="00430B10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elikost/objem pipety (ml) </w:t>
            </w:r>
          </w:p>
        </w:tc>
        <w:tc>
          <w:tcPr>
            <w:tcW w:w="2127" w:type="dxa"/>
          </w:tcPr>
          <w:p w14:paraId="42824868" w14:textId="672318A4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30B10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4875449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30B10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6C22D4C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</w:t>
            </w:r>
            <w:r w:rsidR="00F91951">
              <w:rPr>
                <w:rFonts w:ascii="Times New Roman" w:hAnsi="Times New Roman" w:cs="Times New Roman"/>
                <w:lang w:val="cs"/>
              </w:rPr>
              <w:t>2</w:t>
            </w:r>
            <w:r>
              <w:rPr>
                <w:rFonts w:ascii="Times New Roman" w:hAnsi="Times New Roman" w:cs="Times New Roman"/>
                <w:lang w:val="cs"/>
              </w:rPr>
              <w:t>,5–5</w:t>
            </w:r>
          </w:p>
        </w:tc>
        <w:tc>
          <w:tcPr>
            <w:tcW w:w="2409" w:type="dxa"/>
            <w:shd w:val="clear" w:color="auto" w:fill="auto"/>
          </w:tcPr>
          <w:p w14:paraId="0593FDF8" w14:textId="2407F3AB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</w:t>
            </w:r>
            <w:r w:rsidR="00F91951">
              <w:rPr>
                <w:rFonts w:ascii="Times New Roman" w:hAnsi="Times New Roman" w:cs="Times New Roman"/>
                <w:lang w:val="cs"/>
              </w:rPr>
              <w:t>7</w:t>
            </w:r>
          </w:p>
        </w:tc>
        <w:tc>
          <w:tcPr>
            <w:tcW w:w="2127" w:type="dxa"/>
          </w:tcPr>
          <w:p w14:paraId="1982BB55" w14:textId="5F6E8FEC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</w:t>
            </w:r>
            <w:r w:rsidR="00F91951">
              <w:rPr>
                <w:rFonts w:ascii="Times New Roman" w:hAnsi="Times New Roman" w:cs="Times New Roman"/>
                <w:lang w:val="cs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4759741C" w14:textId="7F580F2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</w:t>
            </w:r>
            <w:r w:rsidR="00F91951">
              <w:rPr>
                <w:rFonts w:ascii="Times New Roman" w:hAnsi="Times New Roman" w:cs="Times New Roman"/>
                <w:lang w:val="cs"/>
              </w:rPr>
              <w:t>6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AFEF88A" w14:textId="55D515BE" w:rsidR="00010657" w:rsidRDefault="00430B1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3930E638" w:rsidR="00010657" w:rsidRDefault="00430B1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</w:t>
      </w:r>
      <w:r>
        <w:rPr>
          <w:rFonts w:ascii="Times New Roman" w:hAnsi="Times New Roman" w:cs="Times New Roman"/>
          <w:lang w:val="cs"/>
        </w:rPr>
        <w:t>vrhem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23FCBFD2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Vyjměte jednu pipetu z obalu. Držte pipetu ve svislé poloze, otočte </w:t>
      </w:r>
      <w:r w:rsidR="00430B10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a </w:t>
      </w:r>
      <w:r w:rsidR="00430B10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49744F6D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430B10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430B10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430B10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430B10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430B10">
        <w:rPr>
          <w:rFonts w:ascii="Times New Roman" w:hAnsi="Times New Roman" w:cs="Times New Roman"/>
          <w:lang w:val="cs"/>
        </w:rPr>
        <w:t xml:space="preserve"> se 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430B10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20B07563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430B10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430B10">
        <w:rPr>
          <w:rFonts w:ascii="Times New Roman" w:hAnsi="Times New Roman" w:cs="Times New Roman"/>
          <w:lang w:val="cs"/>
        </w:rPr>
        <w:t xml:space="preserve">hrot </w:t>
      </w:r>
      <w:r>
        <w:rPr>
          <w:rFonts w:ascii="Times New Roman" w:hAnsi="Times New Roman" w:cs="Times New Roman"/>
          <w:lang w:val="cs"/>
        </w:rPr>
        <w:t xml:space="preserve">pipety na kůži a několikrát pipetu zmáčkněte, aby se její obsah zcela vyprázdnil na jednom místě přímo na kůži. Zabraňte kontaktu mezi veterinárním léčivým přípravkem a </w:t>
      </w:r>
      <w:r w:rsidR="00430B10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49AE7CB3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430B10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430B10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6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Pr="00AD3645" w:rsidRDefault="002013C9" w:rsidP="00CD03F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Pr="00AD3645" w:rsidRDefault="00010657" w:rsidP="00CD03F4">
      <w:pPr>
        <w:keepNext/>
        <w:jc w:val="both"/>
        <w:rPr>
          <w:rFonts w:ascii="Times New Roman" w:hAnsi="Times New Roman" w:cs="Times New Roman"/>
        </w:rPr>
      </w:pPr>
    </w:p>
    <w:p w14:paraId="35DED4DB" w14:textId="77777777" w:rsidR="00010657" w:rsidRPr="00AD3645" w:rsidRDefault="002013C9" w:rsidP="00CD03F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</w:r>
      <w:proofErr w:type="spellStart"/>
      <w:r>
        <w:rPr>
          <w:rFonts w:ascii="Times New Roman" w:hAnsi="Times New Roman" w:cs="Times New Roman"/>
          <w:b/>
          <w:lang w:val="cs"/>
        </w:rPr>
        <w:t>ATCvet</w:t>
      </w:r>
      <w:proofErr w:type="spellEnd"/>
      <w:r>
        <w:rPr>
          <w:rFonts w:ascii="Times New Roman" w:hAnsi="Times New Roman" w:cs="Times New Roman"/>
          <w:b/>
          <w:lang w:val="cs"/>
        </w:rPr>
        <w:t xml:space="preserve">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CD03F4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CD03F4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CD03F4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4953721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 xml:space="preserve">Prazikvantel se rychle adsorbuje přes povrch parazitů a působí primárně změnou propustnosti </w:t>
      </w:r>
      <w:r w:rsidR="00430B10">
        <w:rPr>
          <w:rFonts w:ascii="Times New Roman" w:hAnsi="Times New Roman" w:cs="Times New Roman"/>
          <w:lang w:val="cs"/>
        </w:rPr>
        <w:t>vá</w:t>
      </w:r>
      <w:r w:rsidR="007304E2">
        <w:rPr>
          <w:rFonts w:ascii="Times New Roman" w:hAnsi="Times New Roman" w:cs="Times New Roman"/>
          <w:lang w:val="cs"/>
        </w:rPr>
        <w:t>p</w:t>
      </w:r>
      <w:r w:rsidR="00430B10">
        <w:rPr>
          <w:rFonts w:ascii="Times New Roman" w:hAnsi="Times New Roman" w:cs="Times New Roman"/>
          <w:lang w:val="cs"/>
        </w:rPr>
        <w:t>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430B10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430B10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</w:t>
      </w:r>
      <w:r w:rsidR="007304E2">
        <w:rPr>
          <w:rFonts w:ascii="Times New Roman" w:hAnsi="Times New Roman" w:cs="Times New Roman"/>
          <w:lang w:val="cs"/>
        </w:rPr>
        <w:t>k 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2AED960E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7304E2">
        <w:rPr>
          <w:rFonts w:ascii="Times New Roman" w:hAnsi="Times New Roman" w:cs="Times New Roman"/>
          <w:lang w:val="cs"/>
        </w:rPr>
        <w:t>semi</w:t>
      </w:r>
      <w:proofErr w:type="spellEnd"/>
      <w:r w:rsidR="007304E2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7304E2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2A550DF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7304E2">
        <w:rPr>
          <w:rFonts w:ascii="Times New Roman" w:hAnsi="Times New Roman" w:cs="Times New Roman"/>
          <w:lang w:val="cs"/>
        </w:rPr>
        <w:t xml:space="preserve">skupiny </w:t>
      </w:r>
      <w:r>
        <w:rPr>
          <w:rFonts w:ascii="Times New Roman" w:hAnsi="Times New Roman" w:cs="Times New Roman"/>
          <w:lang w:val="cs"/>
        </w:rPr>
        <w:t xml:space="preserve">sekretinových receptorů, což má za následek paralýzu a </w:t>
      </w:r>
      <w:r w:rsidR="007304E2">
        <w:rPr>
          <w:rFonts w:ascii="Times New Roman" w:hAnsi="Times New Roman" w:cs="Times New Roman"/>
          <w:lang w:val="cs"/>
        </w:rPr>
        <w:t xml:space="preserve">úhyn </w:t>
      </w:r>
      <w:r>
        <w:rPr>
          <w:rFonts w:ascii="Times New Roman" w:hAnsi="Times New Roman" w:cs="Times New Roman"/>
          <w:lang w:val="cs"/>
        </w:rPr>
        <w:t xml:space="preserve">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4237090A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prazikvantelu/l. Maximálních koncentrací bylo dosaženo </w:t>
      </w:r>
      <w:r w:rsidR="007304E2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7304E2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emodepsid. </w:t>
      </w:r>
    </w:p>
    <w:p w14:paraId="724513BF" w14:textId="221C1E7A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>Studie na mnoha různých druzích</w:t>
      </w:r>
      <w:r w:rsidR="007304E2">
        <w:rPr>
          <w:rFonts w:ascii="Times New Roman" w:hAnsi="Times New Roman" w:cs="Times New Roman"/>
          <w:bCs/>
          <w:lang w:val="cs"/>
        </w:rPr>
        <w:t xml:space="preserve"> zvířat</w:t>
      </w:r>
      <w:r>
        <w:rPr>
          <w:rFonts w:ascii="Times New Roman" w:hAnsi="Times New Roman" w:cs="Times New Roman"/>
          <w:bCs/>
          <w:lang w:val="cs"/>
        </w:rPr>
        <w:t xml:space="preserve"> ukazují, že prazikvantel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5462A151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7304E2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5DFD06B9" w:rsidR="00010657" w:rsidRDefault="00A36D9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4EF7C3AB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7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7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76C22F68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A36D97">
        <w:rPr>
          <w:rFonts w:ascii="Times New Roman" w:eastAsia="Times New Roman" w:hAnsi="Times New Roman" w:cs="Times New Roman"/>
          <w:szCs w:val="20"/>
          <w:lang w:val="cs"/>
        </w:rPr>
        <w:t>z </w:t>
      </w:r>
      <w:proofErr w:type="spellStart"/>
      <w:r w:rsidR="00A36D97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A36D97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A36D97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A36D97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A36D97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A36D97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5DF0E7E6" w:rsidR="00010657" w:rsidRPr="00F81DD1" w:rsidRDefault="002E5116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Papír</w:t>
      </w:r>
      <w:r w:rsidR="004E3CAC">
        <w:rPr>
          <w:rFonts w:ascii="Times New Roman" w:eastAsia="Times New Roman" w:hAnsi="Times New Roman" w:cs="Times New Roman"/>
          <w:lang w:val="cs"/>
        </w:rPr>
        <w:t>o</w:t>
      </w:r>
      <w:r>
        <w:rPr>
          <w:rFonts w:ascii="Times New Roman" w:eastAsia="Times New Roman" w:hAnsi="Times New Roman" w:cs="Times New Roman"/>
          <w:lang w:val="cs"/>
        </w:rPr>
        <w:t xml:space="preserve">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 w:rsidR="007B4E8F"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</w:t>
      </w:r>
      <w:r w:rsidR="00F91951">
        <w:rPr>
          <w:rFonts w:ascii="Times New Roman" w:eastAsia="Times New Roman" w:hAnsi="Times New Roman" w:cs="Times New Roman"/>
          <w:lang w:val="cs"/>
        </w:rPr>
        <w:t>7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7FFAFBA0" w:rsidR="00010657" w:rsidRDefault="00CD03F4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</w:t>
      </w:r>
      <w:r>
        <w:rPr>
          <w:rFonts w:ascii="Times New Roman" w:hAnsi="Times New Roman" w:cs="Times New Roman"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>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1D3277F8" w:rsidR="00010657" w:rsidRDefault="00BE076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96/035/25-C</w:t>
      </w:r>
    </w:p>
    <w:p w14:paraId="3431374B" w14:textId="5F22F5B0" w:rsidR="00BE076E" w:rsidRDefault="00BE076E" w:rsidP="00F81DD1">
      <w:pPr>
        <w:jc w:val="both"/>
        <w:rPr>
          <w:rFonts w:ascii="Times New Roman" w:hAnsi="Times New Roman" w:cs="Times New Roman"/>
        </w:rPr>
      </w:pPr>
    </w:p>
    <w:p w14:paraId="5B3838AD" w14:textId="77777777" w:rsidR="00BE076E" w:rsidRDefault="00BE076E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7A719FFA" w:rsidR="00010657" w:rsidRDefault="00BE076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1F66B836" w:rsidR="00010657" w:rsidRDefault="007304E2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E07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3B4FF6FF" w14:textId="5A44563D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D58B3" w14:textId="77777777" w:rsidR="007304E2" w:rsidRDefault="007304E2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5A942E45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7304E2">
        <w:rPr>
          <w:rFonts w:ascii="Times New Roman" w:hAnsi="Times New Roman" w:cs="Times New Roman"/>
          <w:lang w:val="cs"/>
        </w:rPr>
        <w:t>je vydáván bez</w:t>
      </w:r>
      <w:r>
        <w:rPr>
          <w:rFonts w:ascii="Times New Roman" w:hAnsi="Times New Roman" w:cs="Times New Roman"/>
          <w:lang w:val="cs"/>
        </w:rPr>
        <w:t xml:space="preserve"> předpis</w:t>
      </w:r>
      <w:r w:rsidR="007304E2">
        <w:rPr>
          <w:rFonts w:ascii="Times New Roman" w:hAnsi="Times New Roman" w:cs="Times New Roman"/>
          <w:lang w:val="cs"/>
        </w:rPr>
        <w:t>u</w:t>
      </w:r>
      <w:r>
        <w:rPr>
          <w:rFonts w:ascii="Times New Roman" w:hAnsi="Times New Roman" w:cs="Times New Roman"/>
          <w:lang w:val="cs"/>
        </w:rPr>
        <w:t>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8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8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p w14:paraId="61A60AA3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8D2D" w14:textId="77777777" w:rsidR="00ED21A2" w:rsidRDefault="00ED21A2">
      <w:r>
        <w:separator/>
      </w:r>
    </w:p>
  </w:endnote>
  <w:endnote w:type="continuationSeparator" w:id="0">
    <w:p w14:paraId="0E440D45" w14:textId="77777777" w:rsidR="00ED21A2" w:rsidRDefault="00ED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E715" w14:textId="77777777" w:rsidR="00ED21A2" w:rsidRDefault="00ED21A2">
      <w:r>
        <w:separator/>
      </w:r>
    </w:p>
  </w:footnote>
  <w:footnote w:type="continuationSeparator" w:id="0">
    <w:p w14:paraId="247CF9B0" w14:textId="77777777" w:rsidR="00ED21A2" w:rsidRDefault="00ED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3634" w14:textId="26687743" w:rsidR="00154D2A" w:rsidRDefault="00154D2A" w:rsidP="00154D2A">
    <w:pPr>
      <w:rPr>
        <w:rFonts w:eastAsiaTheme="minorHAnsi"/>
      </w:rPr>
    </w:pPr>
    <w:r>
      <w:t xml:space="preserve">  </w:t>
    </w:r>
  </w:p>
  <w:p w14:paraId="40934556" w14:textId="77777777" w:rsidR="00154D2A" w:rsidRDefault="00154D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26CE6"/>
    <w:rsid w:val="000819C4"/>
    <w:rsid w:val="000B266A"/>
    <w:rsid w:val="000D1463"/>
    <w:rsid w:val="000D7546"/>
    <w:rsid w:val="000F5F04"/>
    <w:rsid w:val="00133763"/>
    <w:rsid w:val="00154D2A"/>
    <w:rsid w:val="0019779C"/>
    <w:rsid w:val="001B4CFC"/>
    <w:rsid w:val="001E4FED"/>
    <w:rsid w:val="002013C9"/>
    <w:rsid w:val="00215370"/>
    <w:rsid w:val="00263A0D"/>
    <w:rsid w:val="002D2702"/>
    <w:rsid w:val="002E5116"/>
    <w:rsid w:val="00331650"/>
    <w:rsid w:val="003B3B97"/>
    <w:rsid w:val="003C4EB6"/>
    <w:rsid w:val="003E407D"/>
    <w:rsid w:val="00430B10"/>
    <w:rsid w:val="00473E40"/>
    <w:rsid w:val="004E3CAC"/>
    <w:rsid w:val="005B604F"/>
    <w:rsid w:val="005F1E4D"/>
    <w:rsid w:val="00631BC0"/>
    <w:rsid w:val="00667842"/>
    <w:rsid w:val="00687D0A"/>
    <w:rsid w:val="006B5967"/>
    <w:rsid w:val="007304E2"/>
    <w:rsid w:val="007902DF"/>
    <w:rsid w:val="007B4E8F"/>
    <w:rsid w:val="007C503C"/>
    <w:rsid w:val="007E6EFF"/>
    <w:rsid w:val="00817E96"/>
    <w:rsid w:val="0083216E"/>
    <w:rsid w:val="008465FA"/>
    <w:rsid w:val="008C5EAC"/>
    <w:rsid w:val="00970406"/>
    <w:rsid w:val="009A3671"/>
    <w:rsid w:val="00A36D97"/>
    <w:rsid w:val="00A43BAE"/>
    <w:rsid w:val="00A7463B"/>
    <w:rsid w:val="00AA4055"/>
    <w:rsid w:val="00AA73D2"/>
    <w:rsid w:val="00AD3645"/>
    <w:rsid w:val="00AD3D9C"/>
    <w:rsid w:val="00B138A0"/>
    <w:rsid w:val="00B64968"/>
    <w:rsid w:val="00B709BD"/>
    <w:rsid w:val="00BC2DC9"/>
    <w:rsid w:val="00BE076E"/>
    <w:rsid w:val="00BF3C90"/>
    <w:rsid w:val="00C7416A"/>
    <w:rsid w:val="00C87BAC"/>
    <w:rsid w:val="00CA4788"/>
    <w:rsid w:val="00CC4092"/>
    <w:rsid w:val="00CC624C"/>
    <w:rsid w:val="00CD03F4"/>
    <w:rsid w:val="00DF4EF6"/>
    <w:rsid w:val="00DF5445"/>
    <w:rsid w:val="00ED21A2"/>
    <w:rsid w:val="00EF6833"/>
    <w:rsid w:val="00F12940"/>
    <w:rsid w:val="00F635DD"/>
    <w:rsid w:val="00F81DD1"/>
    <w:rsid w:val="00F91948"/>
    <w:rsid w:val="00F91951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74DBCE-FEC7-4583-BA35-8B37D218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1870</Words>
  <Characters>11039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38</cp:revision>
  <cp:lastPrinted>2025-08-15T11:34:00Z</cp:lastPrinted>
  <dcterms:created xsi:type="dcterms:W3CDTF">2025-05-02T12:51:00Z</dcterms:created>
  <dcterms:modified xsi:type="dcterms:W3CDTF">2025-08-15T11:34:00Z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