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5D88B4D3" w:rsidR="00C114FF" w:rsidRPr="00B41D57" w:rsidRDefault="00131D0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31D0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31D0E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DDBBA8" w14:textId="77777777" w:rsidR="004E6289" w:rsidRPr="00C20065" w:rsidRDefault="004E6289" w:rsidP="004E6289">
      <w:pPr>
        <w:rPr>
          <w:szCs w:val="22"/>
        </w:rPr>
      </w:pPr>
      <w:bookmarkStart w:id="0" w:name="_Hlk211249165"/>
      <w:r w:rsidRPr="00C079C7">
        <w:rPr>
          <w:rFonts w:eastAsia="Calibri"/>
          <w:szCs w:val="22"/>
        </w:rPr>
        <w:t>VETAXAM L.A. 150 mg/ml injekční suspenze pro skot a prasata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31D0E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694C5BAA" w14:textId="476BA2B3" w:rsidR="004E6289" w:rsidRDefault="004E6289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B864DAA" w14:textId="608DE6AE" w:rsidR="004E6289" w:rsidRPr="00E40670" w:rsidRDefault="000F28C2" w:rsidP="004E6289">
      <w:pPr>
        <w:rPr>
          <w:bCs/>
          <w:szCs w:val="22"/>
        </w:rPr>
      </w:pPr>
      <w:bookmarkStart w:id="1" w:name="_Toc382897772"/>
      <w:bookmarkStart w:id="2" w:name="_Toc382898522"/>
      <w:r>
        <w:rPr>
          <w:bCs/>
          <w:szCs w:val="22"/>
        </w:rPr>
        <w:t>Každý</w:t>
      </w:r>
      <w:r w:rsidR="004E6289" w:rsidRPr="00E40670">
        <w:rPr>
          <w:bCs/>
          <w:szCs w:val="22"/>
        </w:rPr>
        <w:t xml:space="preserve"> ml přípravku obsahuje:</w:t>
      </w:r>
    </w:p>
    <w:p w14:paraId="0562CC32" w14:textId="77777777" w:rsidR="004E6289" w:rsidRDefault="004E6289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3ED78DDB" w:rsidR="00C114FF" w:rsidRPr="00B41D57" w:rsidRDefault="00131D0E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  <w:bookmarkEnd w:id="1"/>
      <w:bookmarkEnd w:id="2"/>
    </w:p>
    <w:p w14:paraId="189A8EB6" w14:textId="77777777" w:rsidR="004E6289" w:rsidRPr="00E40670" w:rsidRDefault="004E6289" w:rsidP="004E6289">
      <w:pPr>
        <w:rPr>
          <w:bCs/>
          <w:szCs w:val="22"/>
        </w:rPr>
      </w:pPr>
      <w:r w:rsidRPr="00E40670">
        <w:rPr>
          <w:bCs/>
          <w:szCs w:val="22"/>
        </w:rPr>
        <w:t>Amoxicillinum</w:t>
      </w:r>
      <w:r w:rsidRPr="00E40670">
        <w:rPr>
          <w:bCs/>
          <w:szCs w:val="22"/>
        </w:rPr>
        <w:tab/>
        <w:t xml:space="preserve">150 mg </w:t>
      </w:r>
    </w:p>
    <w:p w14:paraId="7C61ABD6" w14:textId="3552E56E" w:rsidR="004E6289" w:rsidRPr="00C079C7" w:rsidRDefault="004E6289" w:rsidP="004E6289">
      <w:pPr>
        <w:rPr>
          <w:szCs w:val="22"/>
        </w:rPr>
      </w:pPr>
      <w:r w:rsidRPr="00C079C7">
        <w:rPr>
          <w:szCs w:val="22"/>
        </w:rPr>
        <w:t>(odpovídá 172,20 mg amoxicilinum trihydricum)</w:t>
      </w:r>
    </w:p>
    <w:p w14:paraId="5DBC8849" w14:textId="77457046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19F0D842" w:rsidR="00C114FF" w:rsidRPr="00B41D57" w:rsidRDefault="00131D0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4E6289" w14:paraId="0B4C76E3" w14:textId="77777777" w:rsidTr="004E6289">
        <w:tc>
          <w:tcPr>
            <w:tcW w:w="4528" w:type="dxa"/>
            <w:shd w:val="clear" w:color="auto" w:fill="auto"/>
            <w:vAlign w:val="center"/>
          </w:tcPr>
          <w:p w14:paraId="6D45EB6D" w14:textId="3D72A262" w:rsidR="004E6289" w:rsidRPr="00B41D57" w:rsidRDefault="004E628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E6289" w14:paraId="7D5263D3" w14:textId="77777777" w:rsidTr="004E6289">
        <w:tc>
          <w:tcPr>
            <w:tcW w:w="4528" w:type="dxa"/>
            <w:shd w:val="clear" w:color="auto" w:fill="auto"/>
            <w:vAlign w:val="center"/>
          </w:tcPr>
          <w:p w14:paraId="0F798F46" w14:textId="364A1F50" w:rsidR="004E6289" w:rsidRPr="00B41D57" w:rsidRDefault="004E6289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E6289">
              <w:rPr>
                <w:iCs/>
                <w:szCs w:val="22"/>
              </w:rPr>
              <w:t>Koloidní bezvodý oxid křemičitý</w:t>
            </w:r>
          </w:p>
        </w:tc>
      </w:tr>
      <w:tr w:rsidR="004E6289" w14:paraId="6A4C5E50" w14:textId="77777777" w:rsidTr="004E6289">
        <w:tc>
          <w:tcPr>
            <w:tcW w:w="4528" w:type="dxa"/>
            <w:shd w:val="clear" w:color="auto" w:fill="auto"/>
            <w:vAlign w:val="center"/>
          </w:tcPr>
          <w:p w14:paraId="5CCC8F42" w14:textId="780B2CF5" w:rsidR="004E6289" w:rsidRPr="00B41D57" w:rsidRDefault="004E6289" w:rsidP="00617B81">
            <w:pPr>
              <w:spacing w:before="60" w:after="60"/>
              <w:rPr>
                <w:iCs/>
                <w:szCs w:val="22"/>
              </w:rPr>
            </w:pPr>
            <w:r w:rsidRPr="004E6289">
              <w:rPr>
                <w:iCs/>
                <w:szCs w:val="22"/>
              </w:rPr>
              <w:t>Sorbitan-oleát</w:t>
            </w:r>
          </w:p>
        </w:tc>
      </w:tr>
      <w:tr w:rsidR="004E6289" w14:paraId="1E235C5B" w14:textId="77777777" w:rsidTr="004E6289">
        <w:tc>
          <w:tcPr>
            <w:tcW w:w="4528" w:type="dxa"/>
            <w:shd w:val="clear" w:color="auto" w:fill="auto"/>
            <w:vAlign w:val="center"/>
          </w:tcPr>
          <w:p w14:paraId="0ECB18EE" w14:textId="3F291644" w:rsidR="004E6289" w:rsidRPr="00B41D57" w:rsidRDefault="004E6289" w:rsidP="00617B81">
            <w:pPr>
              <w:spacing w:before="60" w:after="60"/>
              <w:rPr>
                <w:iCs/>
                <w:szCs w:val="22"/>
              </w:rPr>
            </w:pPr>
            <w:r w:rsidRPr="004E6289">
              <w:rPr>
                <w:iCs/>
                <w:szCs w:val="22"/>
              </w:rPr>
              <w:t>Propylenglykol-dioktanodidekanoát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A2694B" w14:textId="2F7E847E" w:rsidR="00C224DF" w:rsidRDefault="007418E0" w:rsidP="00A9226B">
      <w:pPr>
        <w:tabs>
          <w:tab w:val="clear" w:pos="567"/>
        </w:tabs>
        <w:spacing w:line="240" w:lineRule="auto"/>
        <w:rPr>
          <w:szCs w:val="22"/>
        </w:rPr>
      </w:pPr>
      <w:r w:rsidRPr="007418E0">
        <w:rPr>
          <w:szCs w:val="22"/>
        </w:rPr>
        <w:t>Bílá až téměř bílá suspenze.</w:t>
      </w:r>
    </w:p>
    <w:p w14:paraId="2253DA91" w14:textId="23ADB42F" w:rsidR="007418E0" w:rsidRDefault="007418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548710" w14:textId="77777777" w:rsidR="007418E0" w:rsidRPr="00B41D57" w:rsidRDefault="007418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6C35A683" w:rsidR="00C114FF" w:rsidRPr="00B41D57" w:rsidRDefault="00131D0E" w:rsidP="00B13B6D">
      <w:pPr>
        <w:pStyle w:val="Style1"/>
      </w:pPr>
      <w:r w:rsidRPr="00B41D57">
        <w:t>3.</w:t>
      </w:r>
      <w:r w:rsidRPr="00B41D57">
        <w:tab/>
      </w:r>
      <w:r w:rsidRPr="00B41D57"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6141F1E3" w:rsidR="00C114FF" w:rsidRDefault="00131D0E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7F94D2" w14:textId="3D1438FA" w:rsidR="00454608" w:rsidRDefault="00454608" w:rsidP="00B13B6D">
      <w:pPr>
        <w:pStyle w:val="Style1"/>
      </w:pPr>
    </w:p>
    <w:p w14:paraId="4BDAA357" w14:textId="361BADEA" w:rsidR="00454608" w:rsidRPr="003536A7" w:rsidRDefault="00454608" w:rsidP="00B71147">
      <w:r w:rsidRPr="00C079C7">
        <w:rPr>
          <w:szCs w:val="22"/>
        </w:rPr>
        <w:t>Skot, prasata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32BDB222" w:rsidR="00C114FF" w:rsidRPr="00B41D57" w:rsidRDefault="00131D0E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B7F03" w14:textId="77777777" w:rsidR="00557307" w:rsidRPr="00C079C7" w:rsidRDefault="00557307" w:rsidP="00557307">
      <w:pPr>
        <w:rPr>
          <w:rFonts w:eastAsia="Calibri"/>
          <w:szCs w:val="22"/>
        </w:rPr>
      </w:pPr>
      <w:r w:rsidRPr="00B71147">
        <w:rPr>
          <w:rFonts w:eastAsia="Calibri"/>
          <w:szCs w:val="22"/>
          <w:u w:val="single"/>
        </w:rPr>
        <w:t>Skot</w:t>
      </w:r>
      <w:r w:rsidRPr="00C079C7">
        <w:rPr>
          <w:rFonts w:eastAsia="Calibri"/>
          <w:szCs w:val="22"/>
        </w:rPr>
        <w:t>:</w:t>
      </w:r>
    </w:p>
    <w:p w14:paraId="4F5464BA" w14:textId="40671A95" w:rsidR="00557307" w:rsidRDefault="00557307" w:rsidP="00557307">
      <w:pPr>
        <w:rPr>
          <w:rFonts w:eastAsia="Calibri"/>
          <w:szCs w:val="22"/>
        </w:rPr>
      </w:pPr>
      <w:r w:rsidRPr="00C079C7">
        <w:rPr>
          <w:rFonts w:eastAsia="Calibri"/>
          <w:szCs w:val="22"/>
        </w:rPr>
        <w:t xml:space="preserve">Léčba respiračních infekcí </w:t>
      </w:r>
      <w:r w:rsidR="00843F73">
        <w:rPr>
          <w:rFonts w:eastAsia="Calibri"/>
          <w:szCs w:val="22"/>
        </w:rPr>
        <w:t>vyvolaných</w:t>
      </w:r>
      <w:r>
        <w:rPr>
          <w:rFonts w:eastAsia="Calibri"/>
          <w:szCs w:val="22"/>
        </w:rPr>
        <w:t xml:space="preserve"> </w:t>
      </w:r>
      <w:r w:rsidRPr="00C079C7">
        <w:rPr>
          <w:rFonts w:eastAsia="Calibri"/>
          <w:i/>
          <w:szCs w:val="22"/>
        </w:rPr>
        <w:t>Mannheimia haemolytica</w:t>
      </w:r>
      <w:r w:rsidRPr="00C079C7">
        <w:rPr>
          <w:rFonts w:eastAsia="Calibri"/>
          <w:szCs w:val="22"/>
        </w:rPr>
        <w:t xml:space="preserve"> a </w:t>
      </w:r>
      <w:r w:rsidRPr="00C079C7">
        <w:rPr>
          <w:rFonts w:eastAsia="Calibri"/>
          <w:i/>
          <w:szCs w:val="22"/>
        </w:rPr>
        <w:t>Pasteurella multocida</w:t>
      </w:r>
      <w:r>
        <w:rPr>
          <w:rFonts w:eastAsia="Calibri"/>
          <w:szCs w:val="22"/>
        </w:rPr>
        <w:t>.</w:t>
      </w:r>
    </w:p>
    <w:p w14:paraId="019C8B5F" w14:textId="77777777" w:rsidR="00557307" w:rsidRPr="00C079C7" w:rsidRDefault="00557307" w:rsidP="00557307">
      <w:pPr>
        <w:rPr>
          <w:rFonts w:eastAsia="Calibri"/>
          <w:szCs w:val="22"/>
        </w:rPr>
      </w:pPr>
    </w:p>
    <w:p w14:paraId="73A91277" w14:textId="4E738DC3" w:rsidR="00557307" w:rsidRPr="00B71147" w:rsidRDefault="00557307" w:rsidP="00557307">
      <w:pPr>
        <w:tabs>
          <w:tab w:val="left" w:pos="3090"/>
        </w:tabs>
        <w:rPr>
          <w:rFonts w:eastAsia="Calibri"/>
          <w:szCs w:val="22"/>
          <w:u w:val="single"/>
        </w:rPr>
      </w:pPr>
      <w:r w:rsidRPr="00B71147">
        <w:rPr>
          <w:rFonts w:eastAsia="Calibri"/>
          <w:szCs w:val="22"/>
          <w:u w:val="single"/>
        </w:rPr>
        <w:t>Prasata</w:t>
      </w:r>
      <w:r>
        <w:rPr>
          <w:rFonts w:eastAsia="Calibri"/>
          <w:szCs w:val="22"/>
          <w:u w:val="single"/>
        </w:rPr>
        <w:t>:</w:t>
      </w:r>
    </w:p>
    <w:p w14:paraId="38364E20" w14:textId="6BE8B06F" w:rsidR="00557307" w:rsidRPr="00C079C7" w:rsidRDefault="00557307" w:rsidP="00557307">
      <w:pPr>
        <w:rPr>
          <w:rFonts w:eastAsia="Calibri"/>
          <w:szCs w:val="22"/>
        </w:rPr>
      </w:pPr>
      <w:r w:rsidRPr="00C079C7">
        <w:rPr>
          <w:rFonts w:eastAsia="Calibri"/>
          <w:szCs w:val="22"/>
        </w:rPr>
        <w:t xml:space="preserve">Léčba respiračních infekcí způsobených </w:t>
      </w:r>
      <w:r w:rsidR="00843F73">
        <w:rPr>
          <w:rFonts w:eastAsia="Calibri"/>
          <w:szCs w:val="22"/>
        </w:rPr>
        <w:t>vyvolaných</w:t>
      </w:r>
      <w:r>
        <w:rPr>
          <w:rFonts w:eastAsia="Calibri"/>
          <w:szCs w:val="22"/>
        </w:rPr>
        <w:t xml:space="preserve"> </w:t>
      </w:r>
      <w:r w:rsidRPr="00C079C7">
        <w:rPr>
          <w:rFonts w:eastAsia="Calibri"/>
          <w:i/>
          <w:szCs w:val="22"/>
        </w:rPr>
        <w:t>Pasteurella multocida</w:t>
      </w:r>
      <w:r>
        <w:rPr>
          <w:rFonts w:eastAsia="Calibri"/>
          <w:szCs w:val="22"/>
        </w:rPr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58C57E85" w:rsidR="00C114FF" w:rsidRPr="00B41D57" w:rsidRDefault="00131D0E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39FA4C" w14:textId="77777777" w:rsidR="00131D0E" w:rsidRPr="00C079C7" w:rsidRDefault="00131D0E" w:rsidP="00B71147">
      <w:pPr>
        <w:spacing w:line="240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Nepoužívat v případ</w:t>
      </w:r>
      <w:r>
        <w:rPr>
          <w:rFonts w:eastAsia="Calibri"/>
          <w:szCs w:val="22"/>
        </w:rPr>
        <w:t>ech</w:t>
      </w:r>
      <w:r w:rsidRPr="00C079C7">
        <w:rPr>
          <w:rFonts w:eastAsia="Calibri"/>
          <w:szCs w:val="22"/>
        </w:rPr>
        <w:t xml:space="preserve"> známé přecitlivělosti na peniciliny, cefalosporiny nebo na </w:t>
      </w:r>
      <w:r>
        <w:rPr>
          <w:rFonts w:eastAsia="Calibri"/>
          <w:szCs w:val="22"/>
        </w:rPr>
        <w:t xml:space="preserve">některou z </w:t>
      </w:r>
      <w:r w:rsidRPr="00C079C7">
        <w:rPr>
          <w:rFonts w:eastAsia="Calibri"/>
          <w:szCs w:val="22"/>
        </w:rPr>
        <w:t>pomocn</w:t>
      </w:r>
      <w:r>
        <w:rPr>
          <w:rFonts w:eastAsia="Calibri"/>
          <w:szCs w:val="22"/>
        </w:rPr>
        <w:t>ých</w:t>
      </w:r>
      <w:r w:rsidRPr="00C079C7">
        <w:rPr>
          <w:rFonts w:eastAsia="Calibri"/>
          <w:szCs w:val="22"/>
        </w:rPr>
        <w:t xml:space="preserve"> lát</w:t>
      </w:r>
      <w:r>
        <w:rPr>
          <w:rFonts w:eastAsia="Calibri"/>
          <w:szCs w:val="22"/>
        </w:rPr>
        <w:t>e</w:t>
      </w:r>
      <w:r w:rsidRPr="00C079C7">
        <w:rPr>
          <w:rFonts w:eastAsia="Calibri"/>
          <w:szCs w:val="22"/>
        </w:rPr>
        <w:t>k.</w:t>
      </w:r>
    </w:p>
    <w:p w14:paraId="3343E185" w14:textId="77777777" w:rsidR="00131D0E" w:rsidRPr="00C079C7" w:rsidRDefault="00131D0E" w:rsidP="00B71147">
      <w:pPr>
        <w:spacing w:line="240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Nepoužívat v případech těžké renální dysfunkce s anurií a oligurií.</w:t>
      </w:r>
    </w:p>
    <w:p w14:paraId="4E2F6FBA" w14:textId="77777777" w:rsidR="00131D0E" w:rsidRPr="00C079C7" w:rsidRDefault="00131D0E" w:rsidP="00B71147">
      <w:pPr>
        <w:spacing w:line="240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Nepoužívat u králíků, zajíců, křečků, morčat nebo jiných malých býložravců.</w:t>
      </w:r>
    </w:p>
    <w:p w14:paraId="0CDE0632" w14:textId="77777777" w:rsidR="00131D0E" w:rsidRPr="00C079C7" w:rsidRDefault="00131D0E" w:rsidP="00B71147">
      <w:pPr>
        <w:spacing w:line="240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Nepodáv</w:t>
      </w:r>
      <w:r>
        <w:rPr>
          <w:rFonts w:eastAsia="Calibri"/>
          <w:szCs w:val="22"/>
        </w:rPr>
        <w:t>at</w:t>
      </w:r>
      <w:r w:rsidRPr="00C079C7">
        <w:rPr>
          <w:rFonts w:eastAsia="Calibri"/>
          <w:szCs w:val="22"/>
        </w:rPr>
        <w:t xml:space="preserve"> koňovitým, protože amoxicilin - stejně jako všechny aminopeniciliny - může nepříznivě ovlivnit bakteriální flóru slepého střeva.</w:t>
      </w:r>
    </w:p>
    <w:p w14:paraId="3CA0548D" w14:textId="77777777" w:rsidR="00131D0E" w:rsidRPr="00C079C7" w:rsidRDefault="00131D0E" w:rsidP="00B71147">
      <w:pPr>
        <w:spacing w:line="240" w:lineRule="auto"/>
        <w:jc w:val="both"/>
        <w:rPr>
          <w:rFonts w:eastAsia="Calibri"/>
          <w:szCs w:val="22"/>
        </w:rPr>
      </w:pPr>
      <w:r w:rsidRPr="00C079C7">
        <w:rPr>
          <w:rFonts w:eastAsia="Calibri"/>
          <w:szCs w:val="22"/>
        </w:rPr>
        <w:t>Nepodáv</w:t>
      </w:r>
      <w:r>
        <w:rPr>
          <w:rFonts w:eastAsia="Calibri"/>
          <w:szCs w:val="22"/>
        </w:rPr>
        <w:t>at</w:t>
      </w:r>
      <w:r w:rsidRPr="00C079C7">
        <w:rPr>
          <w:rFonts w:eastAsia="Calibri"/>
          <w:szCs w:val="22"/>
        </w:rPr>
        <w:t xml:space="preserve"> intravenózně.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586AD310" w:rsidR="00C114FF" w:rsidRPr="00B41D57" w:rsidRDefault="00131D0E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27C81B" w14:textId="6A34A063" w:rsidR="00001388" w:rsidRDefault="00001388" w:rsidP="00001388">
      <w:pPr>
        <w:tabs>
          <w:tab w:val="clear" w:pos="567"/>
        </w:tabs>
        <w:spacing w:line="240" w:lineRule="auto"/>
      </w:pPr>
      <w:r>
        <w:t xml:space="preserve">Veterinární léčivý přípravek není účinný proti organismům produkujícím beta-laktamázu. </w:t>
      </w:r>
    </w:p>
    <w:p w14:paraId="05A3155B" w14:textId="56FEE70C" w:rsidR="00001388" w:rsidRDefault="00001388">
      <w:pPr>
        <w:tabs>
          <w:tab w:val="clear" w:pos="567"/>
        </w:tabs>
        <w:spacing w:line="240" w:lineRule="auto"/>
      </w:pPr>
      <w:r>
        <w:t>Byla prokázána úplná zkřížená rezistence mezi amoxicilinem a jinými peniciliny, zejména amino-peniciliny. Použití veterinární</w:t>
      </w:r>
      <w:r w:rsidR="003A4396">
        <w:t>ho</w:t>
      </w:r>
      <w:r>
        <w:t xml:space="preserve"> léčiv</w:t>
      </w:r>
      <w:r w:rsidR="003A4396">
        <w:t>ého</w:t>
      </w:r>
      <w:r>
        <w:t xml:space="preserve"> přípravku / amoxicilinu by mělo být pečlivě zváženo, pokud výsledky</w:t>
      </w:r>
      <w:r w:rsidR="003A4396">
        <w:t xml:space="preserve"> stanovení </w:t>
      </w:r>
      <w:r>
        <w:t>citlivosti prokázaly rezistenci na peniciliny, protože jeho účinnost může být snížena.</w:t>
      </w:r>
      <w:r w:rsidRPr="00B41D57" w:rsidDel="00001388">
        <w:t xml:space="preserve"> 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0BF29972" w:rsidR="00C114FF" w:rsidRPr="00B41D57" w:rsidRDefault="00131D0E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131D0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D27806" w14:textId="24014994" w:rsidR="0054472D" w:rsidRDefault="0054472D" w:rsidP="0054472D">
      <w:pPr>
        <w:tabs>
          <w:tab w:val="clear" w:pos="567"/>
        </w:tabs>
        <w:spacing w:line="240" w:lineRule="auto"/>
      </w:pPr>
      <w:r>
        <w:t xml:space="preserve">Použití veterinárního léčivého přípravku by mělo být vždy, kdy je to možné, založeno na výsledku </w:t>
      </w:r>
      <w:r w:rsidR="003A4396">
        <w:t xml:space="preserve">stanovení </w:t>
      </w:r>
      <w:r>
        <w:t xml:space="preserve">citlivosti cílových patogenů. Pokud toto není možné, měla by být léčba založena na </w:t>
      </w:r>
      <w:r w:rsidR="003A4396">
        <w:t xml:space="preserve">epizootologických </w:t>
      </w:r>
      <w:r>
        <w:t>informacích a znalostech citlivosti cílových patogenů v rámci farmy nebo na místní/regionální úrovni.</w:t>
      </w:r>
    </w:p>
    <w:p w14:paraId="02532885" w14:textId="60707899" w:rsidR="0054472D" w:rsidRDefault="0054472D" w:rsidP="0054472D">
      <w:pPr>
        <w:tabs>
          <w:tab w:val="clear" w:pos="567"/>
        </w:tabs>
        <w:spacing w:line="240" w:lineRule="auto"/>
      </w:pPr>
      <w:r>
        <w:t xml:space="preserve">Při použití veterinárního léčivého přípravku je nutno vzít v úvahu oficiální celostátní a místní pravidla antibiotické politiky. </w:t>
      </w:r>
    </w:p>
    <w:p w14:paraId="4B461B7C" w14:textId="3AF14A25" w:rsidR="0054472D" w:rsidRDefault="0054472D" w:rsidP="0054472D">
      <w:pPr>
        <w:tabs>
          <w:tab w:val="clear" w:pos="567"/>
        </w:tabs>
        <w:spacing w:line="240" w:lineRule="auto"/>
      </w:pPr>
      <w:r>
        <w:t>Použití veterinárního léčivého přípravku</w:t>
      </w:r>
      <w:r w:rsidR="003A4396">
        <w:t xml:space="preserve"> v rozporu</w:t>
      </w:r>
      <w:r>
        <w:t xml:space="preserve"> </w:t>
      </w:r>
      <w:r w:rsidR="006A7ED4">
        <w:t xml:space="preserve">s pokyny uvedenými </w:t>
      </w:r>
      <w:r>
        <w:t>v tomto souhrnu údajů o přípravku (SPC) může zvýšit prevalenci bakterií rezistentních k amoxicilinu a snížit účinnost terapie ostatními peniciliny z důvodu možné zkřížené rezistence.</w:t>
      </w:r>
    </w:p>
    <w:p w14:paraId="1AF8EB05" w14:textId="26BE42C6" w:rsidR="0054472D" w:rsidRDefault="0054472D" w:rsidP="0054472D">
      <w:pPr>
        <w:tabs>
          <w:tab w:val="clear" w:pos="567"/>
        </w:tabs>
        <w:spacing w:line="240" w:lineRule="auto"/>
      </w:pPr>
      <w:r>
        <w:t>Nemělo by docházet ke zkrmování odpadního mléka obsahujícího rezidua amoxicilinu telatům až do konce ochranné lhůty pro mléko (s výjimkou kolostrální fáze), protože by mohlo dojít k selekci rezistentních bakterií ve střevním mikrobiomu telete a ke zvyšování vylučování těchto bakterií fekáliemi.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6C14670A" w:rsidR="00C114FF" w:rsidRPr="00B41D57" w:rsidRDefault="00131D0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23D00D" w14:textId="5A77CFA1" w:rsidR="00F56A24" w:rsidRDefault="00F56A24" w:rsidP="00F56A24">
      <w:pPr>
        <w:tabs>
          <w:tab w:val="clear" w:pos="567"/>
        </w:tabs>
        <w:spacing w:line="240" w:lineRule="auto"/>
      </w:pPr>
      <w:r>
        <w:t xml:space="preserve">Peniciliny a cefalosporiny mohou po náhodném samopodání, inhalaci, požití, nebo </w:t>
      </w:r>
      <w:r w:rsidR="00B1574E">
        <w:t>kontaktu s</w:t>
      </w:r>
      <w:r>
        <w:t xml:space="preserve"> kůží vyvolat alergickou reakci, která může být život ohrožující.</w:t>
      </w:r>
    </w:p>
    <w:p w14:paraId="09F15D3D" w14:textId="77777777" w:rsidR="00F56A24" w:rsidRDefault="00F56A24" w:rsidP="00F56A24">
      <w:pPr>
        <w:tabs>
          <w:tab w:val="clear" w:pos="567"/>
        </w:tabs>
        <w:spacing w:line="240" w:lineRule="auto"/>
      </w:pPr>
      <w:r>
        <w:t>Přecitlivělost na penicilin může vést ke zkřížené citlivosti na cefalosporiny a naopak. Lidé se známou přecitlivělostí na peniciliny nebo cefalosporiny by se měli vyhnout kontaktu s veterinárním léčivým přípravkem. S přípravkem zacházejte velmi opatrně, aby se zabránilo expozici.</w:t>
      </w:r>
    </w:p>
    <w:p w14:paraId="0B92B0D3" w14:textId="163CDF84" w:rsidR="00F56A24" w:rsidRDefault="00F56A24" w:rsidP="00F56A24">
      <w:pPr>
        <w:tabs>
          <w:tab w:val="clear" w:pos="567"/>
        </w:tabs>
        <w:spacing w:line="240" w:lineRule="auto"/>
      </w:pPr>
      <w:r>
        <w:t xml:space="preserve">Při </w:t>
      </w:r>
      <w:r w:rsidR="00B1574E">
        <w:rPr>
          <w:rFonts w:eastAsia="Calibri"/>
          <w:szCs w:val="22"/>
        </w:rPr>
        <w:t>nakládání</w:t>
      </w:r>
      <w:r>
        <w:t xml:space="preserve"> s veterinárním léčivým přípravkem by se měly používat osobní ochranné prostředky s</w:t>
      </w:r>
      <w:r w:rsidR="00B1574E">
        <w:t xml:space="preserve">kládající se </w:t>
      </w:r>
      <w:r>
        <w:t>z rukavic. Po použití veterinárního léčivého přípravku si umyjte ruce.</w:t>
      </w:r>
    </w:p>
    <w:p w14:paraId="159642F5" w14:textId="38578AF2" w:rsidR="00F56A24" w:rsidRDefault="00F56A24" w:rsidP="00F56A24">
      <w:pPr>
        <w:tabs>
          <w:tab w:val="clear" w:pos="567"/>
        </w:tabs>
        <w:spacing w:line="240" w:lineRule="auto"/>
      </w:pPr>
      <w:r>
        <w:t>V případě náhodného kontaktu s kůží nebo očima je ihned omyjte velkým množstvím vody.</w:t>
      </w:r>
    </w:p>
    <w:p w14:paraId="40935C3D" w14:textId="0C8BF20C" w:rsidR="00F56A24" w:rsidRDefault="00F56A24" w:rsidP="00F56A24">
      <w:pPr>
        <w:tabs>
          <w:tab w:val="clear" w:pos="567"/>
        </w:tabs>
        <w:spacing w:line="240" w:lineRule="auto"/>
      </w:pPr>
      <w:r>
        <w:t xml:space="preserve">Během </w:t>
      </w:r>
      <w:r w:rsidR="00B1574E">
        <w:t xml:space="preserve">nakládání </w:t>
      </w:r>
      <w:r>
        <w:t>s veterinárním léčivým přípravkem nekuřte, nejezte a nepijte.</w:t>
      </w:r>
    </w:p>
    <w:p w14:paraId="13FC5147" w14:textId="6FD1755F" w:rsidR="00F56A24" w:rsidRDefault="00F56A24" w:rsidP="00F56A24">
      <w:pPr>
        <w:tabs>
          <w:tab w:val="clear" w:pos="567"/>
        </w:tabs>
        <w:spacing w:line="240" w:lineRule="auto"/>
      </w:pPr>
      <w:r>
        <w:t>Pokud se u vás objeví postexpoziční příznaky, jako např. kožní vyrážka, vyhledejte ihned lékařskou pomoc a ukažte příbalovou informaci nebo etiketu praktickému lékaři. Otok obličeje, rtů, očí nebo potíže s dýcháním jsou vážné příznaky a vyžadují okamžitou lékařskou péči.</w:t>
      </w:r>
    </w:p>
    <w:p w14:paraId="3F997BD3" w14:textId="77777777" w:rsidR="00F56A24" w:rsidRDefault="00F56A24" w:rsidP="00A9226B">
      <w:pPr>
        <w:tabs>
          <w:tab w:val="clear" w:pos="567"/>
        </w:tabs>
        <w:spacing w:line="240" w:lineRule="auto"/>
      </w:pPr>
    </w:p>
    <w:p w14:paraId="2738C061" w14:textId="5190B47F" w:rsidR="00295140" w:rsidRPr="00B41D57" w:rsidRDefault="00131D0E" w:rsidP="0058794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58794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7F2FDE9B" w:rsidR="00C114FF" w:rsidRPr="00B41D57" w:rsidRDefault="00131D0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3769570F" w:rsidR="00C114FF" w:rsidRPr="00B41D57" w:rsidRDefault="00131D0E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DE3AAEC" w14:textId="5F3DBC01" w:rsidR="00AE687A" w:rsidRDefault="00AE687A" w:rsidP="00295140">
      <w:r w:rsidRPr="00AE687A">
        <w:t>Skot</w:t>
      </w:r>
      <w:r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6F315A" w14:paraId="142855C6" w14:textId="77777777" w:rsidTr="00617B81">
        <w:tc>
          <w:tcPr>
            <w:tcW w:w="1957" w:type="pct"/>
          </w:tcPr>
          <w:p w14:paraId="301B2A10" w14:textId="77777777" w:rsidR="00004FA2" w:rsidRDefault="00004FA2" w:rsidP="00B71147">
            <w:r>
              <w:t xml:space="preserve">Neznámá četnost </w:t>
            </w:r>
          </w:p>
          <w:p w14:paraId="2D54A519" w14:textId="392011BD" w:rsidR="00295140" w:rsidRPr="00B41D57" w:rsidRDefault="00004FA2" w:rsidP="00617B81">
            <w:pPr>
              <w:spacing w:before="60" w:after="60"/>
              <w:rPr>
                <w:szCs w:val="22"/>
              </w:rPr>
            </w:pPr>
            <w:r>
              <w:t>(z dostupných údajů nelze určit)</w:t>
            </w:r>
          </w:p>
        </w:tc>
        <w:tc>
          <w:tcPr>
            <w:tcW w:w="3043" w:type="pct"/>
            <w:hideMark/>
          </w:tcPr>
          <w:p w14:paraId="2241A98D" w14:textId="77777777" w:rsidR="004E1278" w:rsidRDefault="004E1278" w:rsidP="00617B81">
            <w:pPr>
              <w:spacing w:before="60" w:after="60"/>
            </w:pPr>
            <w:r w:rsidRPr="004E1278">
              <w:t>Hypersenzitivní reakce</w:t>
            </w:r>
            <w:r w:rsidRPr="00B71147">
              <w:rPr>
                <w:vertAlign w:val="superscript"/>
              </w:rPr>
              <w:t>1</w:t>
            </w:r>
            <w:r w:rsidRPr="004E1278">
              <w:t xml:space="preserve"> (např. kopřivka, anafylaktický šok)</w:t>
            </w:r>
          </w:p>
          <w:p w14:paraId="1A6FE8F0" w14:textId="77777777" w:rsidR="004E1278" w:rsidRDefault="004E1278" w:rsidP="00617B81">
            <w:pPr>
              <w:spacing w:before="60" w:after="60"/>
            </w:pPr>
            <w:r>
              <w:t>Z</w:t>
            </w:r>
            <w:r w:rsidRPr="004E1278">
              <w:t>výšené jaterní enzymy</w:t>
            </w:r>
          </w:p>
          <w:p w14:paraId="234E7697" w14:textId="5E625F3C" w:rsidR="00295140" w:rsidRPr="00B41D57" w:rsidRDefault="004E1278">
            <w:pPr>
              <w:spacing w:before="60" w:after="60"/>
              <w:rPr>
                <w:iCs/>
                <w:szCs w:val="22"/>
              </w:rPr>
            </w:pPr>
            <w:r>
              <w:t>R</w:t>
            </w:r>
            <w:r w:rsidRPr="004E1278">
              <w:t xml:space="preserve">eakce v místě </w:t>
            </w:r>
            <w:r w:rsidR="00A030D2">
              <w:t xml:space="preserve">injekčního </w:t>
            </w:r>
            <w:r w:rsidRPr="004E1278">
              <w:t>podání</w:t>
            </w:r>
            <w:r w:rsidRPr="00B71147">
              <w:rPr>
                <w:vertAlign w:val="superscript"/>
              </w:rPr>
              <w:t>2</w:t>
            </w:r>
            <w:r w:rsidRPr="004E1278">
              <w:t xml:space="preserve">, </w:t>
            </w:r>
            <w:r>
              <w:t>Otoky v</w:t>
            </w:r>
            <w:r w:rsidR="00643C6E">
              <w:t> </w:t>
            </w:r>
            <w:r>
              <w:t>místě</w:t>
            </w:r>
            <w:r w:rsidR="00643C6E">
              <w:t xml:space="preserve"> injekčního</w:t>
            </w:r>
            <w:r>
              <w:t xml:space="preserve"> podání</w:t>
            </w:r>
            <w:r w:rsidRPr="00B71147">
              <w:rPr>
                <w:vertAlign w:val="superscript"/>
              </w:rPr>
              <w:t>2</w:t>
            </w:r>
          </w:p>
        </w:tc>
      </w:tr>
    </w:tbl>
    <w:p w14:paraId="1D616E5A" w14:textId="31677D6C" w:rsidR="00295140" w:rsidRDefault="00B22385" w:rsidP="00AD0710">
      <w:pPr>
        <w:tabs>
          <w:tab w:val="clear" w:pos="567"/>
        </w:tabs>
        <w:spacing w:line="240" w:lineRule="auto"/>
        <w:rPr>
          <w:szCs w:val="22"/>
        </w:rPr>
      </w:pPr>
      <w:r w:rsidRPr="00B71147">
        <w:rPr>
          <w:szCs w:val="22"/>
          <w:vertAlign w:val="superscript"/>
        </w:rPr>
        <w:t>1</w:t>
      </w:r>
      <w:r w:rsidRPr="00B22385">
        <w:t xml:space="preserve"> </w:t>
      </w:r>
      <w:r w:rsidRPr="00B22385">
        <w:rPr>
          <w:szCs w:val="22"/>
        </w:rPr>
        <w:t>lišící se závažností</w:t>
      </w:r>
    </w:p>
    <w:p w14:paraId="0FAA5EFF" w14:textId="0CF86A8A" w:rsidR="00B22385" w:rsidRDefault="00B22385" w:rsidP="00AD0710">
      <w:pPr>
        <w:tabs>
          <w:tab w:val="clear" w:pos="567"/>
        </w:tabs>
        <w:spacing w:line="240" w:lineRule="auto"/>
        <w:rPr>
          <w:szCs w:val="22"/>
        </w:rPr>
      </w:pPr>
      <w:r w:rsidRPr="00B71147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B22385">
        <w:rPr>
          <w:szCs w:val="22"/>
        </w:rPr>
        <w:t>nízké intenzity a spontánně a rychle ustupující.</w:t>
      </w:r>
    </w:p>
    <w:p w14:paraId="271F9C51" w14:textId="77777777" w:rsidR="00B22385" w:rsidRDefault="00B2238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E323D" w14:textId="311BE76E" w:rsidR="00AE687A" w:rsidRDefault="00AE687A" w:rsidP="00AE687A">
      <w:r>
        <w:t>P</w:t>
      </w:r>
      <w:r w:rsidRPr="00AE687A">
        <w:t>rasata</w:t>
      </w:r>
      <w:r>
        <w:t>:</w:t>
      </w:r>
    </w:p>
    <w:p w14:paraId="4F83B6F9" w14:textId="77777777" w:rsidR="00AE687A" w:rsidRPr="00B41D57" w:rsidRDefault="00AE687A" w:rsidP="00AE687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E687A" w14:paraId="50B18051" w14:textId="77777777" w:rsidTr="00C16609">
        <w:tc>
          <w:tcPr>
            <w:tcW w:w="1957" w:type="pct"/>
          </w:tcPr>
          <w:p w14:paraId="4E60A49F" w14:textId="77777777" w:rsidR="00004FA2" w:rsidRDefault="00004FA2" w:rsidP="00B71147">
            <w:r>
              <w:t xml:space="preserve">Neznámá četnost </w:t>
            </w:r>
          </w:p>
          <w:p w14:paraId="2029302D" w14:textId="6C983802" w:rsidR="00AE687A" w:rsidRPr="00B41D57" w:rsidRDefault="00004FA2" w:rsidP="00B71147">
            <w:pPr>
              <w:rPr>
                <w:szCs w:val="22"/>
              </w:rPr>
            </w:pPr>
            <w:r>
              <w:t>(z dostupných údajů nelze určit)</w:t>
            </w:r>
          </w:p>
        </w:tc>
        <w:tc>
          <w:tcPr>
            <w:tcW w:w="3043" w:type="pct"/>
            <w:hideMark/>
          </w:tcPr>
          <w:p w14:paraId="78DF15C1" w14:textId="3B78C9B6" w:rsidR="00AE687A" w:rsidRDefault="00B22385" w:rsidP="00C16609">
            <w:pPr>
              <w:spacing w:before="60" w:after="60"/>
            </w:pPr>
            <w:r w:rsidRPr="00B22385">
              <w:t>Hypersenzitivní reakce</w:t>
            </w:r>
            <w:r w:rsidRPr="00B71147">
              <w:rPr>
                <w:vertAlign w:val="superscript"/>
              </w:rPr>
              <w:t>1</w:t>
            </w:r>
            <w:r w:rsidRPr="00B22385">
              <w:t xml:space="preserve"> (např. kopřivka, anafylaktický šok)</w:t>
            </w:r>
          </w:p>
          <w:p w14:paraId="734B35CC" w14:textId="77777777" w:rsidR="00B22385" w:rsidRDefault="000E2400" w:rsidP="00C1660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Pr="000E2400">
              <w:rPr>
                <w:iCs/>
                <w:szCs w:val="22"/>
              </w:rPr>
              <w:t>výšené jaterní enzymy</w:t>
            </w:r>
          </w:p>
          <w:p w14:paraId="6729FBE5" w14:textId="168A42C0" w:rsidR="000E2400" w:rsidRPr="00B41D57" w:rsidRDefault="000E2400" w:rsidP="00C1660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I</w:t>
            </w:r>
            <w:r w:rsidRPr="000E2400">
              <w:rPr>
                <w:iCs/>
                <w:szCs w:val="22"/>
              </w:rPr>
              <w:t>ndurace</w:t>
            </w:r>
            <w:r w:rsidR="003A4396">
              <w:rPr>
                <w:iCs/>
                <w:szCs w:val="22"/>
              </w:rPr>
              <w:t xml:space="preserve"> </w:t>
            </w:r>
            <w:r w:rsidRPr="000E2400">
              <w:rPr>
                <w:iCs/>
                <w:szCs w:val="22"/>
              </w:rPr>
              <w:t>v</w:t>
            </w:r>
            <w:r w:rsidR="00643C6E">
              <w:rPr>
                <w:iCs/>
                <w:szCs w:val="22"/>
              </w:rPr>
              <w:t> </w:t>
            </w:r>
            <w:r w:rsidRPr="000E2400">
              <w:rPr>
                <w:iCs/>
                <w:szCs w:val="22"/>
              </w:rPr>
              <w:t>místě</w:t>
            </w:r>
            <w:r w:rsidR="00643C6E">
              <w:rPr>
                <w:iCs/>
                <w:szCs w:val="22"/>
              </w:rPr>
              <w:t xml:space="preserve"> injekčního</w:t>
            </w:r>
            <w:r w:rsidRPr="000E2400">
              <w:rPr>
                <w:iCs/>
                <w:szCs w:val="22"/>
              </w:rPr>
              <w:t xml:space="preserve"> podání</w:t>
            </w:r>
          </w:p>
        </w:tc>
      </w:tr>
    </w:tbl>
    <w:p w14:paraId="60CE2A40" w14:textId="77777777" w:rsidR="008466D7" w:rsidRDefault="008466D7" w:rsidP="008466D7">
      <w:pPr>
        <w:tabs>
          <w:tab w:val="clear" w:pos="567"/>
        </w:tabs>
        <w:spacing w:line="240" w:lineRule="auto"/>
        <w:rPr>
          <w:szCs w:val="22"/>
        </w:rPr>
      </w:pPr>
      <w:r w:rsidRPr="00B71147">
        <w:rPr>
          <w:szCs w:val="22"/>
          <w:vertAlign w:val="superscript"/>
        </w:rPr>
        <w:lastRenderedPageBreak/>
        <w:t>1</w:t>
      </w:r>
      <w:r w:rsidRPr="00B22385">
        <w:t xml:space="preserve"> </w:t>
      </w:r>
      <w:r w:rsidRPr="00B22385">
        <w:rPr>
          <w:szCs w:val="22"/>
        </w:rPr>
        <w:t>lišící se závažností</w:t>
      </w:r>
    </w:p>
    <w:p w14:paraId="1DCD9B06" w14:textId="77777777" w:rsidR="00AE687A" w:rsidRPr="00B41D57" w:rsidRDefault="00AE687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313A0C9C" w:rsidR="00247A48" w:rsidRDefault="00131D0E" w:rsidP="00247A48"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2437CCE1" w:rsidR="00C114FF" w:rsidRPr="00B41D57" w:rsidRDefault="00131D0E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1B8AF5E8" w:rsidR="00C114FF" w:rsidRPr="00B41D57" w:rsidRDefault="00131D0E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A426F0">
        <w:t xml:space="preserve"> </w:t>
      </w:r>
      <w:r w:rsidRPr="00B41D57">
        <w:rPr>
          <w:szCs w:val="22"/>
          <w:u w:val="single"/>
        </w:rPr>
        <w:t>a laktace</w:t>
      </w:r>
      <w:r w:rsidR="00A426F0">
        <w:t>:</w:t>
      </w:r>
    </w:p>
    <w:p w14:paraId="53C1DD44" w14:textId="7783127C" w:rsidR="00092A3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926702" w14:textId="71FB7522" w:rsidR="00786B52" w:rsidRDefault="00042CC2" w:rsidP="00A9226B">
      <w:pPr>
        <w:tabs>
          <w:tab w:val="clear" w:pos="567"/>
        </w:tabs>
        <w:spacing w:line="240" w:lineRule="auto"/>
      </w:pPr>
      <w:r w:rsidRPr="00042CC2">
        <w:rPr>
          <w:szCs w:val="22"/>
        </w:rPr>
        <w:t>Laboratorní studie u potkanech a králících nepodaly důkaz o teratogenním, fetotoxickém účinku a maternální toxicitě.</w:t>
      </w:r>
      <w:r w:rsidR="003A4396">
        <w:rPr>
          <w:szCs w:val="22"/>
        </w:rPr>
        <w:t xml:space="preserve"> </w:t>
      </w:r>
      <w:r w:rsidR="00786B52">
        <w:t>Bezpečnost léčivého veterinárního léčivého přípravku u skotu a prasat během březosti a laktace však nebyla stanovena. 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0B435A4F" w:rsidR="00C114FF" w:rsidRPr="00B41D57" w:rsidRDefault="00131D0E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FAB31B" w14:textId="77777777" w:rsidR="00710F85" w:rsidRDefault="00710F85" w:rsidP="00710F85">
      <w:pPr>
        <w:tabs>
          <w:tab w:val="clear" w:pos="567"/>
        </w:tabs>
        <w:spacing w:line="240" w:lineRule="auto"/>
      </w:pPr>
      <w:r>
        <w:t>Nepoužívat s antibiotiky, která inhibují syntézu bakteriálních proteinů, protože mohou antagonizovat baktericidní účinek penicilinů.</w:t>
      </w:r>
    </w:p>
    <w:p w14:paraId="14B5C71D" w14:textId="31EC306A" w:rsidR="00710F85" w:rsidRDefault="00710F85" w:rsidP="00710F85">
      <w:pPr>
        <w:tabs>
          <w:tab w:val="clear" w:pos="567"/>
        </w:tabs>
        <w:spacing w:line="240" w:lineRule="auto"/>
      </w:pPr>
      <w:r>
        <w:t xml:space="preserve">Protože existuje důkaz </w:t>
      </w:r>
      <w:r w:rsidRPr="00A2152E">
        <w:rPr>
          <w:i/>
        </w:rPr>
        <w:t>in vitro</w:t>
      </w:r>
      <w:r>
        <w:t xml:space="preserve"> antagonismu mezi beta-laktamovými antibiotiky a bakteriostatickými antibiotiky (např. chloramfenikol, erythromycin a další makrolidy, tetracykliny, sulfonamidy atd.), společné použití se obecně nedoporučuje, ale skutečný klinický význam není jasný. Rovněž dochází k synergickému působení penicilinů s aminoglykosidy.</w:t>
      </w:r>
    </w:p>
    <w:p w14:paraId="1CA44EC5" w14:textId="77777777" w:rsidR="00710F85" w:rsidRDefault="00710F85" w:rsidP="00710F85">
      <w:pPr>
        <w:tabs>
          <w:tab w:val="clear" w:pos="567"/>
        </w:tabs>
        <w:spacing w:line="240" w:lineRule="auto"/>
      </w:pPr>
      <w:r>
        <w:t>Amoxicilin může snižovat vylučování methotrexátu ledvinami a tak zvyšovat hladiny a potenciální toxické účinky.</w:t>
      </w:r>
    </w:p>
    <w:p w14:paraId="7CE59B7E" w14:textId="1BC5F32C" w:rsidR="00710F85" w:rsidRDefault="00710F85" w:rsidP="00710F85">
      <w:pPr>
        <w:tabs>
          <w:tab w:val="clear" w:pos="567"/>
        </w:tabs>
        <w:spacing w:line="240" w:lineRule="auto"/>
      </w:pPr>
      <w:r>
        <w:t xml:space="preserve">Probenecid kompetitivně blokuje tubulární sekreci většiny penicilinů, čímž zvyšuje sérové hladiny a </w:t>
      </w:r>
      <w:bookmarkStart w:id="5" w:name="_Hlk207193650"/>
      <w:r w:rsidR="0026648F">
        <w:t xml:space="preserve">prodlužuje </w:t>
      </w:r>
      <w:r>
        <w:t>poločas</w:t>
      </w:r>
      <w:r w:rsidR="0026648F">
        <w:t xml:space="preserve"> rozpadu</w:t>
      </w:r>
      <w:bookmarkEnd w:id="5"/>
      <w: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11150803" w:rsidR="00C114FF" w:rsidRDefault="00131D0E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62155ADF" w14:textId="6A730A3E" w:rsidR="00710F85" w:rsidRDefault="00710F85" w:rsidP="00B13B6D">
      <w:pPr>
        <w:pStyle w:val="Style1"/>
      </w:pPr>
    </w:p>
    <w:p w14:paraId="0AB641F1" w14:textId="77777777" w:rsidR="00710F85" w:rsidRPr="00C079C7" w:rsidRDefault="00710F85" w:rsidP="00710F85">
      <w:pPr>
        <w:spacing w:line="276" w:lineRule="auto"/>
        <w:rPr>
          <w:rFonts w:eastAsia="Calibri"/>
          <w:szCs w:val="22"/>
        </w:rPr>
      </w:pPr>
      <w:r>
        <w:rPr>
          <w:rFonts w:eastAsia="Calibri"/>
          <w:szCs w:val="22"/>
        </w:rPr>
        <w:t>I</w:t>
      </w:r>
      <w:r w:rsidRPr="00C079C7">
        <w:rPr>
          <w:rFonts w:eastAsia="Calibri"/>
          <w:szCs w:val="22"/>
        </w:rPr>
        <w:t>ntramuskulární podání.</w:t>
      </w:r>
    </w:p>
    <w:p w14:paraId="680F81CB" w14:textId="77777777" w:rsidR="00710F85" w:rsidRDefault="00710F85" w:rsidP="00710F85">
      <w:pPr>
        <w:spacing w:line="276" w:lineRule="auto"/>
        <w:rPr>
          <w:szCs w:val="22"/>
          <w:lang w:eastAsia="cs-CZ"/>
        </w:rPr>
      </w:pPr>
    </w:p>
    <w:p w14:paraId="2CF9E13F" w14:textId="2AB40E66" w:rsidR="00710F85" w:rsidRDefault="00710F85" w:rsidP="00710F85">
      <w:pPr>
        <w:spacing w:line="276" w:lineRule="auto"/>
        <w:rPr>
          <w:szCs w:val="22"/>
          <w:lang w:eastAsia="cs-CZ"/>
        </w:rPr>
      </w:pPr>
      <w:r w:rsidRPr="00710F85">
        <w:rPr>
          <w:szCs w:val="22"/>
          <w:lang w:eastAsia="cs-CZ"/>
        </w:rPr>
        <w:t>Pro zajištění správného dávkování je třeba co nejpř</w:t>
      </w:r>
      <w:r>
        <w:rPr>
          <w:szCs w:val="22"/>
          <w:lang w:eastAsia="cs-CZ"/>
        </w:rPr>
        <w:t>esněji stanovit živou hmotnost.</w:t>
      </w:r>
    </w:p>
    <w:p w14:paraId="080B603D" w14:textId="77777777" w:rsidR="00710F85" w:rsidRDefault="00710F85" w:rsidP="00710F85">
      <w:pPr>
        <w:spacing w:line="276" w:lineRule="auto"/>
        <w:rPr>
          <w:szCs w:val="22"/>
          <w:lang w:eastAsia="cs-CZ"/>
        </w:rPr>
      </w:pPr>
    </w:p>
    <w:p w14:paraId="32A6400B" w14:textId="6180BEA0" w:rsidR="00710F85" w:rsidRPr="00C079C7" w:rsidRDefault="00710F85" w:rsidP="00710F85">
      <w:pPr>
        <w:spacing w:line="276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15</w:t>
      </w:r>
      <w:r w:rsidR="002020DA">
        <w:rPr>
          <w:rFonts w:eastAsia="Calibri"/>
          <w:szCs w:val="22"/>
        </w:rPr>
        <w:t xml:space="preserve"> </w:t>
      </w:r>
      <w:r w:rsidRPr="00C079C7">
        <w:rPr>
          <w:rFonts w:eastAsia="Calibri"/>
          <w:szCs w:val="22"/>
        </w:rPr>
        <w:t>mg amoxicilinu na kg ž.hm., což odpovídá 1</w:t>
      </w:r>
      <w:r w:rsidR="002020DA">
        <w:rPr>
          <w:rFonts w:eastAsia="Calibri"/>
          <w:szCs w:val="22"/>
        </w:rPr>
        <w:t xml:space="preserve"> </w:t>
      </w:r>
      <w:r w:rsidRPr="00C079C7">
        <w:rPr>
          <w:rFonts w:eastAsia="Calibri"/>
          <w:szCs w:val="22"/>
        </w:rPr>
        <w:t xml:space="preserve">ml veterinárního léčivého přípravku </w:t>
      </w:r>
      <w:r w:rsidRPr="00C079C7">
        <w:rPr>
          <w:szCs w:val="22"/>
          <w:lang w:eastAsia="cs-CZ"/>
        </w:rPr>
        <w:t>na 10</w:t>
      </w:r>
      <w:r>
        <w:rPr>
          <w:szCs w:val="22"/>
          <w:lang w:eastAsia="cs-CZ"/>
        </w:rPr>
        <w:t xml:space="preserve"> </w:t>
      </w:r>
      <w:r w:rsidRPr="00C079C7">
        <w:rPr>
          <w:szCs w:val="22"/>
          <w:lang w:eastAsia="cs-CZ"/>
        </w:rPr>
        <w:t xml:space="preserve">kg ž.hm. Podání by se mělo opakovat jednou po 48 hodinách. </w:t>
      </w:r>
    </w:p>
    <w:p w14:paraId="2EF3A251" w14:textId="77777777" w:rsidR="00710F85" w:rsidRPr="00C079C7" w:rsidRDefault="00710F85" w:rsidP="00710F85">
      <w:pPr>
        <w:spacing w:line="276" w:lineRule="auto"/>
        <w:rPr>
          <w:rFonts w:eastAsia="Calibri"/>
          <w:szCs w:val="22"/>
        </w:rPr>
      </w:pPr>
    </w:p>
    <w:p w14:paraId="53A6B95E" w14:textId="77777777" w:rsidR="00710F85" w:rsidRDefault="00710F85" w:rsidP="00710F85">
      <w:pPr>
        <w:jc w:val="both"/>
        <w:rPr>
          <w:szCs w:val="22"/>
          <w:lang w:eastAsia="cs-CZ"/>
        </w:rPr>
      </w:pPr>
      <w:r w:rsidRPr="009F4C1F">
        <w:rPr>
          <w:szCs w:val="22"/>
          <w:lang w:eastAsia="cs-CZ"/>
        </w:rPr>
        <w:t>U skotu nepodáv</w:t>
      </w:r>
      <w:r>
        <w:rPr>
          <w:szCs w:val="22"/>
          <w:lang w:eastAsia="cs-CZ"/>
        </w:rPr>
        <w:t>ejte</w:t>
      </w:r>
      <w:r w:rsidRPr="009F4C1F">
        <w:rPr>
          <w:szCs w:val="22"/>
          <w:lang w:eastAsia="cs-CZ"/>
        </w:rPr>
        <w:t xml:space="preserve"> více než 20 ml veterinárního léčivého přípravku </w:t>
      </w:r>
      <w:r>
        <w:rPr>
          <w:szCs w:val="22"/>
          <w:lang w:eastAsia="cs-CZ"/>
        </w:rPr>
        <w:t>do jednoho místa injekčního podání.</w:t>
      </w:r>
    </w:p>
    <w:p w14:paraId="19859BB1" w14:textId="0A45FE81" w:rsidR="00710F85" w:rsidRDefault="00710F85" w:rsidP="00710F85">
      <w:pPr>
        <w:jc w:val="both"/>
        <w:rPr>
          <w:szCs w:val="22"/>
          <w:lang w:eastAsia="cs-CZ"/>
        </w:rPr>
      </w:pPr>
      <w:r w:rsidRPr="009F4C1F">
        <w:rPr>
          <w:szCs w:val="22"/>
          <w:lang w:eastAsia="cs-CZ"/>
        </w:rPr>
        <w:t>U prasat nepodáv</w:t>
      </w:r>
      <w:r>
        <w:rPr>
          <w:szCs w:val="22"/>
          <w:lang w:eastAsia="cs-CZ"/>
        </w:rPr>
        <w:t>ejte</w:t>
      </w:r>
      <w:r w:rsidRPr="009F4C1F">
        <w:rPr>
          <w:szCs w:val="22"/>
          <w:lang w:eastAsia="cs-CZ"/>
        </w:rPr>
        <w:t xml:space="preserve"> více než 6 ml veterinárního léčivého přípravku </w:t>
      </w:r>
      <w:r>
        <w:rPr>
          <w:szCs w:val="22"/>
          <w:lang w:eastAsia="cs-CZ"/>
        </w:rPr>
        <w:t>do jednoho místa injekčního podání.</w:t>
      </w:r>
    </w:p>
    <w:p w14:paraId="40BDBAE4" w14:textId="58991CA5" w:rsidR="00710F85" w:rsidRDefault="00710F85" w:rsidP="00710F85">
      <w:pPr>
        <w:jc w:val="both"/>
        <w:rPr>
          <w:szCs w:val="22"/>
          <w:lang w:eastAsia="cs-CZ"/>
        </w:rPr>
      </w:pPr>
      <w:r w:rsidRPr="00E40670">
        <w:rPr>
          <w:szCs w:val="22"/>
          <w:lang w:eastAsia="cs-CZ"/>
        </w:rPr>
        <w:t xml:space="preserve">Pro každou aplikaci by mělo být použito </w:t>
      </w:r>
      <w:r w:rsidR="00092435">
        <w:rPr>
          <w:szCs w:val="22"/>
          <w:lang w:eastAsia="cs-CZ"/>
        </w:rPr>
        <w:t>jiné</w:t>
      </w:r>
      <w:r w:rsidRPr="00E40670">
        <w:rPr>
          <w:szCs w:val="22"/>
          <w:lang w:eastAsia="cs-CZ"/>
        </w:rPr>
        <w:t xml:space="preserve"> místo </w:t>
      </w:r>
      <w:r>
        <w:rPr>
          <w:szCs w:val="22"/>
          <w:lang w:eastAsia="cs-CZ"/>
        </w:rPr>
        <w:t>injekčního podání.</w:t>
      </w:r>
    </w:p>
    <w:p w14:paraId="077F10CD" w14:textId="77777777" w:rsidR="00710F85" w:rsidRDefault="00710F85" w:rsidP="00710F85">
      <w:pPr>
        <w:jc w:val="both"/>
        <w:rPr>
          <w:szCs w:val="22"/>
          <w:lang w:eastAsia="cs-CZ"/>
        </w:rPr>
      </w:pPr>
    </w:p>
    <w:p w14:paraId="49B78F06" w14:textId="04ECCB9F" w:rsidR="00710F85" w:rsidRPr="00C079C7" w:rsidRDefault="00710F85" w:rsidP="00710F85">
      <w:pPr>
        <w:spacing w:line="276" w:lineRule="auto"/>
        <w:rPr>
          <w:szCs w:val="22"/>
          <w:lang w:eastAsia="cs-CZ"/>
        </w:rPr>
      </w:pPr>
      <w:r w:rsidRPr="00C079C7">
        <w:rPr>
          <w:szCs w:val="22"/>
          <w:lang w:eastAsia="cs-CZ"/>
        </w:rPr>
        <w:t>Před použitím lahvičku důkladně protřepejte, aby se dosáhlo plné resuspenze. Stejně jako u</w:t>
      </w:r>
      <w:r>
        <w:rPr>
          <w:szCs w:val="22"/>
          <w:lang w:eastAsia="cs-CZ"/>
        </w:rPr>
        <w:t> </w:t>
      </w:r>
      <w:r w:rsidRPr="00C079C7">
        <w:rPr>
          <w:szCs w:val="22"/>
          <w:lang w:eastAsia="cs-CZ"/>
        </w:rPr>
        <w:t>jiných injekčních přípravků je třeba dodržovat obvyklá aseptická opatření.</w:t>
      </w:r>
    </w:p>
    <w:p w14:paraId="21F6BCFD" w14:textId="77777777" w:rsidR="00710F85" w:rsidRPr="00C079C7" w:rsidRDefault="00710F85" w:rsidP="00710F85">
      <w:pPr>
        <w:jc w:val="both"/>
        <w:rPr>
          <w:szCs w:val="22"/>
          <w:lang w:eastAsia="cs-CZ"/>
        </w:rPr>
      </w:pPr>
    </w:p>
    <w:p w14:paraId="11BCE74B" w14:textId="77777777" w:rsidR="00710F85" w:rsidRPr="00C079C7" w:rsidRDefault="00710F85" w:rsidP="00710F85">
      <w:pPr>
        <w:spacing w:line="276" w:lineRule="auto"/>
        <w:rPr>
          <w:szCs w:val="22"/>
          <w:lang w:eastAsia="cs-CZ"/>
        </w:rPr>
      </w:pPr>
      <w:r>
        <w:rPr>
          <w:szCs w:val="22"/>
          <w:lang w:eastAsia="cs-CZ"/>
        </w:rPr>
        <w:t xml:space="preserve">Injekční </w:t>
      </w:r>
      <w:r w:rsidRPr="00C079C7">
        <w:rPr>
          <w:szCs w:val="22"/>
          <w:lang w:eastAsia="cs-CZ"/>
        </w:rPr>
        <w:t>lahvič</w:t>
      </w:r>
      <w:r>
        <w:rPr>
          <w:szCs w:val="22"/>
          <w:lang w:eastAsia="cs-CZ"/>
        </w:rPr>
        <w:t>ky</w:t>
      </w:r>
      <w:r w:rsidRPr="00C079C7">
        <w:rPr>
          <w:szCs w:val="22"/>
          <w:lang w:eastAsia="cs-CZ"/>
        </w:rPr>
        <w:t xml:space="preserve"> o objemu 100 ml: </w:t>
      </w:r>
      <w:r>
        <w:rPr>
          <w:szCs w:val="22"/>
          <w:lang w:eastAsia="cs-CZ"/>
        </w:rPr>
        <w:t xml:space="preserve">nepropichujte zátku </w:t>
      </w:r>
      <w:r w:rsidRPr="00C079C7">
        <w:rPr>
          <w:szCs w:val="22"/>
          <w:lang w:eastAsia="cs-CZ"/>
        </w:rPr>
        <w:t xml:space="preserve">více než 15krát: v případě potřeby </w:t>
      </w:r>
      <w:r>
        <w:rPr>
          <w:szCs w:val="22"/>
          <w:lang w:eastAsia="cs-CZ"/>
        </w:rPr>
        <w:t>použijte</w:t>
      </w:r>
      <w:r w:rsidRPr="00C079C7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injekční automat</w:t>
      </w:r>
      <w:r w:rsidRPr="00C079C7">
        <w:rPr>
          <w:szCs w:val="22"/>
          <w:lang w:eastAsia="cs-CZ"/>
        </w:rPr>
        <w:t>.</w:t>
      </w:r>
    </w:p>
    <w:p w14:paraId="1701D043" w14:textId="77777777" w:rsidR="00710F85" w:rsidRPr="00C079C7" w:rsidRDefault="00710F85" w:rsidP="00710F85">
      <w:pPr>
        <w:spacing w:line="276" w:lineRule="auto"/>
        <w:rPr>
          <w:szCs w:val="22"/>
          <w:lang w:eastAsia="cs-CZ"/>
        </w:rPr>
      </w:pPr>
      <w:r>
        <w:rPr>
          <w:szCs w:val="22"/>
          <w:lang w:eastAsia="cs-CZ"/>
        </w:rPr>
        <w:t xml:space="preserve">Injekční </w:t>
      </w:r>
      <w:r w:rsidRPr="00C079C7">
        <w:rPr>
          <w:szCs w:val="22"/>
          <w:lang w:eastAsia="cs-CZ"/>
        </w:rPr>
        <w:t>lahvičk</w:t>
      </w:r>
      <w:r>
        <w:rPr>
          <w:szCs w:val="22"/>
          <w:lang w:eastAsia="cs-CZ"/>
        </w:rPr>
        <w:t>y</w:t>
      </w:r>
      <w:r w:rsidRPr="00C079C7">
        <w:rPr>
          <w:szCs w:val="22"/>
          <w:lang w:eastAsia="cs-CZ"/>
        </w:rPr>
        <w:t xml:space="preserve"> o objemu 250 ml: </w:t>
      </w:r>
      <w:r>
        <w:rPr>
          <w:szCs w:val="22"/>
          <w:lang w:eastAsia="cs-CZ"/>
        </w:rPr>
        <w:t xml:space="preserve">nepropichujte zátku </w:t>
      </w:r>
      <w:r w:rsidRPr="00C079C7">
        <w:rPr>
          <w:szCs w:val="22"/>
          <w:lang w:eastAsia="cs-CZ"/>
        </w:rPr>
        <w:t xml:space="preserve">více než 20krát: v případě potřeby </w:t>
      </w:r>
      <w:r>
        <w:rPr>
          <w:szCs w:val="22"/>
          <w:lang w:eastAsia="cs-CZ"/>
        </w:rPr>
        <w:t>použijte</w:t>
      </w:r>
      <w:r w:rsidRPr="00C079C7">
        <w:rPr>
          <w:szCs w:val="22"/>
          <w:lang w:eastAsia="cs-CZ"/>
        </w:rPr>
        <w:t xml:space="preserve"> </w:t>
      </w:r>
      <w:r>
        <w:rPr>
          <w:szCs w:val="22"/>
          <w:lang w:eastAsia="cs-CZ"/>
        </w:rPr>
        <w:t>injekční automat</w:t>
      </w:r>
      <w:r w:rsidRPr="00C079C7">
        <w:rPr>
          <w:szCs w:val="22"/>
          <w:lang w:eastAsia="cs-CZ"/>
        </w:rPr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B0B4548" w:rsidR="00C114FF" w:rsidRDefault="00131D0E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57EA7F5D" w14:textId="7FA9F7FC" w:rsidR="00710F85" w:rsidRDefault="00710F85" w:rsidP="00B13B6D">
      <w:pPr>
        <w:pStyle w:val="Style1"/>
      </w:pPr>
    </w:p>
    <w:p w14:paraId="6FEDE2B5" w14:textId="1A6DAC62" w:rsidR="00710F85" w:rsidRPr="00B71147" w:rsidRDefault="00710F85" w:rsidP="00710F85">
      <w:pPr>
        <w:pStyle w:val="Style1"/>
        <w:rPr>
          <w:b w:val="0"/>
        </w:rPr>
      </w:pPr>
      <w:r w:rsidRPr="00B71147">
        <w:rPr>
          <w:b w:val="0"/>
        </w:rPr>
        <w:t>Amoxicilin má široké bezpečnostní rozpětí. V případě předávkování je léčba symptomatická.</w:t>
      </w:r>
    </w:p>
    <w:p w14:paraId="369B8173" w14:textId="7C7ADB2D" w:rsidR="00710F85" w:rsidRPr="00B71147" w:rsidRDefault="00710F85" w:rsidP="00710F85">
      <w:pPr>
        <w:pStyle w:val="Style1"/>
        <w:rPr>
          <w:b w:val="0"/>
        </w:rPr>
      </w:pPr>
      <w:r w:rsidRPr="00B71147">
        <w:rPr>
          <w:b w:val="0"/>
        </w:rPr>
        <w:lastRenderedPageBreak/>
        <w:t xml:space="preserve">Vysoké dávky nebo velmi dlouhodobé používání </w:t>
      </w:r>
      <w:r w:rsidR="007C5BDB">
        <w:rPr>
          <w:b w:val="0"/>
        </w:rPr>
        <w:t>mohou být</w:t>
      </w:r>
      <w:r w:rsidR="007C5BDB" w:rsidRPr="00B71147">
        <w:rPr>
          <w:b w:val="0"/>
        </w:rPr>
        <w:t xml:space="preserve"> </w:t>
      </w:r>
      <w:r w:rsidRPr="00B71147">
        <w:rPr>
          <w:b w:val="0"/>
        </w:rPr>
        <w:t>spojeny s neurotoxicitou.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EE390" w14:textId="2C654651" w:rsidR="005D4D68" w:rsidRPr="00B41D57" w:rsidRDefault="00131D0E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B71147">
      <w:pPr>
        <w:pStyle w:val="Style1"/>
      </w:pPr>
    </w:p>
    <w:p w14:paraId="5B24853D" w14:textId="767BCA0F" w:rsidR="009A6509" w:rsidRPr="00B41D57" w:rsidRDefault="00131D0E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131D0E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7295EC9A" w14:textId="4DA17F06" w:rsidR="005D4D68" w:rsidRDefault="005D4D6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F9CAD4" w14:textId="77777777" w:rsidR="005D4D68" w:rsidRPr="00C079C7" w:rsidRDefault="005D4D68" w:rsidP="005D4D68">
      <w:pPr>
        <w:rPr>
          <w:b/>
          <w:szCs w:val="22"/>
        </w:rPr>
      </w:pPr>
      <w:r w:rsidRPr="00C079C7">
        <w:rPr>
          <w:b/>
          <w:szCs w:val="22"/>
        </w:rPr>
        <w:t>Skot:</w:t>
      </w:r>
    </w:p>
    <w:p w14:paraId="72E716BB" w14:textId="77777777" w:rsidR="005D4D68" w:rsidRPr="00C079C7" w:rsidRDefault="005D4D68" w:rsidP="005D4D68">
      <w:pPr>
        <w:rPr>
          <w:szCs w:val="22"/>
        </w:rPr>
      </w:pPr>
      <w:r w:rsidRPr="00C079C7">
        <w:rPr>
          <w:szCs w:val="22"/>
        </w:rPr>
        <w:t>Maso</w:t>
      </w:r>
      <w:r>
        <w:rPr>
          <w:szCs w:val="22"/>
        </w:rPr>
        <w:t>:</w:t>
      </w:r>
      <w:r w:rsidRPr="00C079C7">
        <w:rPr>
          <w:szCs w:val="22"/>
        </w:rPr>
        <w:t xml:space="preserve"> 18 dní</w:t>
      </w:r>
    </w:p>
    <w:p w14:paraId="265FFD8B" w14:textId="77777777" w:rsidR="005D4D68" w:rsidRPr="00C079C7" w:rsidRDefault="005D4D68" w:rsidP="005D4D68">
      <w:pPr>
        <w:rPr>
          <w:szCs w:val="22"/>
        </w:rPr>
      </w:pPr>
      <w:r w:rsidRPr="00C079C7">
        <w:rPr>
          <w:szCs w:val="22"/>
        </w:rPr>
        <w:t>Mléko</w:t>
      </w:r>
      <w:r>
        <w:rPr>
          <w:szCs w:val="22"/>
        </w:rPr>
        <w:t>:</w:t>
      </w:r>
      <w:r w:rsidRPr="00C079C7">
        <w:rPr>
          <w:szCs w:val="22"/>
        </w:rPr>
        <w:t xml:space="preserve"> 3</w:t>
      </w:r>
      <w:r>
        <w:rPr>
          <w:szCs w:val="22"/>
        </w:rPr>
        <w:t xml:space="preserve"> </w:t>
      </w:r>
      <w:r w:rsidRPr="00C079C7">
        <w:rPr>
          <w:szCs w:val="22"/>
        </w:rPr>
        <w:t>dny</w:t>
      </w:r>
    </w:p>
    <w:p w14:paraId="4B8E8FD8" w14:textId="77777777" w:rsidR="005D4D68" w:rsidRPr="00C079C7" w:rsidRDefault="005D4D68" w:rsidP="005D4D68">
      <w:pPr>
        <w:rPr>
          <w:szCs w:val="22"/>
        </w:rPr>
      </w:pPr>
    </w:p>
    <w:p w14:paraId="37311CD9" w14:textId="77777777" w:rsidR="005D4D68" w:rsidRPr="00C079C7" w:rsidRDefault="005D4D68" w:rsidP="005D4D68">
      <w:pPr>
        <w:rPr>
          <w:b/>
          <w:szCs w:val="22"/>
        </w:rPr>
      </w:pPr>
      <w:r w:rsidRPr="00C079C7">
        <w:rPr>
          <w:b/>
          <w:szCs w:val="22"/>
        </w:rPr>
        <w:t>Prasata:</w:t>
      </w:r>
    </w:p>
    <w:p w14:paraId="722C8054" w14:textId="77777777" w:rsidR="005D4D68" w:rsidRPr="00C079C7" w:rsidRDefault="005D4D68" w:rsidP="005D4D68">
      <w:pPr>
        <w:rPr>
          <w:szCs w:val="22"/>
        </w:rPr>
      </w:pPr>
      <w:r w:rsidRPr="00C079C7">
        <w:rPr>
          <w:szCs w:val="22"/>
        </w:rPr>
        <w:t>Maso</w:t>
      </w:r>
      <w:r>
        <w:rPr>
          <w:szCs w:val="22"/>
        </w:rPr>
        <w:t>:</w:t>
      </w:r>
      <w:r w:rsidRPr="00C079C7">
        <w:rPr>
          <w:szCs w:val="22"/>
        </w:rPr>
        <w:t xml:space="preserve"> 20 dní</w:t>
      </w:r>
    </w:p>
    <w:p w14:paraId="1A1B55BD" w14:textId="2A199899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FFBD3" w14:textId="77777777" w:rsidR="005D4D68" w:rsidRPr="00B41D57" w:rsidRDefault="005D4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4DCAC30" w:rsidR="00C114FF" w:rsidRPr="00B41D57" w:rsidRDefault="00131D0E" w:rsidP="00587943">
      <w:pPr>
        <w:pStyle w:val="Style1"/>
        <w:keepNext/>
      </w:pPr>
      <w:r w:rsidRPr="00B41D57">
        <w:t>4.</w:t>
      </w:r>
      <w:r w:rsidRPr="00B41D57">
        <w:tab/>
        <w:t>FARMAKOLOGICKÉ</w:t>
      </w:r>
      <w:r w:rsidR="005D4D68">
        <w:t xml:space="preserve"> </w:t>
      </w:r>
      <w:r w:rsidRPr="00B41D57">
        <w:t>INFORMACE</w:t>
      </w:r>
    </w:p>
    <w:p w14:paraId="2C2A4C50" w14:textId="77777777" w:rsidR="00C114FF" w:rsidRPr="00B41D57" w:rsidRDefault="00C114FF" w:rsidP="0058794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68C37DF9" w:rsidR="00C114FF" w:rsidRPr="00554C27" w:rsidRDefault="00131D0E" w:rsidP="00587943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4408CA" w:rsidRPr="00B71147">
        <w:rPr>
          <w:b w:val="0"/>
        </w:rPr>
        <w:t>QJ01CA04</w:t>
      </w:r>
    </w:p>
    <w:p w14:paraId="5C965196" w14:textId="77777777" w:rsidR="00C114FF" w:rsidRPr="00B41D57" w:rsidRDefault="00C114FF" w:rsidP="0058794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7A59B6D" w14:textId="7BE2A4ED" w:rsidR="004408CA" w:rsidRDefault="00131D0E" w:rsidP="00587943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2F4473DA" w14:textId="77777777" w:rsidR="004408CA" w:rsidRDefault="004408CA" w:rsidP="00587943">
      <w:pPr>
        <w:pStyle w:val="Style1"/>
        <w:keepNext/>
      </w:pPr>
    </w:p>
    <w:p w14:paraId="46516C87" w14:textId="63322D34" w:rsidR="004408CA" w:rsidRPr="00E40670" w:rsidRDefault="004408CA" w:rsidP="004408CA">
      <w:pPr>
        <w:keepNext/>
        <w:rPr>
          <w:szCs w:val="22"/>
        </w:rPr>
      </w:pPr>
      <w:r w:rsidRPr="00E40670">
        <w:rPr>
          <w:szCs w:val="22"/>
        </w:rPr>
        <w:t>Amoxicilin je širokos</w:t>
      </w:r>
      <w:r>
        <w:rPr>
          <w:szCs w:val="22"/>
        </w:rPr>
        <w:t xml:space="preserve">pektrální antibiotikum </w:t>
      </w:r>
      <w:r w:rsidR="00B21D94">
        <w:rPr>
          <w:szCs w:val="22"/>
        </w:rPr>
        <w:t xml:space="preserve">ze </w:t>
      </w:r>
      <w:r>
        <w:rPr>
          <w:szCs w:val="22"/>
        </w:rPr>
        <w:t xml:space="preserve">skupiny </w:t>
      </w:r>
      <w:r w:rsidRPr="00E40670">
        <w:rPr>
          <w:szCs w:val="22"/>
        </w:rPr>
        <w:t>aminopenicilinů</w:t>
      </w:r>
      <w:r w:rsidR="00B21D94">
        <w:rPr>
          <w:szCs w:val="22"/>
        </w:rPr>
        <w:t>,</w:t>
      </w:r>
      <w:r w:rsidRPr="00E40670">
        <w:rPr>
          <w:szCs w:val="22"/>
        </w:rPr>
        <w:t xml:space="preserve"> </w:t>
      </w:r>
      <w:r w:rsidR="00B21D94" w:rsidRPr="00B21D94">
        <w:rPr>
          <w:szCs w:val="22"/>
        </w:rPr>
        <w:t>strukturálně blízce příbuzné</w:t>
      </w:r>
      <w:r w:rsidR="00B21D94">
        <w:rPr>
          <w:szCs w:val="22"/>
        </w:rPr>
        <w:t xml:space="preserve"> </w:t>
      </w:r>
      <w:r w:rsidRPr="00E40670">
        <w:rPr>
          <w:szCs w:val="22"/>
        </w:rPr>
        <w:t>ampicilinu. Amoxicilin má baktericidní účinek a je účinný proti grampozitivním a gramnegativním bakteriím. Inhibuje syntézu a reparaci mukopeptidů</w:t>
      </w:r>
      <w:r>
        <w:rPr>
          <w:szCs w:val="22"/>
        </w:rPr>
        <w:t xml:space="preserve"> </w:t>
      </w:r>
      <w:r w:rsidRPr="00E40670">
        <w:rPr>
          <w:szCs w:val="22"/>
        </w:rPr>
        <w:t>buněčné stěny bakterie.</w:t>
      </w:r>
    </w:p>
    <w:p w14:paraId="3CBD5740" w14:textId="77777777" w:rsidR="004408CA" w:rsidRPr="00E40670" w:rsidRDefault="004408CA" w:rsidP="004408CA">
      <w:pPr>
        <w:keepNext/>
        <w:rPr>
          <w:szCs w:val="22"/>
        </w:rPr>
      </w:pPr>
      <w:r w:rsidRPr="00E40670">
        <w:rPr>
          <w:szCs w:val="22"/>
        </w:rPr>
        <w:t>Amoxicilin je semisyntetický penicilin a je citlivý k působení bakteriálních beta-laktamáz.</w:t>
      </w:r>
    </w:p>
    <w:p w14:paraId="46C914C8" w14:textId="77777777" w:rsidR="004408CA" w:rsidRPr="00E40670" w:rsidRDefault="004408CA" w:rsidP="004408CA">
      <w:pPr>
        <w:keepNext/>
        <w:rPr>
          <w:szCs w:val="22"/>
        </w:rPr>
      </w:pPr>
      <w:r w:rsidRPr="00E40670">
        <w:rPr>
          <w:szCs w:val="22"/>
        </w:rPr>
        <w:t>Amoxicilin je antibiotikum s účinkem závislým na čase.</w:t>
      </w:r>
    </w:p>
    <w:p w14:paraId="2B2F1107" w14:textId="77777777" w:rsidR="004408CA" w:rsidRPr="00E40670" w:rsidRDefault="004408CA" w:rsidP="004408CA">
      <w:pPr>
        <w:keepNext/>
        <w:rPr>
          <w:szCs w:val="22"/>
        </w:rPr>
      </w:pPr>
      <w:r w:rsidRPr="00E40670">
        <w:rPr>
          <w:szCs w:val="22"/>
        </w:rPr>
        <w:t xml:space="preserve">Amoxicilin je účinný proti následujícím mikroorganismům, které se podílejí na respiračních onemocněních skotu: </w:t>
      </w:r>
      <w:r w:rsidRPr="00E40670">
        <w:rPr>
          <w:i/>
          <w:szCs w:val="22"/>
        </w:rPr>
        <w:t>Mannheimia haemolytica</w:t>
      </w:r>
      <w:r w:rsidRPr="00E40670">
        <w:rPr>
          <w:szCs w:val="22"/>
        </w:rPr>
        <w:t xml:space="preserve"> a </w:t>
      </w:r>
      <w:r w:rsidRPr="00E40670">
        <w:rPr>
          <w:i/>
          <w:szCs w:val="22"/>
        </w:rPr>
        <w:t>Pasteurella multocida</w:t>
      </w:r>
      <w:r w:rsidRPr="00E40670">
        <w:rPr>
          <w:szCs w:val="22"/>
        </w:rPr>
        <w:t>.</w:t>
      </w:r>
    </w:p>
    <w:p w14:paraId="47AD0140" w14:textId="77777777" w:rsidR="004408CA" w:rsidRPr="00E40670" w:rsidRDefault="004408CA" w:rsidP="004408CA">
      <w:pPr>
        <w:keepNext/>
        <w:rPr>
          <w:szCs w:val="22"/>
        </w:rPr>
      </w:pPr>
      <w:r w:rsidRPr="00E40670">
        <w:rPr>
          <w:szCs w:val="22"/>
        </w:rPr>
        <w:t xml:space="preserve">Amoxicilin je také účinný proti </w:t>
      </w:r>
      <w:r w:rsidRPr="00E40670">
        <w:rPr>
          <w:i/>
          <w:szCs w:val="22"/>
        </w:rPr>
        <w:t>Pasteurella multocida</w:t>
      </w:r>
      <w:r w:rsidRPr="00E40670">
        <w:rPr>
          <w:szCs w:val="22"/>
        </w:rPr>
        <w:t>, která se podílí na respiračních onemocněních prasat.</w:t>
      </w:r>
    </w:p>
    <w:p w14:paraId="5315C792" w14:textId="16FCFE8F" w:rsidR="004408CA" w:rsidRDefault="00B21D94" w:rsidP="004408CA">
      <w:pPr>
        <w:keepNext/>
        <w:rPr>
          <w:szCs w:val="22"/>
        </w:rPr>
      </w:pPr>
      <w:r>
        <w:rPr>
          <w:szCs w:val="22"/>
        </w:rPr>
        <w:t>Níže uvedené</w:t>
      </w:r>
      <w:r w:rsidRPr="00E40670">
        <w:rPr>
          <w:szCs w:val="22"/>
        </w:rPr>
        <w:t xml:space="preserve"> </w:t>
      </w:r>
      <w:r w:rsidR="004408CA" w:rsidRPr="00E40670">
        <w:rPr>
          <w:szCs w:val="22"/>
        </w:rPr>
        <w:t>minimální inhibiční koncentrace (MIC) byly stanoveny pro amoxicilin v evropských izolátech (Francie, Spojené království, Belgie, Dánsko, Německo, Itálie, Česká republika, Nizozemsko, Polsko a Španělsko) shromážděných od nemocných zvířat mezi lety 2009 a 2012:</w:t>
      </w:r>
    </w:p>
    <w:p w14:paraId="0DC4C65B" w14:textId="40DE1095" w:rsidR="00C114FF" w:rsidRPr="00B41D57" w:rsidRDefault="00C114FF" w:rsidP="00B13B6D">
      <w:pPr>
        <w:pStyle w:val="Style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507"/>
        <w:gridCol w:w="1506"/>
        <w:gridCol w:w="1513"/>
        <w:gridCol w:w="1504"/>
        <w:gridCol w:w="1505"/>
      </w:tblGrid>
      <w:tr w:rsidR="004408CA" w:rsidRPr="00C079C7" w14:paraId="10566D96" w14:textId="77777777" w:rsidTr="00B71147">
        <w:tc>
          <w:tcPr>
            <w:tcW w:w="1535" w:type="dxa"/>
            <w:vMerge w:val="restart"/>
            <w:shd w:val="clear" w:color="auto" w:fill="auto"/>
            <w:vAlign w:val="center"/>
          </w:tcPr>
          <w:p w14:paraId="11A4ADE9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Druh bakterie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75B07F6F" w14:textId="02BE5F30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Původ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0F15C395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kmenu</w:t>
            </w:r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14:paraId="50FCE127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MIC amoxicilinu (μg/ml)</w:t>
            </w:r>
          </w:p>
        </w:tc>
      </w:tr>
      <w:tr w:rsidR="004408CA" w:rsidRPr="00C079C7" w14:paraId="1E1F1109" w14:textId="77777777" w:rsidTr="00B71147">
        <w:tc>
          <w:tcPr>
            <w:tcW w:w="1535" w:type="dxa"/>
            <w:vMerge/>
            <w:shd w:val="clear" w:color="auto" w:fill="auto"/>
            <w:vAlign w:val="center"/>
          </w:tcPr>
          <w:p w14:paraId="5EB6D3DB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14:paraId="26EA5386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14:paraId="069302CA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50DEC152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Rozmezí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CAB3AA3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MIC</w:t>
            </w:r>
            <w:r w:rsidRPr="00E40670">
              <w:rPr>
                <w:rFonts w:eastAsia="Calibri"/>
                <w:szCs w:val="22"/>
                <w:vertAlign w:val="subscript"/>
              </w:rPr>
              <w:t>50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FF53C82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MIC</w:t>
            </w:r>
            <w:r w:rsidRPr="00E40670">
              <w:rPr>
                <w:rFonts w:eastAsia="Calibri"/>
                <w:szCs w:val="22"/>
                <w:vertAlign w:val="subscript"/>
              </w:rPr>
              <w:t>90</w:t>
            </w:r>
          </w:p>
        </w:tc>
      </w:tr>
      <w:tr w:rsidR="004408CA" w:rsidRPr="00C079C7" w14:paraId="70179541" w14:textId="77777777" w:rsidTr="00C16609">
        <w:tc>
          <w:tcPr>
            <w:tcW w:w="1535" w:type="dxa"/>
            <w:vMerge w:val="restart"/>
            <w:shd w:val="clear" w:color="auto" w:fill="auto"/>
          </w:tcPr>
          <w:p w14:paraId="28DD3686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i/>
                <w:szCs w:val="22"/>
              </w:rPr>
            </w:pPr>
            <w:r w:rsidRPr="00C079C7">
              <w:rPr>
                <w:rFonts w:eastAsia="Calibri"/>
                <w:i/>
                <w:szCs w:val="22"/>
              </w:rPr>
              <w:t>Pasteurella multocida</w:t>
            </w:r>
          </w:p>
        </w:tc>
        <w:tc>
          <w:tcPr>
            <w:tcW w:w="1535" w:type="dxa"/>
            <w:shd w:val="clear" w:color="auto" w:fill="auto"/>
          </w:tcPr>
          <w:p w14:paraId="49818B9F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Skot</w:t>
            </w:r>
          </w:p>
        </w:tc>
        <w:tc>
          <w:tcPr>
            <w:tcW w:w="1535" w:type="dxa"/>
            <w:shd w:val="clear" w:color="auto" w:fill="auto"/>
          </w:tcPr>
          <w:p w14:paraId="09D61D8B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134</w:t>
            </w:r>
          </w:p>
        </w:tc>
        <w:tc>
          <w:tcPr>
            <w:tcW w:w="1535" w:type="dxa"/>
            <w:shd w:val="clear" w:color="auto" w:fill="auto"/>
          </w:tcPr>
          <w:p w14:paraId="76381B9C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0</w:t>
            </w:r>
            <w:r>
              <w:rPr>
                <w:rFonts w:eastAsia="Calibri"/>
                <w:szCs w:val="22"/>
              </w:rPr>
              <w:t>,</w:t>
            </w:r>
            <w:r w:rsidRPr="00C079C7">
              <w:rPr>
                <w:rFonts w:eastAsia="Calibri"/>
                <w:szCs w:val="22"/>
              </w:rPr>
              <w:t>06-8</w:t>
            </w:r>
          </w:p>
        </w:tc>
        <w:tc>
          <w:tcPr>
            <w:tcW w:w="1535" w:type="dxa"/>
            <w:shd w:val="clear" w:color="auto" w:fill="auto"/>
          </w:tcPr>
          <w:p w14:paraId="61881FC3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0</w:t>
            </w:r>
            <w:r>
              <w:rPr>
                <w:rFonts w:eastAsia="Calibri"/>
                <w:szCs w:val="22"/>
              </w:rPr>
              <w:t>,</w:t>
            </w:r>
            <w:r w:rsidRPr="00C079C7">
              <w:rPr>
                <w:rFonts w:eastAsia="Calibri"/>
                <w:szCs w:val="22"/>
              </w:rPr>
              <w:t>25</w:t>
            </w:r>
          </w:p>
        </w:tc>
        <w:tc>
          <w:tcPr>
            <w:tcW w:w="1536" w:type="dxa"/>
            <w:shd w:val="clear" w:color="auto" w:fill="auto"/>
          </w:tcPr>
          <w:p w14:paraId="3E3771DA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0</w:t>
            </w:r>
            <w:r>
              <w:rPr>
                <w:rFonts w:eastAsia="Calibri"/>
                <w:szCs w:val="22"/>
              </w:rPr>
              <w:t>,</w:t>
            </w:r>
            <w:r w:rsidRPr="00C079C7">
              <w:rPr>
                <w:rFonts w:eastAsia="Calibri"/>
                <w:szCs w:val="22"/>
              </w:rPr>
              <w:t>5</w:t>
            </w:r>
          </w:p>
        </w:tc>
      </w:tr>
      <w:tr w:rsidR="004408CA" w:rsidRPr="00C079C7" w14:paraId="2B783DBF" w14:textId="77777777" w:rsidTr="00C16609">
        <w:tc>
          <w:tcPr>
            <w:tcW w:w="1535" w:type="dxa"/>
            <w:vMerge/>
            <w:shd w:val="clear" w:color="auto" w:fill="auto"/>
          </w:tcPr>
          <w:p w14:paraId="53C5CF61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i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66B1A450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Prasata</w:t>
            </w:r>
          </w:p>
        </w:tc>
        <w:tc>
          <w:tcPr>
            <w:tcW w:w="1535" w:type="dxa"/>
            <w:shd w:val="clear" w:color="auto" w:fill="auto"/>
          </w:tcPr>
          <w:p w14:paraId="47F9765E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152</w:t>
            </w:r>
          </w:p>
        </w:tc>
        <w:tc>
          <w:tcPr>
            <w:tcW w:w="1535" w:type="dxa"/>
            <w:shd w:val="clear" w:color="auto" w:fill="auto"/>
          </w:tcPr>
          <w:p w14:paraId="483EBDCE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0</w:t>
            </w:r>
            <w:r>
              <w:rPr>
                <w:rFonts w:eastAsia="Calibri"/>
                <w:szCs w:val="22"/>
              </w:rPr>
              <w:t>,</w:t>
            </w:r>
            <w:r w:rsidRPr="00C079C7">
              <w:rPr>
                <w:rFonts w:eastAsia="Calibri"/>
                <w:szCs w:val="22"/>
              </w:rPr>
              <w:t>12-128</w:t>
            </w:r>
          </w:p>
        </w:tc>
        <w:tc>
          <w:tcPr>
            <w:tcW w:w="1535" w:type="dxa"/>
            <w:shd w:val="clear" w:color="auto" w:fill="auto"/>
          </w:tcPr>
          <w:p w14:paraId="2A045085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0</w:t>
            </w:r>
            <w:r>
              <w:rPr>
                <w:rFonts w:eastAsia="Calibri"/>
                <w:szCs w:val="22"/>
              </w:rPr>
              <w:t>,</w:t>
            </w:r>
            <w:r w:rsidRPr="00C079C7">
              <w:rPr>
                <w:rFonts w:eastAsia="Calibri"/>
                <w:szCs w:val="22"/>
              </w:rPr>
              <w:t>25</w:t>
            </w:r>
          </w:p>
        </w:tc>
        <w:tc>
          <w:tcPr>
            <w:tcW w:w="1536" w:type="dxa"/>
            <w:shd w:val="clear" w:color="auto" w:fill="auto"/>
          </w:tcPr>
          <w:p w14:paraId="0291B924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0</w:t>
            </w:r>
            <w:r>
              <w:rPr>
                <w:rFonts w:eastAsia="Calibri"/>
                <w:szCs w:val="22"/>
              </w:rPr>
              <w:t>,</w:t>
            </w:r>
            <w:r w:rsidRPr="00C079C7">
              <w:rPr>
                <w:rFonts w:eastAsia="Calibri"/>
                <w:szCs w:val="22"/>
              </w:rPr>
              <w:t>5</w:t>
            </w:r>
          </w:p>
        </w:tc>
      </w:tr>
      <w:tr w:rsidR="004408CA" w:rsidRPr="00C079C7" w14:paraId="04741190" w14:textId="77777777" w:rsidTr="00B71147">
        <w:tc>
          <w:tcPr>
            <w:tcW w:w="1535" w:type="dxa"/>
            <w:shd w:val="clear" w:color="auto" w:fill="auto"/>
          </w:tcPr>
          <w:p w14:paraId="3EE58D8C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i/>
                <w:szCs w:val="22"/>
              </w:rPr>
            </w:pPr>
            <w:r w:rsidRPr="00C079C7">
              <w:rPr>
                <w:rFonts w:eastAsia="Calibri"/>
                <w:i/>
                <w:szCs w:val="22"/>
              </w:rPr>
              <w:t>Mannheimia haemolytica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7741771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Skot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BB40CE4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149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155F3B35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0</w:t>
            </w:r>
            <w:r>
              <w:rPr>
                <w:rFonts w:eastAsia="Calibri"/>
                <w:szCs w:val="22"/>
              </w:rPr>
              <w:t>,</w:t>
            </w:r>
            <w:r w:rsidRPr="00C079C7">
              <w:rPr>
                <w:rFonts w:eastAsia="Calibri"/>
                <w:szCs w:val="22"/>
              </w:rPr>
              <w:t>06-128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16F1276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0</w:t>
            </w:r>
            <w:r>
              <w:rPr>
                <w:rFonts w:eastAsia="Calibri"/>
                <w:szCs w:val="22"/>
              </w:rPr>
              <w:t>,</w:t>
            </w:r>
            <w:r w:rsidRPr="00C079C7">
              <w:rPr>
                <w:rFonts w:eastAsia="Calibri"/>
                <w:szCs w:val="22"/>
              </w:rPr>
              <w:t>25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D23E0CE" w14:textId="77777777" w:rsidR="004408CA" w:rsidRPr="00C079C7" w:rsidRDefault="004408CA" w:rsidP="00B71147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C079C7">
              <w:rPr>
                <w:rFonts w:eastAsia="Calibri"/>
                <w:szCs w:val="22"/>
              </w:rPr>
              <w:t>64</w:t>
            </w:r>
          </w:p>
        </w:tc>
      </w:tr>
    </w:tbl>
    <w:p w14:paraId="50FA42E3" w14:textId="63A9604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742CD8" w14:textId="77777777" w:rsidR="006E1D1C" w:rsidRPr="00C079C7" w:rsidRDefault="006E1D1C" w:rsidP="00B71147">
      <w:pPr>
        <w:spacing w:after="200" w:line="240" w:lineRule="auto"/>
        <w:rPr>
          <w:rFonts w:eastAsia="Calibri"/>
          <w:szCs w:val="22"/>
          <w:u w:val="single"/>
        </w:rPr>
      </w:pPr>
      <w:r w:rsidRPr="00C079C7">
        <w:rPr>
          <w:rFonts w:eastAsia="Calibri"/>
          <w:szCs w:val="22"/>
          <w:u w:val="single"/>
        </w:rPr>
        <w:t>Mechanismus účinku</w:t>
      </w:r>
    </w:p>
    <w:p w14:paraId="62E95533" w14:textId="77777777" w:rsidR="006E1D1C" w:rsidRPr="00C079C7" w:rsidRDefault="006E1D1C" w:rsidP="00B71147">
      <w:pPr>
        <w:spacing w:after="200" w:line="240" w:lineRule="auto"/>
        <w:jc w:val="both"/>
        <w:rPr>
          <w:rFonts w:eastAsia="Calibri"/>
          <w:szCs w:val="22"/>
        </w:rPr>
      </w:pPr>
      <w:r w:rsidRPr="00C079C7">
        <w:rPr>
          <w:rFonts w:eastAsia="Calibri"/>
          <w:szCs w:val="22"/>
        </w:rPr>
        <w:t>Antimikrobiální mechanismus účinku spočívá v inhibici biochemického procesu syntézy bakteriální stěny prostřednictvím selektivní a nevratné blokády několika enzymů, zejména transpeptidáz, endopeptidáz a karboxypeptidáz. Nedostatečná tvorba bakteriální stěny u vnímavých druhů způsobuje osmotickou nerovnováhu, která zvláště ovlivňuje bakterie v růstové fázi (během níž jsou zvláště důležité procesy syntézy bakteriální stěny), což nakonec vede k lýze bakteriální buňky.</w:t>
      </w:r>
    </w:p>
    <w:p w14:paraId="2C7673C0" w14:textId="755BF2E8" w:rsidR="006E1D1C" w:rsidRPr="00C079C7" w:rsidRDefault="006E1D1C" w:rsidP="00B71147">
      <w:pPr>
        <w:spacing w:after="200" w:line="240" w:lineRule="auto"/>
        <w:jc w:val="both"/>
        <w:rPr>
          <w:rFonts w:eastAsia="Calibri"/>
          <w:szCs w:val="22"/>
        </w:rPr>
      </w:pPr>
      <w:r w:rsidRPr="00C079C7">
        <w:rPr>
          <w:rFonts w:eastAsia="Calibri"/>
          <w:szCs w:val="22"/>
        </w:rPr>
        <w:t xml:space="preserve">Bakterie </w:t>
      </w:r>
      <w:r>
        <w:rPr>
          <w:rFonts w:eastAsia="Calibri"/>
          <w:szCs w:val="22"/>
        </w:rPr>
        <w:t>přirozeně</w:t>
      </w:r>
      <w:r w:rsidRPr="00C079C7">
        <w:rPr>
          <w:rFonts w:eastAsia="Calibri"/>
          <w:szCs w:val="22"/>
        </w:rPr>
        <w:t xml:space="preserve"> rezistentní na amoxicilin jsou penicilinázu produkující s</w:t>
      </w:r>
      <w:r w:rsidR="003144E3">
        <w:rPr>
          <w:rFonts w:eastAsia="Calibri"/>
          <w:szCs w:val="22"/>
        </w:rPr>
        <w:t>t</w:t>
      </w:r>
      <w:r w:rsidRPr="00C079C7">
        <w:rPr>
          <w:rFonts w:eastAsia="Calibri"/>
          <w:szCs w:val="22"/>
        </w:rPr>
        <w:t xml:space="preserve">afylokoky, některé </w:t>
      </w:r>
      <w:r w:rsidRPr="00C079C7">
        <w:rPr>
          <w:rFonts w:eastAsia="Calibri"/>
          <w:i/>
          <w:szCs w:val="22"/>
        </w:rPr>
        <w:t>Enterobacteriaceae</w:t>
      </w:r>
      <w:r w:rsidRPr="00C079C7">
        <w:rPr>
          <w:rFonts w:eastAsia="Calibri"/>
          <w:szCs w:val="22"/>
        </w:rPr>
        <w:t xml:space="preserve">, jako je </w:t>
      </w:r>
      <w:r w:rsidRPr="00C079C7">
        <w:rPr>
          <w:rFonts w:eastAsia="Calibri"/>
          <w:i/>
          <w:szCs w:val="22"/>
        </w:rPr>
        <w:t>Klebsiella</w:t>
      </w:r>
      <w:r w:rsidRPr="00C079C7">
        <w:rPr>
          <w:rFonts w:eastAsia="Calibri"/>
          <w:szCs w:val="22"/>
        </w:rPr>
        <w:t xml:space="preserve"> spp., </w:t>
      </w:r>
      <w:r w:rsidRPr="00C079C7">
        <w:rPr>
          <w:rFonts w:eastAsia="Calibri"/>
          <w:i/>
          <w:szCs w:val="22"/>
        </w:rPr>
        <w:t xml:space="preserve">Enterobacter </w:t>
      </w:r>
      <w:r w:rsidRPr="00C079C7">
        <w:rPr>
          <w:rFonts w:eastAsia="Calibri"/>
          <w:szCs w:val="22"/>
        </w:rPr>
        <w:t xml:space="preserve">spp., </w:t>
      </w:r>
      <w:r w:rsidRPr="00C079C7">
        <w:rPr>
          <w:rFonts w:eastAsia="Calibri"/>
          <w:i/>
          <w:szCs w:val="22"/>
        </w:rPr>
        <w:t>Proteus</w:t>
      </w:r>
      <w:r w:rsidRPr="00C079C7">
        <w:rPr>
          <w:rFonts w:eastAsia="Calibri"/>
          <w:szCs w:val="22"/>
        </w:rPr>
        <w:t xml:space="preserve"> spp. a další gramnegativní bakterie, jako je </w:t>
      </w:r>
      <w:r w:rsidRPr="00C079C7">
        <w:rPr>
          <w:rFonts w:eastAsia="Calibri"/>
          <w:i/>
          <w:szCs w:val="22"/>
        </w:rPr>
        <w:t>Pseudomonas aeruginosa</w:t>
      </w:r>
      <w:r w:rsidRPr="00C079C7">
        <w:rPr>
          <w:rFonts w:eastAsia="Calibri"/>
          <w:szCs w:val="22"/>
        </w:rPr>
        <w:t>.</w:t>
      </w:r>
    </w:p>
    <w:p w14:paraId="574347A4" w14:textId="77777777" w:rsidR="006E1D1C" w:rsidRPr="00C079C7" w:rsidRDefault="006E1D1C" w:rsidP="00B71147">
      <w:pPr>
        <w:spacing w:after="200" w:line="240" w:lineRule="auto"/>
        <w:jc w:val="both"/>
        <w:rPr>
          <w:rFonts w:eastAsia="Calibri"/>
          <w:szCs w:val="22"/>
        </w:rPr>
      </w:pPr>
      <w:r w:rsidRPr="00C079C7">
        <w:rPr>
          <w:rFonts w:eastAsia="Calibri"/>
          <w:szCs w:val="22"/>
        </w:rPr>
        <w:lastRenderedPageBreak/>
        <w:t xml:space="preserve">Existují tři hlavní mechanismy rezistence </w:t>
      </w:r>
      <w:r>
        <w:rPr>
          <w:rFonts w:eastAsia="Calibri"/>
          <w:szCs w:val="22"/>
        </w:rPr>
        <w:t xml:space="preserve">na </w:t>
      </w:r>
      <w:r w:rsidRPr="00C079C7">
        <w:rPr>
          <w:rFonts w:eastAsia="Calibri"/>
          <w:szCs w:val="22"/>
        </w:rPr>
        <w:t>beta-laktam</w:t>
      </w:r>
      <w:r>
        <w:rPr>
          <w:rFonts w:eastAsia="Calibri"/>
          <w:szCs w:val="22"/>
        </w:rPr>
        <w:t>ová antibiotika</w:t>
      </w:r>
      <w:r w:rsidRPr="00C079C7">
        <w:rPr>
          <w:rFonts w:eastAsia="Calibri"/>
          <w:szCs w:val="22"/>
        </w:rPr>
        <w:t>: produkce beta-laktamázy, změněná exprese a</w:t>
      </w:r>
      <w:r>
        <w:rPr>
          <w:rFonts w:eastAsia="Calibri"/>
          <w:szCs w:val="22"/>
        </w:rPr>
        <w:t xml:space="preserve"> eventuálně i</w:t>
      </w:r>
      <w:r w:rsidRPr="00C079C7">
        <w:rPr>
          <w:rFonts w:eastAsia="Calibri"/>
          <w:szCs w:val="22"/>
        </w:rPr>
        <w:t xml:space="preserve"> modifikace proteinů vázajících penicilin (PBP) a snížená penetrace vnější membrány. Jedním z nejdůležitějších </w:t>
      </w:r>
      <w:r>
        <w:rPr>
          <w:rFonts w:eastAsia="Calibri"/>
          <w:szCs w:val="22"/>
        </w:rPr>
        <w:t xml:space="preserve">mechanismů </w:t>
      </w:r>
      <w:r w:rsidRPr="00C079C7">
        <w:rPr>
          <w:rFonts w:eastAsia="Calibri"/>
          <w:szCs w:val="22"/>
        </w:rPr>
        <w:t>je inaktivace penicilinu beta-laktamáz</w:t>
      </w:r>
      <w:r>
        <w:rPr>
          <w:rFonts w:eastAsia="Calibri"/>
          <w:szCs w:val="22"/>
        </w:rPr>
        <w:t>ovými</w:t>
      </w:r>
      <w:r w:rsidRPr="00C079C7">
        <w:rPr>
          <w:rFonts w:eastAsia="Calibri"/>
          <w:szCs w:val="22"/>
        </w:rPr>
        <w:t xml:space="preserve"> enzymy produkovan</w:t>
      </w:r>
      <w:r>
        <w:rPr>
          <w:rFonts w:eastAsia="Calibri"/>
          <w:szCs w:val="22"/>
        </w:rPr>
        <w:t>ými</w:t>
      </w:r>
      <w:r w:rsidRPr="00C079C7">
        <w:rPr>
          <w:rFonts w:eastAsia="Calibri"/>
          <w:szCs w:val="22"/>
        </w:rPr>
        <w:t xml:space="preserve"> určitými bakteriemi. Tyto enzymy jsou schopné štěpit beta-laktamový kruh penicilinů a učinit je neaktivní. Beta-laktamáza by mohla být </w:t>
      </w:r>
      <w:r>
        <w:rPr>
          <w:rFonts w:eastAsia="Calibri"/>
          <w:szCs w:val="22"/>
        </w:rPr>
        <w:t xml:space="preserve">kódována geny na </w:t>
      </w:r>
      <w:r w:rsidRPr="00C079C7">
        <w:rPr>
          <w:rFonts w:eastAsia="Calibri"/>
          <w:szCs w:val="22"/>
        </w:rPr>
        <w:t>chromoz</w:t>
      </w:r>
      <w:r>
        <w:rPr>
          <w:rFonts w:eastAsia="Calibri"/>
          <w:szCs w:val="22"/>
        </w:rPr>
        <w:t xml:space="preserve">ómech nebo plazmidech. </w:t>
      </w:r>
    </w:p>
    <w:p w14:paraId="4B2055F0" w14:textId="77777777" w:rsidR="006E1D1C" w:rsidRPr="00C079C7" w:rsidRDefault="006E1D1C" w:rsidP="00B71147">
      <w:pPr>
        <w:spacing w:after="200" w:line="240" w:lineRule="auto"/>
        <w:jc w:val="both"/>
        <w:rPr>
          <w:rFonts w:eastAsia="Calibri"/>
          <w:szCs w:val="22"/>
        </w:rPr>
      </w:pPr>
      <w:r w:rsidRPr="00C079C7">
        <w:rPr>
          <w:rFonts w:eastAsia="Calibri"/>
          <w:szCs w:val="22"/>
        </w:rPr>
        <w:t>Získan</w:t>
      </w:r>
      <w:r>
        <w:rPr>
          <w:rFonts w:eastAsia="Calibri"/>
          <w:szCs w:val="22"/>
        </w:rPr>
        <w:t>á</w:t>
      </w:r>
      <w:r w:rsidRPr="00C079C7">
        <w:rPr>
          <w:rFonts w:eastAsia="Calibri"/>
          <w:szCs w:val="22"/>
        </w:rPr>
        <w:t xml:space="preserve"> rezistence j</w:t>
      </w:r>
      <w:r>
        <w:rPr>
          <w:rFonts w:eastAsia="Calibri"/>
          <w:szCs w:val="22"/>
        </w:rPr>
        <w:t>e</w:t>
      </w:r>
      <w:r w:rsidRPr="00C079C7">
        <w:rPr>
          <w:rFonts w:eastAsia="Calibri"/>
          <w:szCs w:val="22"/>
        </w:rPr>
        <w:t xml:space="preserve"> čast</w:t>
      </w:r>
      <w:r>
        <w:rPr>
          <w:rFonts w:eastAsia="Calibri"/>
          <w:szCs w:val="22"/>
        </w:rPr>
        <w:t>á</w:t>
      </w:r>
      <w:r w:rsidRPr="00C079C7">
        <w:rPr>
          <w:rFonts w:eastAsia="Calibri"/>
          <w:szCs w:val="22"/>
        </w:rPr>
        <w:t xml:space="preserve"> u gramnegativních bakterií, jako je </w:t>
      </w:r>
      <w:r w:rsidRPr="00E40670">
        <w:rPr>
          <w:rFonts w:eastAsia="Calibri"/>
          <w:i/>
          <w:szCs w:val="22"/>
        </w:rPr>
        <w:t>E. coli</w:t>
      </w:r>
      <w:r w:rsidRPr="00C079C7">
        <w:rPr>
          <w:rFonts w:eastAsia="Calibri"/>
          <w:szCs w:val="22"/>
        </w:rPr>
        <w:t>, které produkují různé typy β-laktamáz, které zůstávají v periplazmatickém prostoru. Mezi amoxicilinem a jinými peniciliny, zejména s aminopeniciliny (ampicilin), je pozorována zkřížená rezistence.</w:t>
      </w:r>
    </w:p>
    <w:p w14:paraId="4E044696" w14:textId="397A87F9" w:rsidR="004408CA" w:rsidRPr="00B71147" w:rsidRDefault="006E1D1C" w:rsidP="00B71147">
      <w:pPr>
        <w:spacing w:after="200" w:line="240" w:lineRule="auto"/>
        <w:jc w:val="both"/>
        <w:rPr>
          <w:rFonts w:eastAsia="Calibri"/>
          <w:szCs w:val="22"/>
        </w:rPr>
      </w:pPr>
      <w:r w:rsidRPr="00C079C7">
        <w:rPr>
          <w:rFonts w:eastAsia="Calibri"/>
          <w:szCs w:val="22"/>
        </w:rPr>
        <w:t>Použití beta-laktamových léčiv s rozšířeným spektrem</w:t>
      </w:r>
      <w:r w:rsidR="00D02809">
        <w:rPr>
          <w:rFonts w:eastAsia="Calibri"/>
          <w:szCs w:val="22"/>
        </w:rPr>
        <w:t xml:space="preserve"> účinku</w:t>
      </w:r>
      <w:r w:rsidRPr="00C079C7">
        <w:rPr>
          <w:rFonts w:eastAsia="Calibri"/>
          <w:szCs w:val="22"/>
        </w:rPr>
        <w:t xml:space="preserve"> (např. </w:t>
      </w:r>
      <w:r>
        <w:rPr>
          <w:rFonts w:eastAsia="Calibri"/>
          <w:szCs w:val="22"/>
        </w:rPr>
        <w:t>a</w:t>
      </w:r>
      <w:r w:rsidRPr="00C079C7">
        <w:rPr>
          <w:rFonts w:eastAsia="Calibri"/>
          <w:szCs w:val="22"/>
        </w:rPr>
        <w:t xml:space="preserve">minopenicilinů) by mohlo vést </w:t>
      </w:r>
      <w:r>
        <w:rPr>
          <w:rFonts w:eastAsia="Calibri"/>
          <w:szCs w:val="22"/>
        </w:rPr>
        <w:t>k selekci</w:t>
      </w:r>
      <w:r w:rsidRPr="00C079C7">
        <w:rPr>
          <w:rFonts w:eastAsia="Calibri"/>
          <w:szCs w:val="22"/>
        </w:rPr>
        <w:t xml:space="preserve"> multirezistentních bakteriálních fenotypů (např. </w:t>
      </w:r>
      <w:r>
        <w:rPr>
          <w:rFonts w:eastAsia="Calibri"/>
          <w:szCs w:val="22"/>
        </w:rPr>
        <w:t>f</w:t>
      </w:r>
      <w:r w:rsidRPr="00C079C7">
        <w:rPr>
          <w:rFonts w:eastAsia="Calibri"/>
          <w:szCs w:val="22"/>
        </w:rPr>
        <w:t>enotypů produkujících rozšířené spektrum beta-laktamáz (ESBL)).</w:t>
      </w:r>
    </w:p>
    <w:p w14:paraId="6C600101" w14:textId="222F00F8" w:rsidR="00340935" w:rsidRDefault="00131D0E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45AD5988" w14:textId="77777777" w:rsidR="00340935" w:rsidRDefault="00340935" w:rsidP="00B13B6D">
      <w:pPr>
        <w:pStyle w:val="Style1"/>
      </w:pPr>
    </w:p>
    <w:p w14:paraId="507F8398" w14:textId="77777777" w:rsidR="00340935" w:rsidRPr="00C079C7" w:rsidRDefault="00340935" w:rsidP="00340935">
      <w:pPr>
        <w:jc w:val="both"/>
        <w:rPr>
          <w:szCs w:val="22"/>
        </w:rPr>
      </w:pPr>
      <w:r w:rsidRPr="00C079C7">
        <w:rPr>
          <w:szCs w:val="22"/>
        </w:rPr>
        <w:t xml:space="preserve">Amoxicilin má nízký stupeň vazby na plazmatické proteiny, a tak se rychle </w:t>
      </w:r>
      <w:r>
        <w:rPr>
          <w:szCs w:val="22"/>
        </w:rPr>
        <w:t>distribuuje</w:t>
      </w:r>
      <w:r w:rsidRPr="00C079C7">
        <w:rPr>
          <w:szCs w:val="22"/>
        </w:rPr>
        <w:t xml:space="preserve"> do tělních tekutin a do tkání.</w:t>
      </w:r>
    </w:p>
    <w:p w14:paraId="46E83955" w14:textId="77777777" w:rsidR="00340935" w:rsidRPr="00C079C7" w:rsidRDefault="00340935" w:rsidP="00340935">
      <w:pPr>
        <w:jc w:val="both"/>
        <w:rPr>
          <w:szCs w:val="22"/>
        </w:rPr>
      </w:pPr>
      <w:r w:rsidRPr="00C079C7">
        <w:rPr>
          <w:szCs w:val="22"/>
        </w:rPr>
        <w:t>Amoxicilin je biotransformován v játrech hydrolýzou ß-laktamového kruhu, což vede k neaktivní kyselině penicilloové (20%). Amoxicilin se vylučuje hlavně v aktivní formě ledvinami, sekundárně biliárním způsobem a mlékem.</w:t>
      </w:r>
    </w:p>
    <w:p w14:paraId="55EC46EC" w14:textId="77777777" w:rsidR="00340935" w:rsidRPr="00C079C7" w:rsidRDefault="00340935" w:rsidP="00340935">
      <w:pPr>
        <w:rPr>
          <w:szCs w:val="22"/>
        </w:rPr>
      </w:pPr>
    </w:p>
    <w:p w14:paraId="6469ABCA" w14:textId="77777777" w:rsidR="00340935" w:rsidRPr="00C079C7" w:rsidRDefault="00340935" w:rsidP="00340935">
      <w:pPr>
        <w:rPr>
          <w:szCs w:val="22"/>
          <w:u w:val="single"/>
        </w:rPr>
      </w:pPr>
      <w:r>
        <w:rPr>
          <w:szCs w:val="22"/>
          <w:u w:val="single"/>
        </w:rPr>
        <w:t>Skot</w:t>
      </w:r>
    </w:p>
    <w:p w14:paraId="44F05F57" w14:textId="78C0BA7B" w:rsidR="00340935" w:rsidRPr="00C079C7" w:rsidRDefault="00340935" w:rsidP="00340935">
      <w:pPr>
        <w:rPr>
          <w:szCs w:val="22"/>
        </w:rPr>
      </w:pPr>
      <w:r w:rsidRPr="00C079C7">
        <w:rPr>
          <w:szCs w:val="22"/>
        </w:rPr>
        <w:t>Po intramuskulárním podání je maximální koncentrace (5,02 µg/ml) dosaženo za 2 hodiny. Terminální poločas je 7,8 hodin.</w:t>
      </w:r>
    </w:p>
    <w:p w14:paraId="54866937" w14:textId="77777777" w:rsidR="00340935" w:rsidRPr="00C079C7" w:rsidRDefault="00340935" w:rsidP="00340935">
      <w:pPr>
        <w:rPr>
          <w:szCs w:val="22"/>
        </w:rPr>
      </w:pPr>
    </w:p>
    <w:p w14:paraId="437F504D" w14:textId="77777777" w:rsidR="00340935" w:rsidRPr="00C079C7" w:rsidRDefault="00340935" w:rsidP="00340935">
      <w:pPr>
        <w:rPr>
          <w:szCs w:val="22"/>
          <w:u w:val="single"/>
        </w:rPr>
      </w:pPr>
      <w:r>
        <w:rPr>
          <w:szCs w:val="22"/>
          <w:u w:val="single"/>
        </w:rPr>
        <w:t>P</w:t>
      </w:r>
      <w:r w:rsidRPr="00C079C7">
        <w:rPr>
          <w:szCs w:val="22"/>
          <w:u w:val="single"/>
        </w:rPr>
        <w:t>rasat</w:t>
      </w:r>
      <w:r>
        <w:rPr>
          <w:szCs w:val="22"/>
          <w:u w:val="single"/>
        </w:rPr>
        <w:t>a</w:t>
      </w:r>
    </w:p>
    <w:p w14:paraId="06387457" w14:textId="14BF096E" w:rsidR="00340935" w:rsidRPr="00C079C7" w:rsidRDefault="00340935" w:rsidP="00340935">
      <w:pPr>
        <w:rPr>
          <w:szCs w:val="22"/>
        </w:rPr>
      </w:pPr>
      <w:r w:rsidRPr="00C079C7">
        <w:rPr>
          <w:szCs w:val="22"/>
        </w:rPr>
        <w:t>Po intramuskulárním podání je maximální koncentrace (5,04 µg/ml) dosaženo přibližně za 1</w:t>
      </w:r>
      <w:r>
        <w:rPr>
          <w:szCs w:val="22"/>
        </w:rPr>
        <w:t xml:space="preserve"> </w:t>
      </w:r>
      <w:r w:rsidRPr="00C079C7">
        <w:rPr>
          <w:szCs w:val="22"/>
        </w:rPr>
        <w:t>hodinu. Terminální poločas je 3,7 hodiny.</w:t>
      </w:r>
    </w:p>
    <w:p w14:paraId="3ED3E354" w14:textId="77777777" w:rsidR="00340935" w:rsidRPr="00C079C7" w:rsidRDefault="00340935" w:rsidP="00340935">
      <w:pPr>
        <w:rPr>
          <w:szCs w:val="22"/>
        </w:rPr>
      </w:pPr>
      <w:r w:rsidRPr="00C079C7">
        <w:rPr>
          <w:szCs w:val="22"/>
        </w:rPr>
        <w:t>Stupeň vazby na plazmatické proteiny je 17</w:t>
      </w:r>
      <w:r>
        <w:rPr>
          <w:szCs w:val="22"/>
        </w:rPr>
        <w:t xml:space="preserve"> </w:t>
      </w:r>
      <w:r w:rsidRPr="00C079C7">
        <w:rPr>
          <w:szCs w:val="22"/>
        </w:rPr>
        <w:t>%.</w:t>
      </w:r>
    </w:p>
    <w:p w14:paraId="61C4F06B" w14:textId="77777777" w:rsidR="00340935" w:rsidRPr="00C079C7" w:rsidRDefault="00340935" w:rsidP="00340935">
      <w:pPr>
        <w:rPr>
          <w:szCs w:val="22"/>
        </w:rPr>
      </w:pPr>
      <w:r w:rsidRPr="00C079C7">
        <w:rPr>
          <w:szCs w:val="22"/>
        </w:rPr>
        <w:t>Tkáňová distribuce ukazuje, že hladiny v plicích, pleu</w:t>
      </w:r>
      <w:r>
        <w:rPr>
          <w:szCs w:val="22"/>
        </w:rPr>
        <w:t>ře</w:t>
      </w:r>
      <w:r w:rsidRPr="00C079C7">
        <w:rPr>
          <w:szCs w:val="22"/>
        </w:rPr>
        <w:t xml:space="preserve"> a bronchiálních sekre</w:t>
      </w:r>
      <w:r>
        <w:rPr>
          <w:szCs w:val="22"/>
        </w:rPr>
        <w:t>tech</w:t>
      </w:r>
      <w:r w:rsidRPr="00C079C7">
        <w:rPr>
          <w:szCs w:val="22"/>
        </w:rPr>
        <w:t xml:space="preserve"> jsou podobné hladinám v plazmě.</w:t>
      </w:r>
    </w:p>
    <w:p w14:paraId="2BE4D04A" w14:textId="0044DF99" w:rsidR="00C114FF" w:rsidRPr="00B41D57" w:rsidRDefault="00C114FF" w:rsidP="00B13B6D">
      <w:pPr>
        <w:pStyle w:val="Style1"/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FD98777" w:rsidR="00C114FF" w:rsidRPr="00B41D57" w:rsidRDefault="00131D0E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474F6D05" w:rsidR="00C114FF" w:rsidRPr="00B41D57" w:rsidRDefault="00131D0E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4D163906" w:rsidR="00C114FF" w:rsidRDefault="00131D0E" w:rsidP="00A9226B">
      <w:pPr>
        <w:tabs>
          <w:tab w:val="clear" w:pos="567"/>
        </w:tabs>
        <w:spacing w:line="240" w:lineRule="auto"/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68967DB5" w:rsidR="00C114FF" w:rsidRPr="00B41D57" w:rsidRDefault="00131D0E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061837C" w:rsidR="00C114FF" w:rsidRPr="00B41D57" w:rsidRDefault="00131D0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C940DC" w:rsidRPr="00C940DC">
        <w:t xml:space="preserve"> </w:t>
      </w:r>
      <w:r w:rsidR="00C940DC" w:rsidRPr="00B41D57">
        <w:t>2 roky.</w:t>
      </w:r>
    </w:p>
    <w:p w14:paraId="5DF513F3" w14:textId="1A3CC44C" w:rsidR="00C114FF" w:rsidRDefault="00131D0E" w:rsidP="00A9226B">
      <w:pPr>
        <w:tabs>
          <w:tab w:val="clear" w:pos="567"/>
        </w:tabs>
        <w:spacing w:line="240" w:lineRule="auto"/>
      </w:pPr>
      <w:r w:rsidRPr="00B41D57">
        <w:t>Doba použitelnosti po prvním otevření vnitřního obalu</w:t>
      </w:r>
      <w:r w:rsidR="00C940DC">
        <w:t>: 28</w:t>
      </w:r>
      <w:r w:rsidR="00C940DC" w:rsidRPr="00B41D57">
        <w:t> </w:t>
      </w:r>
      <w:r w:rsidR="00E86DD5" w:rsidRPr="00E86DD5">
        <w:t>dní</w:t>
      </w:r>
      <w:r w:rsidR="00C940DC" w:rsidRPr="00B41D57">
        <w:t>.</w:t>
      </w:r>
    </w:p>
    <w:p w14:paraId="4CD9C987" w14:textId="2843517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131D0E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B019B06" w14:textId="71ED8F38" w:rsidR="00C940DC" w:rsidRDefault="00C940DC" w:rsidP="009E66FE">
      <w:pPr>
        <w:pStyle w:val="Style5"/>
      </w:pPr>
    </w:p>
    <w:p w14:paraId="092E75CC" w14:textId="3998B1AC" w:rsidR="00C114FF" w:rsidRPr="00D95BBB" w:rsidRDefault="00131D0E" w:rsidP="009E66FE">
      <w:pPr>
        <w:pStyle w:val="Style5"/>
      </w:pPr>
      <w:r w:rsidRPr="00B41D57">
        <w:t>Uchovávejte při teplotě do 30 °</w:t>
      </w:r>
      <w:r w:rsidRPr="00F345A8">
        <w:t>C</w:t>
      </w:r>
      <w:r w:rsidR="00C940DC">
        <w:t>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31E4E7DB" w:rsidR="00C114FF" w:rsidRDefault="00131D0E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E081918" w14:textId="47DBF7FC" w:rsidR="00C940DC" w:rsidRDefault="00C940DC" w:rsidP="00B13B6D">
      <w:pPr>
        <w:pStyle w:val="Style1"/>
      </w:pPr>
    </w:p>
    <w:p w14:paraId="5CC55F21" w14:textId="43A1F806" w:rsidR="00C940DC" w:rsidRDefault="00C940DC" w:rsidP="00C940DC">
      <w:pPr>
        <w:pStyle w:val="Style1"/>
        <w:ind w:left="0" w:firstLine="0"/>
        <w:rPr>
          <w:rFonts w:eastAsia="Calibri"/>
          <w:b w:val="0"/>
        </w:rPr>
      </w:pPr>
      <w:r w:rsidRPr="00C940DC">
        <w:rPr>
          <w:rFonts w:eastAsia="Calibri"/>
          <w:b w:val="0"/>
        </w:rPr>
        <w:t>Vícevrstvé lahvičky z vrstev polypropylenu / ethylenvinylalkoholu / polypropylenu uzavřené bromobutylovou gumovou zátkou a hliníkovou a plastov</w:t>
      </w:r>
      <w:r w:rsidR="000F28C2">
        <w:rPr>
          <w:rFonts w:eastAsia="Calibri"/>
          <w:b w:val="0"/>
        </w:rPr>
        <w:t>ým flip pertlem</w:t>
      </w:r>
      <w:r w:rsidRPr="00C940DC">
        <w:rPr>
          <w:rFonts w:eastAsia="Calibri"/>
          <w:b w:val="0"/>
        </w:rPr>
        <w:t>.</w:t>
      </w:r>
    </w:p>
    <w:p w14:paraId="5119EBD7" w14:textId="5A8DE6D6" w:rsidR="00C940DC" w:rsidRDefault="00C940DC" w:rsidP="00C940DC">
      <w:pPr>
        <w:pStyle w:val="Style1"/>
        <w:ind w:left="0" w:firstLine="0"/>
        <w:rPr>
          <w:rFonts w:eastAsia="Calibri"/>
          <w:b w:val="0"/>
        </w:rPr>
      </w:pPr>
    </w:p>
    <w:p w14:paraId="61AD7878" w14:textId="77777777" w:rsidR="00C940DC" w:rsidRPr="00C079C7" w:rsidRDefault="00C940DC" w:rsidP="00C940DC">
      <w:pPr>
        <w:spacing w:line="276" w:lineRule="auto"/>
        <w:rPr>
          <w:rFonts w:eastAsia="Calibri"/>
          <w:szCs w:val="22"/>
        </w:rPr>
      </w:pPr>
      <w:r w:rsidRPr="00C079C7">
        <w:rPr>
          <w:rFonts w:eastAsia="Calibri"/>
          <w:szCs w:val="22"/>
        </w:rPr>
        <w:t>Velikost balení:</w:t>
      </w:r>
    </w:p>
    <w:p w14:paraId="56F379CC" w14:textId="37B4D76C" w:rsidR="00C940DC" w:rsidRPr="00C079C7" w:rsidRDefault="00C940DC" w:rsidP="00C940DC">
      <w:pPr>
        <w:spacing w:line="276" w:lineRule="auto"/>
        <w:rPr>
          <w:rFonts w:eastAsia="Calibri"/>
          <w:szCs w:val="22"/>
        </w:rPr>
      </w:pPr>
      <w:r>
        <w:rPr>
          <w:rFonts w:eastAsia="Calibri"/>
          <w:szCs w:val="22"/>
        </w:rPr>
        <w:lastRenderedPageBreak/>
        <w:t>Papírová</w:t>
      </w:r>
      <w:r w:rsidRPr="00C079C7">
        <w:rPr>
          <w:rFonts w:eastAsia="Calibri"/>
          <w:szCs w:val="22"/>
        </w:rPr>
        <w:t xml:space="preserve"> krabi</w:t>
      </w:r>
      <w:r>
        <w:rPr>
          <w:rFonts w:eastAsia="Calibri"/>
          <w:szCs w:val="22"/>
        </w:rPr>
        <w:t>čka</w:t>
      </w:r>
      <w:r w:rsidRPr="00C079C7">
        <w:rPr>
          <w:rFonts w:eastAsia="Calibri"/>
          <w:szCs w:val="22"/>
        </w:rPr>
        <w:t xml:space="preserve"> s 1 lahvičkou </w:t>
      </w:r>
      <w:r w:rsidR="000F28C2">
        <w:rPr>
          <w:rFonts w:eastAsia="Calibri"/>
          <w:szCs w:val="22"/>
        </w:rPr>
        <w:t>o objemu</w:t>
      </w:r>
      <w:r w:rsidRPr="00C079C7">
        <w:rPr>
          <w:rFonts w:eastAsia="Calibri"/>
          <w:szCs w:val="22"/>
        </w:rPr>
        <w:t xml:space="preserve"> 100 ml.</w:t>
      </w:r>
    </w:p>
    <w:p w14:paraId="55946EA9" w14:textId="2FB90A86" w:rsidR="00C940DC" w:rsidRPr="00C079C7" w:rsidRDefault="00C940DC" w:rsidP="00C940DC">
      <w:pPr>
        <w:spacing w:line="276" w:lineRule="auto"/>
        <w:rPr>
          <w:rFonts w:eastAsia="Calibri"/>
          <w:szCs w:val="22"/>
        </w:rPr>
      </w:pPr>
      <w:r>
        <w:rPr>
          <w:rFonts w:eastAsia="Calibri"/>
          <w:szCs w:val="22"/>
        </w:rPr>
        <w:t>Papírov</w:t>
      </w:r>
      <w:r w:rsidRPr="00C079C7">
        <w:rPr>
          <w:rFonts w:eastAsia="Calibri"/>
          <w:szCs w:val="22"/>
        </w:rPr>
        <w:t xml:space="preserve">á </w:t>
      </w:r>
      <w:r>
        <w:rPr>
          <w:rFonts w:eastAsia="Calibri"/>
          <w:szCs w:val="22"/>
        </w:rPr>
        <w:t>krabička</w:t>
      </w:r>
      <w:r w:rsidRPr="00C079C7">
        <w:rPr>
          <w:rFonts w:eastAsia="Calibri"/>
          <w:szCs w:val="22"/>
        </w:rPr>
        <w:t xml:space="preserve"> s 1 lahvičkou </w:t>
      </w:r>
      <w:r w:rsidR="000F28C2">
        <w:rPr>
          <w:rFonts w:eastAsia="Calibri"/>
          <w:szCs w:val="22"/>
        </w:rPr>
        <w:t>o objemu</w:t>
      </w:r>
      <w:r w:rsidRPr="00C079C7">
        <w:rPr>
          <w:rFonts w:eastAsia="Calibri"/>
          <w:szCs w:val="22"/>
        </w:rPr>
        <w:t xml:space="preserve"> 250 ml.</w:t>
      </w:r>
    </w:p>
    <w:p w14:paraId="638D3ED7" w14:textId="68272CDC" w:rsidR="00C940DC" w:rsidRDefault="00C940DC" w:rsidP="00A9226B">
      <w:pPr>
        <w:tabs>
          <w:tab w:val="clear" w:pos="567"/>
        </w:tabs>
        <w:spacing w:line="240" w:lineRule="auto"/>
      </w:pPr>
    </w:p>
    <w:p w14:paraId="5C703918" w14:textId="41F0D5B4" w:rsidR="00C114FF" w:rsidRPr="00B41D57" w:rsidRDefault="00131D0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69F32F7F" w:rsidR="00C114FF" w:rsidRPr="00B41D57" w:rsidRDefault="00131D0E" w:rsidP="00587943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58794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6073EA63" w:rsidR="00FD1E45" w:rsidRPr="00B41D57" w:rsidRDefault="00131D0E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328E9720" w:rsidR="0078538F" w:rsidRPr="00B41D57" w:rsidRDefault="00131D0E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131D0E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B5A8F5" w14:textId="77777777" w:rsidR="001B5EFB" w:rsidRDefault="001B5EFB" w:rsidP="001B5EFB">
      <w:pPr>
        <w:rPr>
          <w:iCs/>
          <w:szCs w:val="22"/>
        </w:rPr>
      </w:pPr>
      <w:r>
        <w:rPr>
          <w:iCs/>
          <w:szCs w:val="22"/>
        </w:rPr>
        <w:t>Vet-Agro Multi-Trade Company Sp. z o. o.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131D0E" w:rsidP="00B13B6D">
      <w:pPr>
        <w:pStyle w:val="Style1"/>
      </w:pPr>
      <w:r w:rsidRPr="00B41D57">
        <w:t>7.</w:t>
      </w:r>
      <w:r w:rsidRPr="00B41D57">
        <w:tab/>
      </w:r>
      <w:r w:rsidRPr="00B41D57">
        <w:t>REGISTRAČNÍ ČÍSLO(A)</w:t>
      </w:r>
    </w:p>
    <w:p w14:paraId="1FA2C56F" w14:textId="18BCDCF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2F4E7" w14:textId="77777777" w:rsidR="001B5EFB" w:rsidRPr="00C079C7" w:rsidRDefault="001B5EFB" w:rsidP="001B5EFB">
      <w:pPr>
        <w:ind w:right="-318"/>
        <w:rPr>
          <w:caps/>
          <w:szCs w:val="22"/>
        </w:rPr>
      </w:pPr>
      <w:r w:rsidRPr="002F3BC5">
        <w:rPr>
          <w:caps/>
          <w:szCs w:val="22"/>
        </w:rPr>
        <w:t>96/056/20-C</w:t>
      </w:r>
    </w:p>
    <w:p w14:paraId="2075C021" w14:textId="77777777" w:rsidR="001B5EFB" w:rsidRPr="00B41D57" w:rsidRDefault="001B5E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2CBF3E97" w:rsidR="005F346D" w:rsidRDefault="005F346D" w:rsidP="00541520">
      <w:pPr>
        <w:tabs>
          <w:tab w:val="clear" w:pos="567"/>
        </w:tabs>
        <w:spacing w:line="240" w:lineRule="auto"/>
        <w:rPr>
          <w:szCs w:val="22"/>
        </w:rPr>
      </w:pPr>
    </w:p>
    <w:p w14:paraId="3FD0E63F" w14:textId="411AAFDA" w:rsidR="00D02809" w:rsidRDefault="00D02809" w:rsidP="00541520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8.</w:t>
      </w:r>
      <w:r>
        <w:rPr>
          <w:b/>
          <w:bCs/>
          <w:szCs w:val="22"/>
        </w:rPr>
        <w:tab/>
        <w:t xml:space="preserve"> DATUM PRVNÍ REGISTRACE</w:t>
      </w:r>
    </w:p>
    <w:p w14:paraId="37D91EA1" w14:textId="77777777" w:rsidR="00D02809" w:rsidRDefault="00D02809" w:rsidP="00541520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627D75DC" w14:textId="47E872EE" w:rsidR="00D02809" w:rsidRPr="00A2152E" w:rsidRDefault="00A2152E" w:rsidP="00541520">
      <w:pPr>
        <w:tabs>
          <w:tab w:val="clear" w:pos="567"/>
        </w:tabs>
        <w:spacing w:line="240" w:lineRule="auto"/>
        <w:rPr>
          <w:bCs/>
          <w:szCs w:val="22"/>
        </w:rPr>
      </w:pPr>
      <w:r w:rsidRPr="00A2152E">
        <w:rPr>
          <w:bCs/>
          <w:szCs w:val="22"/>
        </w:rPr>
        <w:t>24.9.2020</w:t>
      </w:r>
    </w:p>
    <w:p w14:paraId="3B8DFC50" w14:textId="51155976" w:rsidR="00A2152E" w:rsidRDefault="00A2152E" w:rsidP="00541520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B15D9E3" w14:textId="77777777" w:rsidR="00A2152E" w:rsidRDefault="00A2152E" w:rsidP="00541520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BCCF9EE" w14:textId="6C314F6D" w:rsidR="00D02809" w:rsidRDefault="00D02809" w:rsidP="00541520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9. DATUM POSLEDNÍ AKTUALIZACE SOUHRNU ÚDAJŮ O PŘÍPRAVKU</w:t>
      </w:r>
    </w:p>
    <w:p w14:paraId="3AC10428" w14:textId="19C93A3E" w:rsidR="00D02809" w:rsidRDefault="00D02809" w:rsidP="00541520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7CC097B" w14:textId="60773AA6" w:rsidR="00D02809" w:rsidRPr="00A2152E" w:rsidRDefault="00A2152E" w:rsidP="00541520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10</w:t>
      </w:r>
      <w:r w:rsidR="00D02809" w:rsidRPr="00A2152E">
        <w:rPr>
          <w:bCs/>
          <w:szCs w:val="22"/>
        </w:rPr>
        <w:t>/2025</w:t>
      </w:r>
    </w:p>
    <w:p w14:paraId="79F27751" w14:textId="65D84D9E" w:rsidR="00D02809" w:rsidRDefault="00D02809" w:rsidP="00541520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6269585" w14:textId="0142D11C" w:rsidR="00D02809" w:rsidRDefault="00D02809" w:rsidP="00541520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3ED05EFE" w14:textId="15C94113" w:rsidR="00D02809" w:rsidRDefault="00D02809" w:rsidP="00D0280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eastAsia="en-GB"/>
        </w:rPr>
      </w:pPr>
      <w:r w:rsidRPr="00D02809">
        <w:rPr>
          <w:b/>
          <w:bCs/>
          <w:color w:val="000000"/>
          <w:szCs w:val="22"/>
          <w:lang w:eastAsia="en-GB"/>
        </w:rPr>
        <w:t xml:space="preserve">10. KLASIFIKACE VETERINÁRNÍCH LÉČIVÝCH PŘÍPRAVKŮ </w:t>
      </w:r>
    </w:p>
    <w:p w14:paraId="64D22063" w14:textId="77777777" w:rsidR="00D02809" w:rsidRPr="00D02809" w:rsidRDefault="00D02809" w:rsidP="00D0280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7B5CBEB7" w14:textId="747A6032" w:rsidR="00D02809" w:rsidRDefault="00D02809" w:rsidP="00D02809">
      <w:pPr>
        <w:tabs>
          <w:tab w:val="clear" w:pos="567"/>
        </w:tabs>
        <w:spacing w:line="240" w:lineRule="auto"/>
        <w:rPr>
          <w:b/>
          <w:bCs/>
          <w:szCs w:val="22"/>
        </w:rPr>
      </w:pPr>
      <w:bookmarkStart w:id="6" w:name="_Hlk207192116"/>
      <w:r w:rsidRPr="00D02809">
        <w:rPr>
          <w:color w:val="000000"/>
          <w:szCs w:val="22"/>
          <w:lang w:eastAsia="en-GB"/>
        </w:rPr>
        <w:t>Veterinární léčivý přípravek je vydáván pouze na předpis.</w:t>
      </w:r>
    </w:p>
    <w:bookmarkEnd w:id="6"/>
    <w:p w14:paraId="6FAEB826" w14:textId="40129B4D" w:rsidR="00D02809" w:rsidRDefault="00D02809" w:rsidP="00541520">
      <w:pPr>
        <w:tabs>
          <w:tab w:val="clear" w:pos="567"/>
        </w:tabs>
        <w:spacing w:line="240" w:lineRule="auto"/>
        <w:rPr>
          <w:szCs w:val="22"/>
        </w:rPr>
      </w:pPr>
    </w:p>
    <w:p w14:paraId="24DCC0C0" w14:textId="02DA61EE" w:rsidR="00D02809" w:rsidRDefault="00D02809" w:rsidP="0054152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D02809">
        <w:rPr>
          <w:szCs w:val="22"/>
        </w:rPr>
        <w:t>Podrobné informace o tomto veterinárním léčivém přípravku jsou k dispozici v databázi přípravků Unie (</w:t>
      </w:r>
      <w:hyperlink r:id="rId8" w:history="1">
        <w:r w:rsidRPr="00CC3E55">
          <w:rPr>
            <w:rStyle w:val="Hypertextovodkaz"/>
            <w:szCs w:val="22"/>
          </w:rPr>
          <w:t>https://medicines.health.europa.eu/veterinary</w:t>
        </w:r>
      </w:hyperlink>
      <w:r w:rsidRPr="00D02809">
        <w:rPr>
          <w:szCs w:val="22"/>
        </w:rPr>
        <w:t>)</w:t>
      </w:r>
      <w:r w:rsidRPr="00D02809">
        <w:rPr>
          <w:i/>
          <w:iCs/>
          <w:szCs w:val="22"/>
        </w:rPr>
        <w:t>.</w:t>
      </w:r>
    </w:p>
    <w:p w14:paraId="3B9E9CA2" w14:textId="0EEB8643" w:rsidR="00D02809" w:rsidRDefault="00D02809" w:rsidP="00541520">
      <w:pPr>
        <w:tabs>
          <w:tab w:val="clear" w:pos="567"/>
        </w:tabs>
        <w:spacing w:line="240" w:lineRule="auto"/>
        <w:rPr>
          <w:szCs w:val="22"/>
        </w:rPr>
      </w:pPr>
    </w:p>
    <w:p w14:paraId="1AFF770C" w14:textId="01ADFE3D" w:rsidR="00A2152E" w:rsidRDefault="00D02809" w:rsidP="00541520">
      <w:pPr>
        <w:tabs>
          <w:tab w:val="clear" w:pos="567"/>
        </w:tabs>
        <w:spacing w:line="240" w:lineRule="auto"/>
        <w:rPr>
          <w:szCs w:val="22"/>
        </w:rPr>
      </w:pPr>
      <w:bookmarkStart w:id="7" w:name="_Hlk207192082"/>
      <w:r w:rsidRPr="00D02809">
        <w:rPr>
          <w:szCs w:val="22"/>
        </w:rPr>
        <w:t>Podrobné informace o tomto veterinárním léčivém přípravku naleznete také v národní databázi (</w:t>
      </w:r>
      <w:hyperlink r:id="rId9" w:history="1">
        <w:r w:rsidR="00A2152E" w:rsidRPr="002461EC">
          <w:rPr>
            <w:rStyle w:val="Hypertextovodkaz"/>
            <w:szCs w:val="22"/>
          </w:rPr>
          <w:t>https://www.uskvbl.cz</w:t>
        </w:r>
      </w:hyperlink>
      <w:r w:rsidR="00A2152E">
        <w:rPr>
          <w:szCs w:val="22"/>
        </w:rPr>
        <w:t>).</w:t>
      </w:r>
      <w:bookmarkStart w:id="8" w:name="_GoBack"/>
      <w:bookmarkEnd w:id="8"/>
    </w:p>
    <w:p w14:paraId="7C8A5E8D" w14:textId="0D903170" w:rsidR="00D02809" w:rsidRDefault="00D02809" w:rsidP="00541520">
      <w:pPr>
        <w:tabs>
          <w:tab w:val="clear" w:pos="567"/>
        </w:tabs>
        <w:spacing w:line="240" w:lineRule="auto"/>
        <w:rPr>
          <w:szCs w:val="22"/>
        </w:rPr>
      </w:pPr>
    </w:p>
    <w:bookmarkEnd w:id="7"/>
    <w:p w14:paraId="2CA667EC" w14:textId="77777777" w:rsidR="00D02809" w:rsidRPr="00B41D57" w:rsidRDefault="00D02809" w:rsidP="00541520">
      <w:pPr>
        <w:tabs>
          <w:tab w:val="clear" w:pos="567"/>
        </w:tabs>
        <w:spacing w:line="240" w:lineRule="auto"/>
        <w:rPr>
          <w:szCs w:val="22"/>
        </w:rPr>
      </w:pPr>
    </w:p>
    <w:sectPr w:rsidR="00D02809" w:rsidRPr="00B41D57" w:rsidSect="003656B0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062F3" w14:textId="77777777" w:rsidR="007519F0" w:rsidRDefault="007519F0">
      <w:pPr>
        <w:spacing w:line="240" w:lineRule="auto"/>
      </w:pPr>
      <w:r>
        <w:separator/>
      </w:r>
    </w:p>
  </w:endnote>
  <w:endnote w:type="continuationSeparator" w:id="0">
    <w:p w14:paraId="097A920C" w14:textId="77777777" w:rsidR="007519F0" w:rsidRDefault="007519F0">
      <w:pPr>
        <w:spacing w:line="240" w:lineRule="auto"/>
      </w:pPr>
      <w:r>
        <w:continuationSeparator/>
      </w:r>
    </w:p>
  </w:endnote>
  <w:endnote w:type="continuationNotice" w:id="1">
    <w:p w14:paraId="74A1F948" w14:textId="77777777" w:rsidR="007519F0" w:rsidRDefault="007519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2BBF6FC5" w:rsidR="00C16609" w:rsidRPr="00E0068C" w:rsidRDefault="00C1660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3656B0">
      <w:rPr>
        <w:rFonts w:ascii="Times New Roman" w:hAnsi="Times New Roman"/>
        <w:noProof/>
      </w:rPr>
      <w:t>13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4BCF83ED" w:rsidR="00C16609" w:rsidRPr="00E0068C" w:rsidRDefault="00C1660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="003656B0">
      <w:rPr>
        <w:noProof/>
      </w:rPr>
      <w:t>1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DC7D8" w14:textId="77777777" w:rsidR="007519F0" w:rsidRDefault="007519F0">
      <w:pPr>
        <w:spacing w:line="240" w:lineRule="auto"/>
      </w:pPr>
      <w:r>
        <w:separator/>
      </w:r>
    </w:p>
  </w:footnote>
  <w:footnote w:type="continuationSeparator" w:id="0">
    <w:p w14:paraId="52E78D23" w14:textId="77777777" w:rsidR="007519F0" w:rsidRDefault="007519F0">
      <w:pPr>
        <w:spacing w:line="240" w:lineRule="auto"/>
      </w:pPr>
      <w:r>
        <w:continuationSeparator/>
      </w:r>
    </w:p>
  </w:footnote>
  <w:footnote w:type="continuationNotice" w:id="1">
    <w:p w14:paraId="5D42B0BB" w14:textId="77777777" w:rsidR="007519F0" w:rsidRDefault="007519F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AF0E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25F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C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6C5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A3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AC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45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AF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AE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BCFBD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B5481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4C3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3AE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22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501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A3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60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20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D2DF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CE2F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E65E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52CC9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2AF1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BCED0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C889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C212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84E3A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4DAAA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0887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E42B7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F4414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DD6B3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663FF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5908A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00AE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12B02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4966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696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504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66D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063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E3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41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095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5CE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0988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9F637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A0D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80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861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72F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8B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214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6AD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79E43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4B9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E23E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641C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CAEC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F86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6E6B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3C6C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1E92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90029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6488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A9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1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E3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02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AC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A0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8F2D4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2C03A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80A3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8C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8C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260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C6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AA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EF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7EC2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A88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D4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2B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0E5F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24A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E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0F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A64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7E0D39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5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865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C9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8A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C9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20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8B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42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9F405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EBCAE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54EE9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186B1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BD62D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30236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785A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C213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D62E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9808A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87A2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F24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05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C3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D41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65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AF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1ED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17C26A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46A619A" w:tentative="1">
      <w:start w:val="1"/>
      <w:numFmt w:val="lowerLetter"/>
      <w:lvlText w:val="%2."/>
      <w:lvlJc w:val="left"/>
      <w:pPr>
        <w:ind w:left="1440" w:hanging="360"/>
      </w:pPr>
    </w:lvl>
    <w:lvl w:ilvl="2" w:tplc="E752CE10" w:tentative="1">
      <w:start w:val="1"/>
      <w:numFmt w:val="lowerRoman"/>
      <w:lvlText w:val="%3."/>
      <w:lvlJc w:val="right"/>
      <w:pPr>
        <w:ind w:left="2160" w:hanging="180"/>
      </w:pPr>
    </w:lvl>
    <w:lvl w:ilvl="3" w:tplc="E0803514" w:tentative="1">
      <w:start w:val="1"/>
      <w:numFmt w:val="decimal"/>
      <w:lvlText w:val="%4."/>
      <w:lvlJc w:val="left"/>
      <w:pPr>
        <w:ind w:left="2880" w:hanging="360"/>
      </w:pPr>
    </w:lvl>
    <w:lvl w:ilvl="4" w:tplc="A5D8D37E" w:tentative="1">
      <w:start w:val="1"/>
      <w:numFmt w:val="lowerLetter"/>
      <w:lvlText w:val="%5."/>
      <w:lvlJc w:val="left"/>
      <w:pPr>
        <w:ind w:left="3600" w:hanging="360"/>
      </w:pPr>
    </w:lvl>
    <w:lvl w:ilvl="5" w:tplc="30E671B2" w:tentative="1">
      <w:start w:val="1"/>
      <w:numFmt w:val="lowerRoman"/>
      <w:lvlText w:val="%6."/>
      <w:lvlJc w:val="right"/>
      <w:pPr>
        <w:ind w:left="4320" w:hanging="180"/>
      </w:pPr>
    </w:lvl>
    <w:lvl w:ilvl="6" w:tplc="41E69FB2" w:tentative="1">
      <w:start w:val="1"/>
      <w:numFmt w:val="decimal"/>
      <w:lvlText w:val="%7."/>
      <w:lvlJc w:val="left"/>
      <w:pPr>
        <w:ind w:left="5040" w:hanging="360"/>
      </w:pPr>
    </w:lvl>
    <w:lvl w:ilvl="7" w:tplc="0A582FAC" w:tentative="1">
      <w:start w:val="1"/>
      <w:numFmt w:val="lowerLetter"/>
      <w:lvlText w:val="%8."/>
      <w:lvlJc w:val="left"/>
      <w:pPr>
        <w:ind w:left="5760" w:hanging="360"/>
      </w:pPr>
    </w:lvl>
    <w:lvl w:ilvl="8" w:tplc="5CEEA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68E40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0EE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AA3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ADC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40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6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ACE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644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BAE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E6A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48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6B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CD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4C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0A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A83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6F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AA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E5C641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CEB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64D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026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6C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3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16B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C9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48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F249586">
      <w:start w:val="1"/>
      <w:numFmt w:val="decimal"/>
      <w:lvlText w:val="%1."/>
      <w:lvlJc w:val="left"/>
      <w:pPr>
        <w:ind w:left="720" w:hanging="360"/>
      </w:pPr>
    </w:lvl>
    <w:lvl w:ilvl="1" w:tplc="B61A897A" w:tentative="1">
      <w:start w:val="1"/>
      <w:numFmt w:val="lowerLetter"/>
      <w:lvlText w:val="%2."/>
      <w:lvlJc w:val="left"/>
      <w:pPr>
        <w:ind w:left="1440" w:hanging="360"/>
      </w:pPr>
    </w:lvl>
    <w:lvl w:ilvl="2" w:tplc="8A18631E" w:tentative="1">
      <w:start w:val="1"/>
      <w:numFmt w:val="lowerRoman"/>
      <w:lvlText w:val="%3."/>
      <w:lvlJc w:val="right"/>
      <w:pPr>
        <w:ind w:left="2160" w:hanging="180"/>
      </w:pPr>
    </w:lvl>
    <w:lvl w:ilvl="3" w:tplc="F3F4853C" w:tentative="1">
      <w:start w:val="1"/>
      <w:numFmt w:val="decimal"/>
      <w:lvlText w:val="%4."/>
      <w:lvlJc w:val="left"/>
      <w:pPr>
        <w:ind w:left="2880" w:hanging="360"/>
      </w:pPr>
    </w:lvl>
    <w:lvl w:ilvl="4" w:tplc="F892A51E" w:tentative="1">
      <w:start w:val="1"/>
      <w:numFmt w:val="lowerLetter"/>
      <w:lvlText w:val="%5."/>
      <w:lvlJc w:val="left"/>
      <w:pPr>
        <w:ind w:left="3600" w:hanging="360"/>
      </w:pPr>
    </w:lvl>
    <w:lvl w:ilvl="5" w:tplc="0F462F5A" w:tentative="1">
      <w:start w:val="1"/>
      <w:numFmt w:val="lowerRoman"/>
      <w:lvlText w:val="%6."/>
      <w:lvlJc w:val="right"/>
      <w:pPr>
        <w:ind w:left="4320" w:hanging="180"/>
      </w:pPr>
    </w:lvl>
    <w:lvl w:ilvl="6" w:tplc="F5EE551E" w:tentative="1">
      <w:start w:val="1"/>
      <w:numFmt w:val="decimal"/>
      <w:lvlText w:val="%7."/>
      <w:lvlJc w:val="left"/>
      <w:pPr>
        <w:ind w:left="5040" w:hanging="360"/>
      </w:pPr>
    </w:lvl>
    <w:lvl w:ilvl="7" w:tplc="DB84EB34" w:tentative="1">
      <w:start w:val="1"/>
      <w:numFmt w:val="lowerLetter"/>
      <w:lvlText w:val="%8."/>
      <w:lvlJc w:val="left"/>
      <w:pPr>
        <w:ind w:left="5760" w:hanging="360"/>
      </w:pPr>
    </w:lvl>
    <w:lvl w:ilvl="8" w:tplc="B380A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43074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70CB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EA2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E0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27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CA1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8D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6A0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D61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388"/>
    <w:rsid w:val="00004FA2"/>
    <w:rsid w:val="00021B82"/>
    <w:rsid w:val="00024777"/>
    <w:rsid w:val="00024E21"/>
    <w:rsid w:val="00027100"/>
    <w:rsid w:val="00030AD8"/>
    <w:rsid w:val="000349AA"/>
    <w:rsid w:val="00036C50"/>
    <w:rsid w:val="00042CC2"/>
    <w:rsid w:val="00052D2B"/>
    <w:rsid w:val="00054F55"/>
    <w:rsid w:val="00056EE7"/>
    <w:rsid w:val="00062945"/>
    <w:rsid w:val="00063946"/>
    <w:rsid w:val="00067023"/>
    <w:rsid w:val="00077159"/>
    <w:rsid w:val="00080453"/>
    <w:rsid w:val="0008169A"/>
    <w:rsid w:val="00082200"/>
    <w:rsid w:val="000838BB"/>
    <w:rsid w:val="00083DD4"/>
    <w:rsid w:val="000860CE"/>
    <w:rsid w:val="000918C1"/>
    <w:rsid w:val="00092435"/>
    <w:rsid w:val="00092A37"/>
    <w:rsid w:val="000938A6"/>
    <w:rsid w:val="00096E78"/>
    <w:rsid w:val="00097C1E"/>
    <w:rsid w:val="000A1DF5"/>
    <w:rsid w:val="000A411E"/>
    <w:rsid w:val="000B76B4"/>
    <w:rsid w:val="000B7873"/>
    <w:rsid w:val="000C02A1"/>
    <w:rsid w:val="000C1D4F"/>
    <w:rsid w:val="000C3ED7"/>
    <w:rsid w:val="000C55E6"/>
    <w:rsid w:val="000C687A"/>
    <w:rsid w:val="000D1A8C"/>
    <w:rsid w:val="000D67D0"/>
    <w:rsid w:val="000E115E"/>
    <w:rsid w:val="000E195C"/>
    <w:rsid w:val="000E2400"/>
    <w:rsid w:val="000E3602"/>
    <w:rsid w:val="000E705A"/>
    <w:rsid w:val="000F28C2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D0E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5EF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4DED"/>
    <w:rsid w:val="001F627D"/>
    <w:rsid w:val="001F6622"/>
    <w:rsid w:val="001F6F38"/>
    <w:rsid w:val="00200EFE"/>
    <w:rsid w:val="0020126C"/>
    <w:rsid w:val="002020DA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DC3"/>
    <w:rsid w:val="00265656"/>
    <w:rsid w:val="00265E77"/>
    <w:rsid w:val="00266155"/>
    <w:rsid w:val="0026648F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6F5"/>
    <w:rsid w:val="002B0F11"/>
    <w:rsid w:val="002B2E17"/>
    <w:rsid w:val="002B6560"/>
    <w:rsid w:val="002B6599"/>
    <w:rsid w:val="002B6E23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3BC5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4E3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0935"/>
    <w:rsid w:val="00341866"/>
    <w:rsid w:val="00342C0C"/>
    <w:rsid w:val="003535E0"/>
    <w:rsid w:val="003536A7"/>
    <w:rsid w:val="003543AC"/>
    <w:rsid w:val="00355AB8"/>
    <w:rsid w:val="00355D02"/>
    <w:rsid w:val="00361607"/>
    <w:rsid w:val="003656B0"/>
    <w:rsid w:val="00365C0D"/>
    <w:rsid w:val="00366F56"/>
    <w:rsid w:val="00367F82"/>
    <w:rsid w:val="0037032C"/>
    <w:rsid w:val="00371655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396"/>
    <w:rsid w:val="003A6CCB"/>
    <w:rsid w:val="003B0F22"/>
    <w:rsid w:val="003B10C4"/>
    <w:rsid w:val="003B2813"/>
    <w:rsid w:val="003B48EB"/>
    <w:rsid w:val="003B516B"/>
    <w:rsid w:val="003B5CD1"/>
    <w:rsid w:val="003C33FF"/>
    <w:rsid w:val="003C3E0E"/>
    <w:rsid w:val="003C64A5"/>
    <w:rsid w:val="003D03CC"/>
    <w:rsid w:val="003D3173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2601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8CA"/>
    <w:rsid w:val="00446960"/>
    <w:rsid w:val="00446F37"/>
    <w:rsid w:val="004518A6"/>
    <w:rsid w:val="00453E1D"/>
    <w:rsid w:val="00454589"/>
    <w:rsid w:val="00454608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278"/>
    <w:rsid w:val="004E23A1"/>
    <w:rsid w:val="004E493C"/>
    <w:rsid w:val="004E623E"/>
    <w:rsid w:val="004E6289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1520"/>
    <w:rsid w:val="00542012"/>
    <w:rsid w:val="00543DF5"/>
    <w:rsid w:val="0054472D"/>
    <w:rsid w:val="00545A61"/>
    <w:rsid w:val="0055260D"/>
    <w:rsid w:val="00554C27"/>
    <w:rsid w:val="00555422"/>
    <w:rsid w:val="00555810"/>
    <w:rsid w:val="00557307"/>
    <w:rsid w:val="00562715"/>
    <w:rsid w:val="00562DCA"/>
    <w:rsid w:val="0056446A"/>
    <w:rsid w:val="0056568F"/>
    <w:rsid w:val="0057436C"/>
    <w:rsid w:val="00575DE3"/>
    <w:rsid w:val="00580B08"/>
    <w:rsid w:val="00582578"/>
    <w:rsid w:val="0058621D"/>
    <w:rsid w:val="00586904"/>
    <w:rsid w:val="0058794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493"/>
    <w:rsid w:val="005C276A"/>
    <w:rsid w:val="005C3D2C"/>
    <w:rsid w:val="005C4E23"/>
    <w:rsid w:val="005D380C"/>
    <w:rsid w:val="005D3F79"/>
    <w:rsid w:val="005D4D68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6A55"/>
    <w:rsid w:val="00640336"/>
    <w:rsid w:val="00640FC9"/>
    <w:rsid w:val="006414D3"/>
    <w:rsid w:val="006432F2"/>
    <w:rsid w:val="00643C6E"/>
    <w:rsid w:val="00644345"/>
    <w:rsid w:val="006447ED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ED4"/>
    <w:rsid w:val="006B12CB"/>
    <w:rsid w:val="006B2030"/>
    <w:rsid w:val="006B4FF2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0730"/>
    <w:rsid w:val="006E15A2"/>
    <w:rsid w:val="006E1D1C"/>
    <w:rsid w:val="006E2F95"/>
    <w:rsid w:val="006F148B"/>
    <w:rsid w:val="006F315A"/>
    <w:rsid w:val="00700C66"/>
    <w:rsid w:val="00705EAF"/>
    <w:rsid w:val="0070773E"/>
    <w:rsid w:val="007101CC"/>
    <w:rsid w:val="00710F85"/>
    <w:rsid w:val="007129A4"/>
    <w:rsid w:val="00715C55"/>
    <w:rsid w:val="00724E3B"/>
    <w:rsid w:val="00725EEA"/>
    <w:rsid w:val="007276B6"/>
    <w:rsid w:val="00730908"/>
    <w:rsid w:val="00730CE9"/>
    <w:rsid w:val="0073373D"/>
    <w:rsid w:val="00736B1E"/>
    <w:rsid w:val="007418E0"/>
    <w:rsid w:val="00741A39"/>
    <w:rsid w:val="007439DB"/>
    <w:rsid w:val="007464DA"/>
    <w:rsid w:val="007519F0"/>
    <w:rsid w:val="007568D8"/>
    <w:rsid w:val="00756BA0"/>
    <w:rsid w:val="007616B4"/>
    <w:rsid w:val="00765316"/>
    <w:rsid w:val="007708C8"/>
    <w:rsid w:val="0077719D"/>
    <w:rsid w:val="00780DF0"/>
    <w:rsid w:val="007810B7"/>
    <w:rsid w:val="00782F0F"/>
    <w:rsid w:val="0078538F"/>
    <w:rsid w:val="00786B52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BDB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7907"/>
    <w:rsid w:val="00830FF3"/>
    <w:rsid w:val="008334BF"/>
    <w:rsid w:val="00836B8C"/>
    <w:rsid w:val="00840062"/>
    <w:rsid w:val="008410C5"/>
    <w:rsid w:val="00843F73"/>
    <w:rsid w:val="008466D7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72B8"/>
    <w:rsid w:val="008808C5"/>
    <w:rsid w:val="00881A7C"/>
    <w:rsid w:val="00881CC4"/>
    <w:rsid w:val="00883C78"/>
    <w:rsid w:val="00883F30"/>
    <w:rsid w:val="00884275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38A6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5D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2094"/>
    <w:rsid w:val="00A030D2"/>
    <w:rsid w:val="00A0479E"/>
    <w:rsid w:val="00A07979"/>
    <w:rsid w:val="00A11755"/>
    <w:rsid w:val="00A117A2"/>
    <w:rsid w:val="00A16BAC"/>
    <w:rsid w:val="00A207FB"/>
    <w:rsid w:val="00A20ADC"/>
    <w:rsid w:val="00A2152E"/>
    <w:rsid w:val="00A24016"/>
    <w:rsid w:val="00A265BF"/>
    <w:rsid w:val="00A26F44"/>
    <w:rsid w:val="00A34FAB"/>
    <w:rsid w:val="00A426F0"/>
    <w:rsid w:val="00A42C43"/>
    <w:rsid w:val="00A4313D"/>
    <w:rsid w:val="00A50120"/>
    <w:rsid w:val="00A60351"/>
    <w:rsid w:val="00A61C6D"/>
    <w:rsid w:val="00A63015"/>
    <w:rsid w:val="00A6387B"/>
    <w:rsid w:val="00A6482F"/>
    <w:rsid w:val="00A64904"/>
    <w:rsid w:val="00A66254"/>
    <w:rsid w:val="00A678B4"/>
    <w:rsid w:val="00A704A3"/>
    <w:rsid w:val="00A75E23"/>
    <w:rsid w:val="00A77562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87A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574E"/>
    <w:rsid w:val="00B177F2"/>
    <w:rsid w:val="00B201F1"/>
    <w:rsid w:val="00B21D94"/>
    <w:rsid w:val="00B22385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147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B99"/>
    <w:rsid w:val="00B86896"/>
    <w:rsid w:val="00B875A6"/>
    <w:rsid w:val="00B91D68"/>
    <w:rsid w:val="00B93E4C"/>
    <w:rsid w:val="00B94A1B"/>
    <w:rsid w:val="00B9784D"/>
    <w:rsid w:val="00BA5C89"/>
    <w:rsid w:val="00BA77A3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02C7"/>
    <w:rsid w:val="00BF58FC"/>
    <w:rsid w:val="00C01F77"/>
    <w:rsid w:val="00C01FFC"/>
    <w:rsid w:val="00C05321"/>
    <w:rsid w:val="00C06AE4"/>
    <w:rsid w:val="00C114FF"/>
    <w:rsid w:val="00C11D49"/>
    <w:rsid w:val="00C12F42"/>
    <w:rsid w:val="00C16609"/>
    <w:rsid w:val="00C171A1"/>
    <w:rsid w:val="00C171A4"/>
    <w:rsid w:val="00C17F12"/>
    <w:rsid w:val="00C20734"/>
    <w:rsid w:val="00C21C1A"/>
    <w:rsid w:val="00C224DF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3F53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D5C"/>
    <w:rsid w:val="00C940DC"/>
    <w:rsid w:val="00C959E7"/>
    <w:rsid w:val="00CA28D8"/>
    <w:rsid w:val="00CB06B0"/>
    <w:rsid w:val="00CB2443"/>
    <w:rsid w:val="00CC1E65"/>
    <w:rsid w:val="00CC567A"/>
    <w:rsid w:val="00CD4059"/>
    <w:rsid w:val="00CD4E5A"/>
    <w:rsid w:val="00CD6AFD"/>
    <w:rsid w:val="00CE03CE"/>
    <w:rsid w:val="00CE0F5D"/>
    <w:rsid w:val="00CE1A6A"/>
    <w:rsid w:val="00CE2F26"/>
    <w:rsid w:val="00CF069C"/>
    <w:rsid w:val="00CF0DFF"/>
    <w:rsid w:val="00D02809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37C4E"/>
    <w:rsid w:val="00D403E9"/>
    <w:rsid w:val="00D42DCB"/>
    <w:rsid w:val="00D452E9"/>
    <w:rsid w:val="00D45482"/>
    <w:rsid w:val="00D46DF2"/>
    <w:rsid w:val="00D47674"/>
    <w:rsid w:val="00D5338C"/>
    <w:rsid w:val="00D55155"/>
    <w:rsid w:val="00D606B2"/>
    <w:rsid w:val="00D625A7"/>
    <w:rsid w:val="00D63575"/>
    <w:rsid w:val="00D64074"/>
    <w:rsid w:val="00D65777"/>
    <w:rsid w:val="00D728A0"/>
    <w:rsid w:val="00D74018"/>
    <w:rsid w:val="00D83661"/>
    <w:rsid w:val="00D84E56"/>
    <w:rsid w:val="00D9216A"/>
    <w:rsid w:val="00D95BBB"/>
    <w:rsid w:val="00D97E7D"/>
    <w:rsid w:val="00DA16B5"/>
    <w:rsid w:val="00DA2A06"/>
    <w:rsid w:val="00DA5B78"/>
    <w:rsid w:val="00DB1C8C"/>
    <w:rsid w:val="00DB3439"/>
    <w:rsid w:val="00DB3618"/>
    <w:rsid w:val="00DB468A"/>
    <w:rsid w:val="00DC2946"/>
    <w:rsid w:val="00DC4340"/>
    <w:rsid w:val="00DC550F"/>
    <w:rsid w:val="00DC64FD"/>
    <w:rsid w:val="00DC6BF5"/>
    <w:rsid w:val="00DD53C3"/>
    <w:rsid w:val="00DD669D"/>
    <w:rsid w:val="00DE127F"/>
    <w:rsid w:val="00DE424A"/>
    <w:rsid w:val="00DE4419"/>
    <w:rsid w:val="00DE67C4"/>
    <w:rsid w:val="00DF0ACA"/>
    <w:rsid w:val="00DF18C3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A35"/>
    <w:rsid w:val="00E61E51"/>
    <w:rsid w:val="00E6552A"/>
    <w:rsid w:val="00E65731"/>
    <w:rsid w:val="00E6707D"/>
    <w:rsid w:val="00E67882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86DD5"/>
    <w:rsid w:val="00E9093C"/>
    <w:rsid w:val="00E935AF"/>
    <w:rsid w:val="00EA60C5"/>
    <w:rsid w:val="00EB0E20"/>
    <w:rsid w:val="00EB1682"/>
    <w:rsid w:val="00EB1A80"/>
    <w:rsid w:val="00EB457B"/>
    <w:rsid w:val="00EC00CE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9D2"/>
    <w:rsid w:val="00F12214"/>
    <w:rsid w:val="00F12565"/>
    <w:rsid w:val="00F129C7"/>
    <w:rsid w:val="00F144BE"/>
    <w:rsid w:val="00F14ACA"/>
    <w:rsid w:val="00F170D9"/>
    <w:rsid w:val="00F17A0C"/>
    <w:rsid w:val="00F22C35"/>
    <w:rsid w:val="00F23927"/>
    <w:rsid w:val="00F26644"/>
    <w:rsid w:val="00F26A05"/>
    <w:rsid w:val="00F275FB"/>
    <w:rsid w:val="00F307CE"/>
    <w:rsid w:val="00F32B3C"/>
    <w:rsid w:val="00F343C8"/>
    <w:rsid w:val="00F345A8"/>
    <w:rsid w:val="00F354C5"/>
    <w:rsid w:val="00F37108"/>
    <w:rsid w:val="00F40449"/>
    <w:rsid w:val="00F45B8E"/>
    <w:rsid w:val="00F46940"/>
    <w:rsid w:val="00F47BAA"/>
    <w:rsid w:val="00F50315"/>
    <w:rsid w:val="00F520FE"/>
    <w:rsid w:val="00F52EAB"/>
    <w:rsid w:val="00F55A04"/>
    <w:rsid w:val="00F56A2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40B"/>
    <w:rsid w:val="00FA06FD"/>
    <w:rsid w:val="00FA515B"/>
    <w:rsid w:val="00FA6B90"/>
    <w:rsid w:val="00FA70F9"/>
    <w:rsid w:val="00FA74CB"/>
    <w:rsid w:val="00FB07B1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54D3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0209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patChar">
    <w:name w:val="Zápatí Char"/>
    <w:basedOn w:val="Standardnpsmoodstavce"/>
    <w:link w:val="Zpat"/>
    <w:rPr>
      <w:rFonts w:ascii="Helvetica" w:hAnsi="Helvetica"/>
      <w:sz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0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73FA-F388-4AD3-9249-E0A979FF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1925</Words>
  <Characters>11363</Characters>
  <Application>Microsoft Office Word</Application>
  <DocSecurity>0</DocSecurity>
  <Lines>94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17</cp:revision>
  <cp:lastPrinted>2025-10-13T10:11:00Z</cp:lastPrinted>
  <dcterms:created xsi:type="dcterms:W3CDTF">2024-12-17T12:35:00Z</dcterms:created>
  <dcterms:modified xsi:type="dcterms:W3CDTF">2025-10-13T10:11:00Z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