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AE9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B3" w14:textId="77777777" w:rsidR="00C114FF" w:rsidRPr="00B41D57" w:rsidRDefault="00BB7F5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42AE9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B5" w14:textId="77777777" w:rsidR="00C114FF" w:rsidRPr="00B41D57" w:rsidRDefault="00BB7F5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42AE9B6" w14:textId="77777777" w:rsidR="00C114FF" w:rsidRPr="00B41D57" w:rsidRDefault="00BB7F5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42AE9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E4CD" w14:textId="77777777" w:rsidR="00E5339C" w:rsidRPr="00E5339C" w:rsidRDefault="00E5339C" w:rsidP="00E5339C">
      <w:pPr>
        <w:tabs>
          <w:tab w:val="clear" w:pos="567"/>
        </w:tabs>
        <w:spacing w:line="240" w:lineRule="auto"/>
      </w:pPr>
      <w:r w:rsidRPr="00E5339C">
        <w:t>Helminthex 425 mg/g perorální pasta pro koně</w:t>
      </w:r>
    </w:p>
    <w:p w14:paraId="242AE9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BB" w14:textId="77777777" w:rsidR="00C114FF" w:rsidRPr="00B41D57" w:rsidRDefault="00BB7F5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42AE9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DE97C" w14:textId="2D0C3C49" w:rsidR="00BB130B" w:rsidRPr="00FB29C2" w:rsidRDefault="00274442" w:rsidP="00BB130B">
      <w:pPr>
        <w:tabs>
          <w:tab w:val="clear" w:pos="567"/>
        </w:tabs>
        <w:spacing w:line="240" w:lineRule="auto"/>
        <w:rPr>
          <w:szCs w:val="22"/>
        </w:rPr>
      </w:pPr>
      <w:bookmarkStart w:id="0" w:name="_Hlk213078729"/>
      <w:r w:rsidRPr="00FB29C2">
        <w:rPr>
          <w:szCs w:val="22"/>
        </w:rPr>
        <w:t>Každý</w:t>
      </w:r>
      <w:bookmarkEnd w:id="0"/>
      <w:r w:rsidR="00BB130B" w:rsidRPr="00FB29C2">
        <w:rPr>
          <w:szCs w:val="22"/>
        </w:rPr>
        <w:t> g obsahuje:</w:t>
      </w:r>
    </w:p>
    <w:p w14:paraId="63630233" w14:textId="77777777" w:rsidR="00BB130B" w:rsidRPr="00BB130B" w:rsidRDefault="00BB130B" w:rsidP="00BB130B">
      <w:pPr>
        <w:tabs>
          <w:tab w:val="clear" w:pos="567"/>
        </w:tabs>
        <w:spacing w:line="240" w:lineRule="auto"/>
        <w:rPr>
          <w:szCs w:val="22"/>
        </w:rPr>
      </w:pPr>
    </w:p>
    <w:p w14:paraId="68585BA8" w14:textId="77777777" w:rsidR="00BB130B" w:rsidRPr="00BB130B" w:rsidRDefault="00BB130B" w:rsidP="00BB130B">
      <w:pPr>
        <w:tabs>
          <w:tab w:val="clear" w:pos="567"/>
        </w:tabs>
        <w:spacing w:line="240" w:lineRule="auto"/>
        <w:rPr>
          <w:b/>
          <w:szCs w:val="22"/>
        </w:rPr>
      </w:pPr>
      <w:r w:rsidRPr="00BB130B">
        <w:rPr>
          <w:b/>
          <w:szCs w:val="22"/>
        </w:rPr>
        <w:t>Léčivá látka:</w:t>
      </w:r>
    </w:p>
    <w:p w14:paraId="578D342A" w14:textId="77777777" w:rsidR="00430F3B" w:rsidRDefault="00BB130B" w:rsidP="00BB130B">
      <w:pPr>
        <w:tabs>
          <w:tab w:val="clear" w:pos="567"/>
        </w:tabs>
        <w:spacing w:line="240" w:lineRule="auto"/>
        <w:rPr>
          <w:szCs w:val="22"/>
        </w:rPr>
      </w:pPr>
      <w:r w:rsidRPr="00BB130B">
        <w:rPr>
          <w:szCs w:val="22"/>
        </w:rPr>
        <w:t xml:space="preserve">Pyranteli embonas </w:t>
      </w:r>
      <w:r w:rsidRPr="00BB130B">
        <w:rPr>
          <w:szCs w:val="22"/>
        </w:rPr>
        <w:tab/>
      </w:r>
      <w:r w:rsidRPr="00BB130B">
        <w:rPr>
          <w:szCs w:val="22"/>
        </w:rPr>
        <w:tab/>
      </w:r>
      <w:r w:rsidRPr="00BB130B">
        <w:rPr>
          <w:szCs w:val="22"/>
        </w:rPr>
        <w:tab/>
      </w:r>
      <w:r w:rsidRPr="00BB130B">
        <w:rPr>
          <w:szCs w:val="22"/>
        </w:rPr>
        <w:tab/>
      </w:r>
      <w:r w:rsidRPr="00BB130B">
        <w:rPr>
          <w:szCs w:val="22"/>
        </w:rPr>
        <w:tab/>
        <w:t xml:space="preserve">425,45 mg </w:t>
      </w:r>
    </w:p>
    <w:p w14:paraId="20C122E9" w14:textId="7DDE631C" w:rsidR="00BB130B" w:rsidRPr="00BB130B" w:rsidRDefault="00BB130B" w:rsidP="00BB130B">
      <w:pPr>
        <w:tabs>
          <w:tab w:val="clear" w:pos="567"/>
        </w:tabs>
        <w:spacing w:line="240" w:lineRule="auto"/>
        <w:rPr>
          <w:szCs w:val="22"/>
        </w:rPr>
      </w:pPr>
      <w:r w:rsidRPr="00BB130B">
        <w:rPr>
          <w:szCs w:val="22"/>
        </w:rPr>
        <w:t xml:space="preserve">(odpovídá 147,6 mg pyrantelum) </w:t>
      </w:r>
    </w:p>
    <w:p w14:paraId="2C65072F" w14:textId="77777777" w:rsidR="00BB130B" w:rsidRPr="00BB130B" w:rsidRDefault="00BB130B" w:rsidP="00BB130B">
      <w:pPr>
        <w:tabs>
          <w:tab w:val="clear" w:pos="567"/>
        </w:tabs>
        <w:spacing w:line="240" w:lineRule="auto"/>
        <w:rPr>
          <w:szCs w:val="22"/>
        </w:rPr>
      </w:pPr>
    </w:p>
    <w:p w14:paraId="493D6965" w14:textId="53A96FE7" w:rsidR="009E66BA" w:rsidRDefault="009E66BA" w:rsidP="009E66BA">
      <w:pPr>
        <w:tabs>
          <w:tab w:val="clear" w:pos="567"/>
        </w:tabs>
        <w:spacing w:line="240" w:lineRule="auto"/>
        <w:rPr>
          <w:b/>
          <w:szCs w:val="22"/>
        </w:rPr>
      </w:pPr>
      <w:r w:rsidRPr="009E66BA">
        <w:rPr>
          <w:b/>
          <w:szCs w:val="22"/>
        </w:rPr>
        <w:t>Pomocné látky:</w:t>
      </w:r>
    </w:p>
    <w:p w14:paraId="59855AE7" w14:textId="77777777" w:rsidR="009E66BA" w:rsidRDefault="009E66BA" w:rsidP="009E66BA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8123C9" w14:paraId="2FA81A43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75CD" w14:textId="6F88752B" w:rsidR="008123C9" w:rsidRDefault="008123C9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10B1" w14:textId="58A0153F" w:rsidR="008123C9" w:rsidRDefault="008123C9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24B31" w14:paraId="44B2D118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C83" w14:textId="3D306832" w:rsidR="00D24B31" w:rsidRDefault="00D24B31" w:rsidP="00D24B3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2A9F">
              <w:rPr>
                <w:szCs w:val="22"/>
              </w:rPr>
              <w:t>Sodná sůl methylparabenu (E 219)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2511" w14:textId="0CC2AB6E" w:rsidR="00D24B31" w:rsidRDefault="00D24B31" w:rsidP="00D24B31">
            <w:pPr>
              <w:spacing w:before="60" w:after="60"/>
              <w:rPr>
                <w:iCs/>
                <w:szCs w:val="22"/>
              </w:rPr>
            </w:pPr>
            <w:r w:rsidRPr="00BB130B">
              <w:rPr>
                <w:szCs w:val="22"/>
              </w:rPr>
              <w:t>2,5 mg</w:t>
            </w:r>
          </w:p>
        </w:tc>
      </w:tr>
      <w:tr w:rsidR="00D24B31" w14:paraId="4965CEA9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7058" w14:textId="051A15BE" w:rsidR="00D24B31" w:rsidRDefault="00D24B31" w:rsidP="00D24B31">
            <w:pPr>
              <w:spacing w:before="60" w:after="60"/>
              <w:rPr>
                <w:iCs/>
                <w:szCs w:val="22"/>
              </w:rPr>
            </w:pPr>
            <w:r w:rsidRPr="00062A9F">
              <w:rPr>
                <w:szCs w:val="22"/>
              </w:rPr>
              <w:t>Sodná sůl propylparabenu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A5A7" w14:textId="17321E07" w:rsidR="00D24B31" w:rsidRPr="00D24B31" w:rsidRDefault="00D24B31" w:rsidP="00FB29C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B130B">
              <w:rPr>
                <w:szCs w:val="22"/>
              </w:rPr>
              <w:t>1,5 mg</w:t>
            </w:r>
          </w:p>
        </w:tc>
      </w:tr>
      <w:tr w:rsidR="00D24B31" w14:paraId="19A9FB70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FED0" w14:textId="54C0C9C0" w:rsidR="00D24B31" w:rsidRDefault="00D24B31" w:rsidP="00D24B31">
            <w:pPr>
              <w:spacing w:before="60" w:after="60"/>
              <w:rPr>
                <w:iCs/>
                <w:szCs w:val="22"/>
              </w:rPr>
            </w:pPr>
            <w:r w:rsidRPr="00062A9F">
              <w:rPr>
                <w:szCs w:val="22"/>
              </w:rPr>
              <w:t>Čištěný sójový olej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4E1A" w14:textId="77777777" w:rsidR="00D24B31" w:rsidRDefault="00D24B31" w:rsidP="00D24B31">
            <w:pPr>
              <w:spacing w:before="60" w:after="60"/>
              <w:rPr>
                <w:iCs/>
                <w:szCs w:val="22"/>
              </w:rPr>
            </w:pPr>
          </w:p>
        </w:tc>
      </w:tr>
      <w:tr w:rsidR="00D24B31" w14:paraId="3C739812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AFCF" w14:textId="0308BFA4" w:rsidR="00D24B31" w:rsidRDefault="00D24B31" w:rsidP="00D24B3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62A9F">
              <w:rPr>
                <w:szCs w:val="22"/>
              </w:rPr>
              <w:t>Sorbitan-oleát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73E9" w14:textId="77777777" w:rsidR="00D24B31" w:rsidRDefault="00D24B31" w:rsidP="00D24B31">
            <w:pPr>
              <w:spacing w:before="60" w:after="60"/>
              <w:rPr>
                <w:iCs/>
                <w:szCs w:val="22"/>
              </w:rPr>
            </w:pPr>
          </w:p>
        </w:tc>
      </w:tr>
      <w:tr w:rsidR="00D24B31" w14:paraId="3AB07716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FFE" w14:textId="01ACB7D8" w:rsidR="00D24B31" w:rsidRDefault="00D24B31" w:rsidP="00D24B31">
            <w:pPr>
              <w:spacing w:before="60" w:after="60"/>
              <w:rPr>
                <w:iCs/>
                <w:szCs w:val="22"/>
              </w:rPr>
            </w:pPr>
            <w:r w:rsidRPr="00062A9F">
              <w:rPr>
                <w:szCs w:val="22"/>
              </w:rPr>
              <w:t>Polysorbát 80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1ADD" w14:textId="77777777" w:rsidR="00D24B31" w:rsidRDefault="00D24B31" w:rsidP="00D24B31">
            <w:pPr>
              <w:spacing w:before="60" w:after="60"/>
              <w:rPr>
                <w:iCs/>
                <w:szCs w:val="22"/>
              </w:rPr>
            </w:pPr>
          </w:p>
        </w:tc>
      </w:tr>
      <w:tr w:rsidR="00D24B31" w14:paraId="25FC2EFD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D5FD" w14:textId="5A1594F7" w:rsidR="00D24B31" w:rsidRDefault="00D24B31" w:rsidP="00D24B31">
            <w:pPr>
              <w:spacing w:before="60" w:after="60"/>
              <w:rPr>
                <w:iCs/>
                <w:szCs w:val="22"/>
              </w:rPr>
            </w:pPr>
            <w:r w:rsidRPr="00062A9F">
              <w:rPr>
                <w:szCs w:val="22"/>
              </w:rPr>
              <w:t xml:space="preserve">Propylenglykol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1026" w14:textId="77777777" w:rsidR="00D24B31" w:rsidRDefault="00D24B31" w:rsidP="00D24B31">
            <w:pPr>
              <w:spacing w:before="60" w:after="60"/>
              <w:rPr>
                <w:iCs/>
                <w:szCs w:val="22"/>
              </w:rPr>
            </w:pPr>
          </w:p>
        </w:tc>
      </w:tr>
      <w:tr w:rsidR="00D24B31" w14:paraId="366B210A" w14:textId="77777777" w:rsidTr="00FB29C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26F3" w14:textId="09009AC0" w:rsidR="00D24B31" w:rsidRDefault="00D24B31" w:rsidP="00D24B31">
            <w:pPr>
              <w:spacing w:before="60" w:after="60"/>
              <w:rPr>
                <w:iCs/>
                <w:szCs w:val="22"/>
              </w:rPr>
            </w:pPr>
            <w:r w:rsidRPr="00062A9F">
              <w:rPr>
                <w:szCs w:val="22"/>
              </w:rPr>
              <w:t>Voda pro injekci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0E5F" w14:textId="77777777" w:rsidR="00D24B31" w:rsidRDefault="00D24B31" w:rsidP="00D24B3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36D8EDC" w14:textId="77777777" w:rsidR="009E66BA" w:rsidRPr="009E66BA" w:rsidRDefault="009E66BA" w:rsidP="009E66BA">
      <w:pPr>
        <w:tabs>
          <w:tab w:val="clear" w:pos="567"/>
        </w:tabs>
        <w:spacing w:line="240" w:lineRule="auto"/>
        <w:rPr>
          <w:b/>
          <w:szCs w:val="22"/>
        </w:rPr>
      </w:pPr>
    </w:p>
    <w:p w14:paraId="26649D54" w14:textId="385851BF" w:rsidR="008A05A3" w:rsidRPr="008A05A3" w:rsidRDefault="008A05A3" w:rsidP="008A05A3">
      <w:pPr>
        <w:tabs>
          <w:tab w:val="clear" w:pos="567"/>
        </w:tabs>
        <w:spacing w:line="240" w:lineRule="auto"/>
        <w:rPr>
          <w:szCs w:val="22"/>
        </w:rPr>
      </w:pPr>
      <w:bookmarkStart w:id="1" w:name="_Hlk213078824"/>
      <w:r w:rsidRPr="008A05A3">
        <w:rPr>
          <w:szCs w:val="22"/>
        </w:rPr>
        <w:t>Žlutá pasta</w:t>
      </w:r>
      <w:r w:rsidR="00C31874">
        <w:rPr>
          <w:szCs w:val="22"/>
        </w:rPr>
        <w:t>.</w:t>
      </w:r>
      <w:r w:rsidRPr="008A05A3">
        <w:rPr>
          <w:szCs w:val="22"/>
        </w:rPr>
        <w:t xml:space="preserve"> </w:t>
      </w:r>
    </w:p>
    <w:bookmarkEnd w:id="1"/>
    <w:p w14:paraId="59FC5113" w14:textId="77777777" w:rsidR="008A05A3" w:rsidRPr="00B41D57" w:rsidRDefault="008A05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D7" w14:textId="77777777" w:rsidR="00C114FF" w:rsidRPr="00B41D57" w:rsidRDefault="00BB7F5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42AE9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D9" w14:textId="77777777" w:rsidR="00C114FF" w:rsidRPr="00B41D57" w:rsidRDefault="00BB7F5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42AE9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A61FA" w14:textId="619AD8D9" w:rsidR="00F60D3C" w:rsidRPr="00F60D3C" w:rsidRDefault="00F60D3C" w:rsidP="00F60D3C">
      <w:pPr>
        <w:tabs>
          <w:tab w:val="clear" w:pos="567"/>
        </w:tabs>
        <w:spacing w:line="240" w:lineRule="auto"/>
        <w:rPr>
          <w:szCs w:val="22"/>
        </w:rPr>
      </w:pPr>
      <w:r w:rsidRPr="00F60D3C">
        <w:rPr>
          <w:szCs w:val="22"/>
        </w:rPr>
        <w:t>Koně</w:t>
      </w:r>
      <w:r w:rsidR="00C31874">
        <w:rPr>
          <w:szCs w:val="22"/>
        </w:rPr>
        <w:t>.</w:t>
      </w:r>
    </w:p>
    <w:p w14:paraId="28EFEBEB" w14:textId="77777777" w:rsidR="00F60D3C" w:rsidRPr="00B41D57" w:rsidRDefault="00F60D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DB" w14:textId="77777777" w:rsidR="00C114FF" w:rsidRPr="00B41D57" w:rsidRDefault="00BB7F5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42AE9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EE7F3" w14:textId="1E17960E" w:rsidR="00AB668B" w:rsidRPr="00AB668B" w:rsidRDefault="00AB668B" w:rsidP="00AB668B">
      <w:pPr>
        <w:tabs>
          <w:tab w:val="clear" w:pos="567"/>
        </w:tabs>
        <w:spacing w:line="240" w:lineRule="auto"/>
        <w:rPr>
          <w:szCs w:val="22"/>
        </w:rPr>
      </w:pPr>
      <w:r w:rsidRPr="00AB668B">
        <w:rPr>
          <w:szCs w:val="22"/>
        </w:rPr>
        <w:t xml:space="preserve">Léčba infekcí způsobených dospělými střevními stádii velkých </w:t>
      </w:r>
      <w:proofErr w:type="spellStart"/>
      <w:r w:rsidRPr="00AB668B">
        <w:rPr>
          <w:szCs w:val="22"/>
        </w:rPr>
        <w:t>strongylů</w:t>
      </w:r>
      <w:proofErr w:type="spellEnd"/>
      <w:r w:rsidRPr="00AB668B">
        <w:rPr>
          <w:szCs w:val="22"/>
        </w:rPr>
        <w:t xml:space="preserve"> (</w:t>
      </w:r>
      <w:proofErr w:type="spellStart"/>
      <w:proofErr w:type="gramStart"/>
      <w:r w:rsidRPr="00AB668B">
        <w:rPr>
          <w:i/>
          <w:szCs w:val="22"/>
        </w:rPr>
        <w:t>S.vulgaris</w:t>
      </w:r>
      <w:proofErr w:type="spellEnd"/>
      <w:proofErr w:type="gramEnd"/>
      <w:r w:rsidRPr="00AB668B">
        <w:rPr>
          <w:i/>
          <w:szCs w:val="22"/>
        </w:rPr>
        <w:t>, S. edentatus, S. equinus</w:t>
      </w:r>
      <w:r w:rsidRPr="00AB668B">
        <w:rPr>
          <w:szCs w:val="22"/>
        </w:rPr>
        <w:t>), malých strongylů (</w:t>
      </w:r>
      <w:r w:rsidRPr="00AB668B">
        <w:rPr>
          <w:i/>
          <w:szCs w:val="22"/>
        </w:rPr>
        <w:t xml:space="preserve">Triodontophorus </w:t>
      </w:r>
      <w:r w:rsidRPr="00AB668B">
        <w:rPr>
          <w:szCs w:val="22"/>
        </w:rPr>
        <w:t>spp</w:t>
      </w:r>
      <w:r w:rsidRPr="00AB668B">
        <w:rPr>
          <w:i/>
          <w:szCs w:val="22"/>
        </w:rPr>
        <w:t xml:space="preserve">., Cyathostomum </w:t>
      </w:r>
      <w:r w:rsidRPr="00AB668B">
        <w:rPr>
          <w:szCs w:val="22"/>
        </w:rPr>
        <w:t>spp.</w:t>
      </w:r>
      <w:r w:rsidRPr="00AB668B">
        <w:rPr>
          <w:i/>
          <w:szCs w:val="22"/>
        </w:rPr>
        <w:t xml:space="preserve">, Cylicocyclus </w:t>
      </w:r>
      <w:r w:rsidRPr="00AB668B">
        <w:rPr>
          <w:szCs w:val="22"/>
        </w:rPr>
        <w:t>spp</w:t>
      </w:r>
      <w:r w:rsidRPr="00AB668B">
        <w:rPr>
          <w:i/>
          <w:szCs w:val="22"/>
        </w:rPr>
        <w:t xml:space="preserve">., Cylicostephanus </w:t>
      </w:r>
      <w:r w:rsidRPr="00AB668B">
        <w:rPr>
          <w:szCs w:val="22"/>
        </w:rPr>
        <w:t>spp</w:t>
      </w:r>
      <w:r w:rsidRPr="00AB668B">
        <w:rPr>
          <w:i/>
          <w:szCs w:val="22"/>
        </w:rPr>
        <w:t>.</w:t>
      </w:r>
      <w:r w:rsidRPr="00AB668B">
        <w:rPr>
          <w:szCs w:val="22"/>
        </w:rPr>
        <w:t>,), roupů (</w:t>
      </w:r>
      <w:proofErr w:type="spellStart"/>
      <w:r w:rsidRPr="00AB668B">
        <w:rPr>
          <w:i/>
          <w:szCs w:val="22"/>
        </w:rPr>
        <w:t>Oxyuris</w:t>
      </w:r>
      <w:proofErr w:type="spellEnd"/>
      <w:r w:rsidRPr="00AB668B">
        <w:rPr>
          <w:i/>
          <w:szCs w:val="22"/>
        </w:rPr>
        <w:t xml:space="preserve"> </w:t>
      </w:r>
      <w:proofErr w:type="spellStart"/>
      <w:r w:rsidRPr="00AB668B">
        <w:rPr>
          <w:i/>
          <w:szCs w:val="22"/>
        </w:rPr>
        <w:t>equi</w:t>
      </w:r>
      <w:proofErr w:type="spellEnd"/>
      <w:r w:rsidRPr="00AB668B">
        <w:rPr>
          <w:szCs w:val="22"/>
        </w:rPr>
        <w:t>) a škrkavek (</w:t>
      </w:r>
      <w:proofErr w:type="spellStart"/>
      <w:r w:rsidRPr="00AB668B">
        <w:rPr>
          <w:i/>
          <w:szCs w:val="22"/>
        </w:rPr>
        <w:t>Parascaris</w:t>
      </w:r>
      <w:proofErr w:type="spellEnd"/>
      <w:r w:rsidRPr="00AB668B">
        <w:rPr>
          <w:i/>
          <w:szCs w:val="22"/>
        </w:rPr>
        <w:t xml:space="preserve"> </w:t>
      </w:r>
      <w:proofErr w:type="spellStart"/>
      <w:r w:rsidRPr="00AB668B">
        <w:rPr>
          <w:i/>
          <w:szCs w:val="22"/>
        </w:rPr>
        <w:t>equorum</w:t>
      </w:r>
      <w:proofErr w:type="spellEnd"/>
      <w:r w:rsidRPr="00AB668B">
        <w:rPr>
          <w:szCs w:val="22"/>
        </w:rPr>
        <w:t>).</w:t>
      </w:r>
    </w:p>
    <w:p w14:paraId="6F9DED3D" w14:textId="77777777" w:rsidR="00F60D3C" w:rsidRPr="00B41D57" w:rsidRDefault="00F60D3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AE9E1" w14:textId="77777777" w:rsidR="00C114FF" w:rsidRPr="00B41D57" w:rsidRDefault="00BB7F5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42AE9E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256C3A" w14:textId="77777777" w:rsidR="00D36171" w:rsidRPr="00D36171" w:rsidRDefault="00D36171" w:rsidP="00D36171">
      <w:pPr>
        <w:tabs>
          <w:tab w:val="clear" w:pos="567"/>
        </w:tabs>
        <w:spacing w:line="240" w:lineRule="auto"/>
        <w:rPr>
          <w:szCs w:val="22"/>
        </w:rPr>
      </w:pPr>
      <w:r w:rsidRPr="00D36171">
        <w:rPr>
          <w:szCs w:val="22"/>
        </w:rPr>
        <w:t>Nepoužívat u silně oslabených zvířat.</w:t>
      </w:r>
    </w:p>
    <w:p w14:paraId="242AE9E6" w14:textId="0E72AEBB" w:rsidR="00C114FF" w:rsidRDefault="00F82327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213078863"/>
      <w:r w:rsidRPr="00F82327">
        <w:rPr>
          <w:szCs w:val="22"/>
        </w:rPr>
        <w:t>Nepoužívat v případech přecitlivělosti na léčivou látku nebo na některou z pomocných látek.</w:t>
      </w:r>
    </w:p>
    <w:bookmarkEnd w:id="2"/>
    <w:p w14:paraId="1E8B660C" w14:textId="77777777" w:rsidR="00F82327" w:rsidRPr="00B41D57" w:rsidRDefault="00F823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E7" w14:textId="77777777" w:rsidR="00C114FF" w:rsidRPr="00B41D57" w:rsidRDefault="00BB7F5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242AE9E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342498" w14:textId="77777777" w:rsidR="00973C00" w:rsidRPr="00973C00" w:rsidRDefault="00973C00" w:rsidP="00973C00">
      <w:pPr>
        <w:spacing w:line="240" w:lineRule="auto"/>
        <w:contextualSpacing/>
        <w:rPr>
          <w:szCs w:val="22"/>
        </w:rPr>
      </w:pPr>
      <w:r w:rsidRPr="00973C00">
        <w:rPr>
          <w:szCs w:val="22"/>
          <w:lang w:eastAsia="cs-CZ"/>
        </w:rPr>
        <w:t>Je třeba vyhnout se následujícím postupům, poněvadž zvyšují riziko vzniku rezistence a mohly by v konečném důsledku vést k neúčinné terapii:</w:t>
      </w:r>
    </w:p>
    <w:p w14:paraId="1B6CE1A5" w14:textId="77777777" w:rsidR="00973C00" w:rsidRPr="00973C00" w:rsidRDefault="00973C00" w:rsidP="00973C00">
      <w:pPr>
        <w:spacing w:line="240" w:lineRule="auto"/>
        <w:contextualSpacing/>
        <w:rPr>
          <w:szCs w:val="22"/>
        </w:rPr>
      </w:pPr>
    </w:p>
    <w:p w14:paraId="3B192553" w14:textId="77777777" w:rsidR="00973C00" w:rsidRPr="00973C00" w:rsidRDefault="00973C00" w:rsidP="00973C00">
      <w:pPr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szCs w:val="22"/>
          <w:lang w:eastAsia="cs-CZ"/>
        </w:rPr>
      </w:pPr>
      <w:r w:rsidRPr="00973C00">
        <w:rPr>
          <w:szCs w:val="22"/>
          <w:lang w:eastAsia="cs-CZ"/>
        </w:rPr>
        <w:t xml:space="preserve">příliš častému a dlouhodobě opakujícímu se používání anthelmintik ze stejné skupiny, </w:t>
      </w:r>
    </w:p>
    <w:p w14:paraId="4EB9A556" w14:textId="415C9A09" w:rsidR="00973C00" w:rsidRPr="00973C00" w:rsidRDefault="00973C00" w:rsidP="00973C00">
      <w:pPr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contextualSpacing/>
        <w:rPr>
          <w:szCs w:val="22"/>
        </w:rPr>
      </w:pPr>
      <w:r w:rsidRPr="00973C00">
        <w:rPr>
          <w:szCs w:val="22"/>
          <w:lang w:eastAsia="cs-CZ"/>
        </w:rPr>
        <w:t>Poddávkování z důvodu špatného stanovení živé hmotnosti nebo chybného podání přípravku.</w:t>
      </w:r>
    </w:p>
    <w:p w14:paraId="4308B952" w14:textId="77777777" w:rsidR="00973C00" w:rsidRPr="00973C00" w:rsidRDefault="00973C00" w:rsidP="00973C00">
      <w:pPr>
        <w:spacing w:line="240" w:lineRule="auto"/>
        <w:contextualSpacing/>
        <w:rPr>
          <w:szCs w:val="22"/>
        </w:rPr>
      </w:pPr>
    </w:p>
    <w:p w14:paraId="40BA59E7" w14:textId="1999F63F" w:rsidR="00973C00" w:rsidRPr="00973C00" w:rsidRDefault="004019F2" w:rsidP="00973C00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Doporučuje se dále vyšetřovat klinické případy podezření na rezistenci k anthelmintikům pomocí vhodné diagnostické metody</w:t>
      </w:r>
      <w:r w:rsidR="00973C00" w:rsidRPr="00973C00">
        <w:rPr>
          <w:szCs w:val="22"/>
          <w:lang w:eastAsia="cs-CZ"/>
        </w:rPr>
        <w:t xml:space="preserve"> (např. </w:t>
      </w:r>
      <w:r>
        <w:rPr>
          <w:szCs w:val="22"/>
          <w:lang w:eastAsia="cs-CZ"/>
        </w:rPr>
        <w:t>t</w:t>
      </w:r>
      <w:r w:rsidR="00973C00" w:rsidRPr="00973C00">
        <w:rPr>
          <w:szCs w:val="22"/>
          <w:lang w:eastAsia="cs-CZ"/>
        </w:rPr>
        <w:t xml:space="preserve">estu redukce počtu </w:t>
      </w:r>
      <w:proofErr w:type="gramStart"/>
      <w:r w:rsidR="00973C00" w:rsidRPr="00973C00">
        <w:rPr>
          <w:szCs w:val="22"/>
          <w:lang w:eastAsia="cs-CZ"/>
        </w:rPr>
        <w:t>vajíček - FECRT</w:t>
      </w:r>
      <w:proofErr w:type="gramEnd"/>
      <w:r w:rsidR="00973C00" w:rsidRPr="00973C00">
        <w:rPr>
          <w:szCs w:val="22"/>
          <w:lang w:eastAsia="cs-CZ"/>
        </w:rPr>
        <w:t>). Tam, kde výsledky testu potvrzují rezistenci k určitému anthelmintiku, by mělo být použito anthelmintikum náležející do jiné skupiny a mající jiný způsob účinku.</w:t>
      </w:r>
    </w:p>
    <w:p w14:paraId="4817C7F6" w14:textId="50115148" w:rsidR="00973C00" w:rsidRPr="00973C00" w:rsidRDefault="004019F2" w:rsidP="00973C00">
      <w:pPr>
        <w:tabs>
          <w:tab w:val="clear" w:pos="567"/>
        </w:tabs>
        <w:spacing w:line="240" w:lineRule="auto"/>
        <w:rPr>
          <w:sz w:val="24"/>
          <w:szCs w:val="24"/>
          <w:lang w:eastAsia="cs-CZ"/>
        </w:rPr>
      </w:pPr>
      <w:bookmarkStart w:id="3" w:name="_Hlk214970450"/>
      <w:r>
        <w:rPr>
          <w:szCs w:val="22"/>
        </w:rPr>
        <w:t xml:space="preserve">U malých strongylidů u koní </w:t>
      </w:r>
      <w:r w:rsidRPr="00973C00">
        <w:rPr>
          <w:szCs w:val="22"/>
        </w:rPr>
        <w:t>z různých zemí včetně členských států EU</w:t>
      </w:r>
      <w:r>
        <w:rPr>
          <w:szCs w:val="22"/>
        </w:rPr>
        <w:t xml:space="preserve"> byla zaznamenána rezistence na </w:t>
      </w:r>
      <w:proofErr w:type="spellStart"/>
      <w:r>
        <w:rPr>
          <w:szCs w:val="22"/>
        </w:rPr>
        <w:t>pyrantel</w:t>
      </w:r>
      <w:bookmarkEnd w:id="3"/>
      <w:proofErr w:type="spellEnd"/>
      <w:r w:rsidR="00973C00" w:rsidRPr="00973C00">
        <w:rPr>
          <w:szCs w:val="22"/>
        </w:rPr>
        <w:t>.</w:t>
      </w:r>
      <w:r w:rsidR="00973C00" w:rsidRPr="00973C00" w:rsidDel="00BC4805">
        <w:rPr>
          <w:szCs w:val="22"/>
        </w:rPr>
        <w:t xml:space="preserve"> </w:t>
      </w:r>
      <w:r w:rsidR="00973C00" w:rsidRPr="00973C00">
        <w:rPr>
          <w:rFonts w:eastAsia="SimSun"/>
          <w:szCs w:val="22"/>
          <w:lang w:eastAsia="nl-NL"/>
        </w:rPr>
        <w:t xml:space="preserve">Proto </w:t>
      </w:r>
      <w:r>
        <w:rPr>
          <w:rFonts w:eastAsia="SimSun"/>
          <w:szCs w:val="22"/>
          <w:lang w:eastAsia="nl-NL"/>
        </w:rPr>
        <w:t xml:space="preserve">při </w:t>
      </w:r>
      <w:r w:rsidR="00973C00" w:rsidRPr="00973C00">
        <w:rPr>
          <w:rFonts w:eastAsia="SimSun"/>
          <w:szCs w:val="22"/>
          <w:lang w:eastAsia="nl-NL"/>
        </w:rPr>
        <w:t>použí</w:t>
      </w:r>
      <w:r>
        <w:rPr>
          <w:rFonts w:eastAsia="SimSun"/>
          <w:szCs w:val="22"/>
          <w:lang w:eastAsia="nl-NL"/>
        </w:rPr>
        <w:t>vání tohoto veterinárního léčivého</w:t>
      </w:r>
      <w:r w:rsidR="00973C00" w:rsidRPr="00973C00">
        <w:rPr>
          <w:rFonts w:eastAsia="SimSun"/>
          <w:szCs w:val="22"/>
          <w:lang w:eastAsia="nl-NL"/>
        </w:rPr>
        <w:t xml:space="preserve"> přípravku </w:t>
      </w:r>
      <w:r>
        <w:rPr>
          <w:rFonts w:eastAsia="SimSun"/>
          <w:szCs w:val="22"/>
          <w:lang w:eastAsia="nl-NL"/>
        </w:rPr>
        <w:t>je třeba vzít v úvahu</w:t>
      </w:r>
      <w:r w:rsidR="00973C00" w:rsidRPr="00973C00">
        <w:rPr>
          <w:rFonts w:eastAsia="SimSun"/>
          <w:szCs w:val="22"/>
          <w:lang w:eastAsia="nl-NL"/>
        </w:rPr>
        <w:t xml:space="preserve"> </w:t>
      </w:r>
      <w:r w:rsidR="00973C00" w:rsidRPr="00973C00">
        <w:rPr>
          <w:szCs w:val="22"/>
          <w:lang w:eastAsia="cs-CZ"/>
        </w:rPr>
        <w:t>místní epidemiologick</w:t>
      </w:r>
      <w:r>
        <w:rPr>
          <w:szCs w:val="22"/>
          <w:lang w:eastAsia="cs-CZ"/>
        </w:rPr>
        <w:t>ou</w:t>
      </w:r>
      <w:r w:rsidR="00973C00" w:rsidRPr="00973C00">
        <w:rPr>
          <w:szCs w:val="22"/>
          <w:lang w:eastAsia="cs-CZ"/>
        </w:rPr>
        <w:t xml:space="preserve"> informac</w:t>
      </w:r>
      <w:r>
        <w:rPr>
          <w:szCs w:val="22"/>
          <w:lang w:eastAsia="cs-CZ"/>
        </w:rPr>
        <w:t>i</w:t>
      </w:r>
      <w:r w:rsidR="00973C00" w:rsidRPr="00973C00">
        <w:rPr>
          <w:szCs w:val="22"/>
          <w:lang w:eastAsia="cs-CZ"/>
        </w:rPr>
        <w:t xml:space="preserve"> a odborné doporučení, jak</w:t>
      </w:r>
      <w:r w:rsidR="00AF5B94">
        <w:rPr>
          <w:szCs w:val="22"/>
          <w:lang w:eastAsia="cs-CZ"/>
        </w:rPr>
        <w:t>ým způsobem</w:t>
      </w:r>
      <w:r w:rsidR="00973C00" w:rsidRPr="00973C00">
        <w:rPr>
          <w:szCs w:val="22"/>
          <w:lang w:eastAsia="cs-CZ"/>
        </w:rPr>
        <w:t> omezit další selekci rezistence k anthelmintikům.</w:t>
      </w:r>
    </w:p>
    <w:p w14:paraId="5F1FCCD1" w14:textId="77777777" w:rsidR="00D36171" w:rsidRPr="00B41D57" w:rsidRDefault="00D36171">
      <w:pPr>
        <w:tabs>
          <w:tab w:val="clear" w:pos="567"/>
        </w:tabs>
        <w:spacing w:line="240" w:lineRule="auto"/>
        <w:rPr>
          <w:szCs w:val="22"/>
        </w:rPr>
      </w:pPr>
    </w:p>
    <w:p w14:paraId="242AE9ED" w14:textId="77777777" w:rsidR="00C114FF" w:rsidRPr="00B41D57" w:rsidRDefault="00BB7F5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42AE9E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AE9EF" w14:textId="77777777" w:rsidR="00C114FF" w:rsidRPr="00B41D57" w:rsidRDefault="00BB7F5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42AE9F0" w14:textId="43681ABC" w:rsidR="00C114FF" w:rsidRPr="00B41D57" w:rsidRDefault="00AF5B94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Stejný</w:t>
      </w:r>
      <w:r w:rsidR="001D54FD" w:rsidRPr="001D54FD">
        <w:rPr>
          <w:szCs w:val="22"/>
        </w:rPr>
        <w:t xml:space="preserve"> aplikátor by měl být používán pouze u zvířat stejného stáda, která jsou mezi sebou v přímém kontaktu.</w:t>
      </w:r>
    </w:p>
    <w:p w14:paraId="242AE9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9FB" w14:textId="77777777" w:rsidR="00C114FF" w:rsidRPr="00B41D57" w:rsidRDefault="00BB7F5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F52B929" w14:textId="77777777" w:rsidR="004F6E44" w:rsidRPr="004F6E44" w:rsidRDefault="004F6E44" w:rsidP="004F6E44">
      <w:pPr>
        <w:tabs>
          <w:tab w:val="clear" w:pos="567"/>
        </w:tabs>
        <w:spacing w:line="240" w:lineRule="auto"/>
        <w:rPr>
          <w:szCs w:val="22"/>
        </w:rPr>
      </w:pPr>
      <w:r w:rsidRPr="004F6E44">
        <w:rPr>
          <w:szCs w:val="22"/>
        </w:rPr>
        <w:t>Lidé se známou přecitlivělostí na pyrantel nebo na kteroukoli pomocnou látku by se měli vyhnout kontaktu s veterinárním léčivým přípravkem.</w:t>
      </w:r>
    </w:p>
    <w:p w14:paraId="43961C48" w14:textId="77777777" w:rsidR="004F6E44" w:rsidRPr="004F6E44" w:rsidRDefault="004F6E44" w:rsidP="004F6E44">
      <w:pPr>
        <w:tabs>
          <w:tab w:val="clear" w:pos="567"/>
        </w:tabs>
        <w:spacing w:line="240" w:lineRule="auto"/>
        <w:rPr>
          <w:szCs w:val="22"/>
        </w:rPr>
      </w:pPr>
      <w:r w:rsidRPr="004F6E44">
        <w:rPr>
          <w:szCs w:val="22"/>
        </w:rPr>
        <w:t xml:space="preserve">Zabraňte přímému kontaktu s pokožkou, sliznicí a očima. </w:t>
      </w:r>
    </w:p>
    <w:p w14:paraId="70C7CD72" w14:textId="77777777" w:rsidR="004F6E44" w:rsidRPr="004F6E44" w:rsidRDefault="004F6E44" w:rsidP="004F6E44">
      <w:pPr>
        <w:tabs>
          <w:tab w:val="clear" w:pos="567"/>
        </w:tabs>
        <w:spacing w:line="240" w:lineRule="auto"/>
        <w:rPr>
          <w:szCs w:val="22"/>
        </w:rPr>
      </w:pPr>
      <w:r w:rsidRPr="004F6E44">
        <w:rPr>
          <w:szCs w:val="22"/>
        </w:rPr>
        <w:t xml:space="preserve">V případě kontaktu s kůží, sliznicemi nebo očima zasažené místo intenzivně vyplachujte vodou. </w:t>
      </w:r>
    </w:p>
    <w:p w14:paraId="3C217FB5" w14:textId="0BD68780" w:rsidR="004F6E44" w:rsidRPr="003079D5" w:rsidRDefault="004F6E44" w:rsidP="004F6E44">
      <w:pPr>
        <w:tabs>
          <w:tab w:val="clear" w:pos="567"/>
        </w:tabs>
        <w:spacing w:line="240" w:lineRule="auto"/>
        <w:rPr>
          <w:szCs w:val="22"/>
        </w:rPr>
      </w:pPr>
      <w:r w:rsidRPr="004F6E44">
        <w:rPr>
          <w:szCs w:val="22"/>
        </w:rPr>
        <w:t xml:space="preserve">Při </w:t>
      </w:r>
      <w:r w:rsidR="004E5537">
        <w:rPr>
          <w:szCs w:val="22"/>
        </w:rPr>
        <w:t>nakládání</w:t>
      </w:r>
      <w:r w:rsidR="004E5537" w:rsidRPr="004F6E44">
        <w:rPr>
          <w:szCs w:val="22"/>
        </w:rPr>
        <w:t xml:space="preserve"> </w:t>
      </w:r>
      <w:r w:rsidRPr="004F6E44">
        <w:rPr>
          <w:szCs w:val="22"/>
        </w:rPr>
        <w:t xml:space="preserve">s </w:t>
      </w:r>
      <w:r w:rsidR="00056118" w:rsidRPr="00056118">
        <w:rPr>
          <w:szCs w:val="22"/>
        </w:rPr>
        <w:t>veterinárním léčivým</w:t>
      </w:r>
      <w:r w:rsidR="00056118" w:rsidRPr="00FB29C2">
        <w:rPr>
          <w:szCs w:val="22"/>
        </w:rPr>
        <w:t xml:space="preserve"> </w:t>
      </w:r>
      <w:r w:rsidRPr="004F6E44">
        <w:rPr>
          <w:szCs w:val="22"/>
        </w:rPr>
        <w:t>přípravkem nekuřte, nejezte ani nepijte.</w:t>
      </w:r>
    </w:p>
    <w:p w14:paraId="6C2D0ECE" w14:textId="77777777" w:rsidR="004F6E44" w:rsidRPr="004F6E44" w:rsidRDefault="004F6E44" w:rsidP="004F6E44">
      <w:pPr>
        <w:tabs>
          <w:tab w:val="clear" w:pos="567"/>
        </w:tabs>
        <w:spacing w:line="240" w:lineRule="auto"/>
        <w:rPr>
          <w:szCs w:val="22"/>
        </w:rPr>
      </w:pPr>
      <w:r w:rsidRPr="004F6E44">
        <w:rPr>
          <w:szCs w:val="22"/>
        </w:rPr>
        <w:t>Po použití si umyjte ruce.</w:t>
      </w:r>
    </w:p>
    <w:p w14:paraId="242AE9F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AEA15" w14:textId="77777777" w:rsidR="00295140" w:rsidRPr="00B41D57" w:rsidRDefault="00BB7F5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FF6AA5A" w14:textId="77777777" w:rsidR="009C4A8D" w:rsidRPr="009C4A8D" w:rsidRDefault="009C4A8D" w:rsidP="009C4A8D">
      <w:pPr>
        <w:tabs>
          <w:tab w:val="clear" w:pos="567"/>
        </w:tabs>
        <w:spacing w:line="240" w:lineRule="auto"/>
        <w:rPr>
          <w:szCs w:val="22"/>
        </w:rPr>
      </w:pPr>
      <w:r w:rsidRPr="009C4A8D">
        <w:rPr>
          <w:szCs w:val="22"/>
        </w:rPr>
        <w:t>Aby se zabránilo přímému uvolnění pyrantelu do životního prostředí, koně by neměli být vyváděni na pastviny po dobu 3 dnů od ošetření.</w:t>
      </w:r>
    </w:p>
    <w:p w14:paraId="6268D820" w14:textId="77777777" w:rsidR="001D3FE9" w:rsidRPr="00B41D57" w:rsidRDefault="001D3F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1B" w14:textId="77777777" w:rsidR="00C114FF" w:rsidRPr="00B41D57" w:rsidRDefault="00BB7F5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42AEA1C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F45FC3" w14:textId="57D891C0" w:rsidR="005958D0" w:rsidRDefault="005958D0" w:rsidP="005958D0">
      <w:pPr>
        <w:tabs>
          <w:tab w:val="clear" w:pos="567"/>
        </w:tabs>
        <w:spacing w:line="240" w:lineRule="auto"/>
      </w:pPr>
      <w:r w:rsidRPr="005958D0">
        <w:t>Koně</w:t>
      </w:r>
      <w:r>
        <w:t>:</w:t>
      </w:r>
    </w:p>
    <w:p w14:paraId="3598DB15" w14:textId="77777777" w:rsidR="005958D0" w:rsidRDefault="005958D0" w:rsidP="005958D0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F2DBD" w14:paraId="69B2E4A3" w14:textId="77777777" w:rsidTr="001F2DBD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AA1" w14:textId="77777777" w:rsidR="001F2DBD" w:rsidRDefault="001F2DBD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7C937F1A" w14:textId="77777777" w:rsidR="001F2DBD" w:rsidRDefault="001F2DBD">
            <w:pPr>
              <w:spacing w:before="60" w:after="60"/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503" w14:textId="46F23FA2" w:rsidR="001F2DBD" w:rsidRDefault="006C2E9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A86126" w:rsidRPr="00A86126">
              <w:rPr>
                <w:iCs/>
                <w:szCs w:val="22"/>
              </w:rPr>
              <w:t>valový třes</w:t>
            </w:r>
            <w:r w:rsidR="00896AE8" w:rsidRPr="00FB29C2">
              <w:rPr>
                <w:iCs/>
                <w:szCs w:val="22"/>
                <w:vertAlign w:val="superscript"/>
              </w:rPr>
              <w:t>1</w:t>
            </w:r>
            <w:r w:rsidR="00A86126" w:rsidRPr="00A86126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Z</w:t>
            </w:r>
            <w:r w:rsidR="00A86126" w:rsidRPr="00A86126">
              <w:rPr>
                <w:iCs/>
                <w:szCs w:val="22"/>
              </w:rPr>
              <w:t>výšené slinění</w:t>
            </w:r>
            <w:r w:rsidR="00896AE8" w:rsidRPr="00FB29C2">
              <w:rPr>
                <w:iCs/>
                <w:szCs w:val="22"/>
                <w:vertAlign w:val="superscript"/>
              </w:rPr>
              <w:t>1</w:t>
            </w:r>
            <w:r w:rsidR="00A86126" w:rsidRPr="00A86126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T</w:t>
            </w:r>
            <w:r w:rsidR="00A86126" w:rsidRPr="00A86126">
              <w:rPr>
                <w:iCs/>
                <w:szCs w:val="22"/>
              </w:rPr>
              <w:t>achypnoe</w:t>
            </w:r>
            <w:r w:rsidR="00896AE8" w:rsidRPr="00FB29C2">
              <w:rPr>
                <w:iCs/>
                <w:szCs w:val="22"/>
                <w:vertAlign w:val="superscript"/>
              </w:rPr>
              <w:t>1</w:t>
            </w:r>
            <w:r w:rsidR="00A86126" w:rsidRPr="00A86126">
              <w:rPr>
                <w:iCs/>
                <w:szCs w:val="22"/>
              </w:rPr>
              <w:t>,</w:t>
            </w:r>
            <w:r w:rsidR="00B17718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>P</w:t>
            </w:r>
            <w:r w:rsidR="00B17718" w:rsidRPr="00B17718">
              <w:rPr>
                <w:iCs/>
                <w:szCs w:val="22"/>
              </w:rPr>
              <w:t>růjem</w:t>
            </w:r>
            <w:r w:rsidR="00896AE8" w:rsidRPr="00FB29C2">
              <w:rPr>
                <w:iCs/>
                <w:szCs w:val="22"/>
                <w:vertAlign w:val="superscript"/>
              </w:rPr>
              <w:t>1</w:t>
            </w:r>
            <w:r w:rsidR="00B17718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S</w:t>
            </w:r>
            <w:r w:rsidRPr="006C2E9A">
              <w:rPr>
                <w:iCs/>
                <w:szCs w:val="22"/>
              </w:rPr>
              <w:t>nížená činnost cholinesterázy</w:t>
            </w:r>
            <w:r w:rsidR="00896AE8" w:rsidRPr="00FB29C2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74C2CB6D" w14:textId="732E1353" w:rsidR="005F74A6" w:rsidRPr="005F74A6" w:rsidRDefault="00645B7E" w:rsidP="005F74A6">
      <w:pPr>
        <w:tabs>
          <w:tab w:val="clear" w:pos="567"/>
        </w:tabs>
        <w:spacing w:line="240" w:lineRule="auto"/>
      </w:pPr>
      <w:r w:rsidRPr="00FB29C2">
        <w:rPr>
          <w:vertAlign w:val="superscript"/>
        </w:rPr>
        <w:t>1</w:t>
      </w:r>
      <w:r w:rsidR="005F74A6" w:rsidRPr="005F74A6">
        <w:t xml:space="preserve">U zvířat, která mají silnou infestaci endoparazity spojenou s lézemi střevní sliznice, může být absorpce pyrantelu zvýšena. </w:t>
      </w:r>
    </w:p>
    <w:p w14:paraId="70030776" w14:textId="77777777" w:rsidR="005F74A6" w:rsidRDefault="005F74A6" w:rsidP="005F74A6">
      <w:pPr>
        <w:tabs>
          <w:tab w:val="clear" w:pos="567"/>
        </w:tabs>
        <w:spacing w:line="240" w:lineRule="auto"/>
        <w:rPr>
          <w:szCs w:val="22"/>
        </w:rPr>
      </w:pPr>
    </w:p>
    <w:p w14:paraId="3741A9ED" w14:textId="56CB9348" w:rsidR="00CE2DF8" w:rsidRPr="00CE2DF8" w:rsidRDefault="00CE2DF8" w:rsidP="00CE2DF8">
      <w:pPr>
        <w:tabs>
          <w:tab w:val="clear" w:pos="567"/>
        </w:tabs>
        <w:spacing w:line="240" w:lineRule="auto"/>
        <w:rPr>
          <w:szCs w:val="22"/>
        </w:rPr>
      </w:pPr>
      <w:bookmarkStart w:id="4" w:name="_Hlk66891708"/>
      <w:r w:rsidRPr="00CE2DF8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5" w:name="_Hlk184130880"/>
      <w:r w:rsidRPr="00CE2DF8">
        <w:rPr>
          <w:szCs w:val="22"/>
        </w:rPr>
        <w:t>Podrobné kontaktní údaje naleznete</w:t>
      </w:r>
      <w:bookmarkEnd w:id="5"/>
      <w:r w:rsidRPr="00CE2DF8">
        <w:rPr>
          <w:szCs w:val="22"/>
        </w:rPr>
        <w:t xml:space="preserve"> v příbalové informaci.</w:t>
      </w:r>
      <w:bookmarkEnd w:id="4"/>
    </w:p>
    <w:p w14:paraId="3A4EB13A" w14:textId="77777777" w:rsidR="001D3FE9" w:rsidRPr="00B41D57" w:rsidRDefault="001D3FE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42AEA36" w14:textId="77777777" w:rsidR="00C114FF" w:rsidRPr="00B41D57" w:rsidRDefault="00BB7F5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42AEA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16E40F" w14:textId="6F660BE9" w:rsidR="007D6870" w:rsidRPr="007D6870" w:rsidRDefault="00F62801" w:rsidP="007D68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</w:t>
      </w:r>
      <w:r w:rsidR="007D6870" w:rsidRPr="007D6870">
        <w:rPr>
          <w:szCs w:val="22"/>
        </w:rPr>
        <w:t>ze použít během březosti a laktace.</w:t>
      </w:r>
    </w:p>
    <w:p w14:paraId="242AEA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4D" w14:textId="77777777" w:rsidR="00C114FF" w:rsidRPr="00B41D57" w:rsidRDefault="00BB7F5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242AEA4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3F7FFF" w14:textId="77777777" w:rsidR="00923739" w:rsidRPr="00923739" w:rsidRDefault="00923739" w:rsidP="00923739">
      <w:pPr>
        <w:tabs>
          <w:tab w:val="clear" w:pos="567"/>
        </w:tabs>
        <w:spacing w:line="240" w:lineRule="auto"/>
        <w:jc w:val="both"/>
      </w:pPr>
      <w:r w:rsidRPr="00923739">
        <w:t xml:space="preserve">Pyrantel by neměl být podáván současně s jinými parasympatomimetiky (např. levamisolem) nebo inhibitory cholinesterázy (např. organofosfátem). Specifická působení piperazinu mohou blokovat účinky pyrantelu (spastická paralýza parazitů). </w:t>
      </w:r>
    </w:p>
    <w:p w14:paraId="1637BF4B" w14:textId="77777777" w:rsidR="007D6870" w:rsidRPr="00B41D57" w:rsidRDefault="007D68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5E" w14:textId="77777777" w:rsidR="00C114FF" w:rsidRPr="00B41D57" w:rsidRDefault="00BB7F5C" w:rsidP="00B64F9C">
      <w:pPr>
        <w:pStyle w:val="Style1"/>
        <w:keepNext/>
      </w:pPr>
      <w:r w:rsidRPr="00B41D57">
        <w:t>3.9</w:t>
      </w:r>
      <w:r w:rsidRPr="00B41D57">
        <w:tab/>
        <w:t>Cesty podání a dávkování</w:t>
      </w:r>
    </w:p>
    <w:p w14:paraId="242AEA5F" w14:textId="77777777" w:rsidR="00145D34" w:rsidRPr="00B41D57" w:rsidRDefault="00145D34" w:rsidP="00B64F9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EAC9D9" w14:textId="1924CBE0" w:rsidR="00116B04" w:rsidRPr="00FB29C2" w:rsidRDefault="00AA3462" w:rsidP="00116B04">
      <w:pPr>
        <w:tabs>
          <w:tab w:val="clear" w:pos="567"/>
        </w:tabs>
        <w:spacing w:line="240" w:lineRule="auto"/>
        <w:rPr>
          <w:szCs w:val="22"/>
        </w:rPr>
      </w:pPr>
      <w:bookmarkStart w:id="6" w:name="_Hlk213077635"/>
      <w:r>
        <w:rPr>
          <w:szCs w:val="22"/>
        </w:rPr>
        <w:t>Pero</w:t>
      </w:r>
      <w:r w:rsidR="00116B04" w:rsidRPr="00116B04">
        <w:rPr>
          <w:szCs w:val="22"/>
        </w:rPr>
        <w:t xml:space="preserve">rální </w:t>
      </w:r>
      <w:r>
        <w:rPr>
          <w:szCs w:val="22"/>
        </w:rPr>
        <w:t>podání</w:t>
      </w:r>
      <w:r w:rsidR="00116B04" w:rsidRPr="00116B04">
        <w:rPr>
          <w:szCs w:val="22"/>
        </w:rPr>
        <w:t>.</w:t>
      </w:r>
    </w:p>
    <w:bookmarkEnd w:id="6"/>
    <w:p w14:paraId="19EA67D9" w14:textId="77777777" w:rsidR="00A674CD" w:rsidRPr="00A674CD" w:rsidRDefault="00A674CD" w:rsidP="00A674CD">
      <w:pPr>
        <w:tabs>
          <w:tab w:val="clear" w:pos="567"/>
        </w:tabs>
        <w:spacing w:line="240" w:lineRule="auto"/>
        <w:rPr>
          <w:szCs w:val="22"/>
        </w:rPr>
      </w:pPr>
    </w:p>
    <w:p w14:paraId="509EAB8D" w14:textId="0601DDE3" w:rsidR="00A674CD" w:rsidRPr="00A674CD" w:rsidRDefault="00A674CD" w:rsidP="00A674CD">
      <w:pPr>
        <w:tabs>
          <w:tab w:val="clear" w:pos="567"/>
        </w:tabs>
        <w:spacing w:line="240" w:lineRule="auto"/>
        <w:rPr>
          <w:szCs w:val="22"/>
        </w:rPr>
      </w:pPr>
      <w:r w:rsidRPr="00A674CD">
        <w:rPr>
          <w:szCs w:val="22"/>
        </w:rPr>
        <w:t xml:space="preserve">19,5 mg </w:t>
      </w:r>
      <w:proofErr w:type="spellStart"/>
      <w:r w:rsidRPr="00A674CD">
        <w:rPr>
          <w:szCs w:val="22"/>
        </w:rPr>
        <w:t>pyrantel-embonátu</w:t>
      </w:r>
      <w:proofErr w:type="spellEnd"/>
      <w:r w:rsidRPr="00A674CD">
        <w:rPr>
          <w:szCs w:val="22"/>
        </w:rPr>
        <w:t xml:space="preserve">/kg ž. hm. jednorázově, což odpovídá jednomu celému 27,5 g aplikátoru </w:t>
      </w:r>
      <w:r w:rsidR="008277DD" w:rsidRPr="008277DD">
        <w:rPr>
          <w:szCs w:val="22"/>
        </w:rPr>
        <w:t>veterinárního léčivého přípravku</w:t>
      </w:r>
      <w:r w:rsidRPr="00A674CD">
        <w:rPr>
          <w:szCs w:val="22"/>
        </w:rPr>
        <w:t xml:space="preserve"> pro 600 kg koně nebo jednomu celému 32,08 g aplikátoru pro 700 kg koně. </w:t>
      </w:r>
    </w:p>
    <w:p w14:paraId="72281124" w14:textId="77777777" w:rsidR="00A674CD" w:rsidRPr="00A674CD" w:rsidRDefault="00A674CD" w:rsidP="00A674CD">
      <w:pPr>
        <w:tabs>
          <w:tab w:val="clear" w:pos="567"/>
        </w:tabs>
        <w:spacing w:line="240" w:lineRule="auto"/>
        <w:rPr>
          <w:szCs w:val="22"/>
        </w:rPr>
      </w:pPr>
    </w:p>
    <w:p w14:paraId="062698E1" w14:textId="59852D8A" w:rsidR="00A674CD" w:rsidRPr="00A674CD" w:rsidRDefault="00A674CD" w:rsidP="00A674CD">
      <w:pPr>
        <w:tabs>
          <w:tab w:val="clear" w:pos="567"/>
        </w:tabs>
        <w:spacing w:line="240" w:lineRule="auto"/>
        <w:rPr>
          <w:szCs w:val="22"/>
        </w:rPr>
      </w:pPr>
      <w:r w:rsidRPr="00A674CD">
        <w:rPr>
          <w:szCs w:val="22"/>
        </w:rPr>
        <w:t>Pro zajištění správné</w:t>
      </w:r>
      <w:r w:rsidR="00822AF2">
        <w:rPr>
          <w:szCs w:val="22"/>
        </w:rPr>
        <w:t>ho</w:t>
      </w:r>
      <w:r w:rsidRPr="00A674CD">
        <w:rPr>
          <w:szCs w:val="22"/>
        </w:rPr>
        <w:t xml:space="preserve"> dávk</w:t>
      </w:r>
      <w:r w:rsidR="00822AF2">
        <w:rPr>
          <w:szCs w:val="22"/>
        </w:rPr>
        <w:t>ování</w:t>
      </w:r>
      <w:r w:rsidRPr="00A674CD">
        <w:rPr>
          <w:szCs w:val="22"/>
        </w:rPr>
        <w:t xml:space="preserve"> </w:t>
      </w:r>
      <w:r w:rsidR="00822AF2">
        <w:rPr>
          <w:szCs w:val="22"/>
        </w:rPr>
        <w:t>je třeba</w:t>
      </w:r>
      <w:r w:rsidRPr="00A674CD">
        <w:rPr>
          <w:szCs w:val="22"/>
        </w:rPr>
        <w:t xml:space="preserve"> co nejpřesněji stanov</w:t>
      </w:r>
      <w:r w:rsidR="00822AF2">
        <w:rPr>
          <w:szCs w:val="22"/>
        </w:rPr>
        <w:t>it</w:t>
      </w:r>
      <w:r w:rsidRPr="00A674CD">
        <w:rPr>
          <w:szCs w:val="22"/>
        </w:rPr>
        <w:t xml:space="preserve"> živ</w:t>
      </w:r>
      <w:r w:rsidR="00822AF2">
        <w:rPr>
          <w:szCs w:val="22"/>
        </w:rPr>
        <w:t>ou</w:t>
      </w:r>
      <w:r w:rsidRPr="00A674CD">
        <w:rPr>
          <w:szCs w:val="22"/>
        </w:rPr>
        <w:t xml:space="preserve"> hmotnost.</w:t>
      </w:r>
    </w:p>
    <w:p w14:paraId="11C39A87" w14:textId="77777777" w:rsidR="00A674CD" w:rsidRPr="00A674CD" w:rsidRDefault="00A674CD" w:rsidP="00A674CD">
      <w:pPr>
        <w:tabs>
          <w:tab w:val="clear" w:pos="567"/>
        </w:tabs>
        <w:spacing w:line="240" w:lineRule="auto"/>
        <w:rPr>
          <w:szCs w:val="22"/>
        </w:rPr>
      </w:pPr>
    </w:p>
    <w:p w14:paraId="180BD5A8" w14:textId="23835078" w:rsidR="00A674CD" w:rsidRPr="00A674CD" w:rsidRDefault="00822AF2" w:rsidP="00A674C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Pokud</w:t>
      </w:r>
      <w:r w:rsidR="00A674CD" w:rsidRPr="00A674CD">
        <w:rPr>
          <w:szCs w:val="22"/>
        </w:rPr>
        <w:t xml:space="preserve"> zvířata</w:t>
      </w:r>
      <w:r>
        <w:rPr>
          <w:szCs w:val="22"/>
        </w:rPr>
        <w:t xml:space="preserve"> mají být</w:t>
      </w:r>
      <w:r w:rsidR="00A674CD" w:rsidRPr="00A674CD">
        <w:rPr>
          <w:szCs w:val="22"/>
        </w:rPr>
        <w:t xml:space="preserve"> léčena spíše hromadně než individuálně, měly by být</w:t>
      </w:r>
      <w:r>
        <w:rPr>
          <w:szCs w:val="22"/>
        </w:rPr>
        <w:t xml:space="preserve"> vytvořeny přiměřeně homogenní</w:t>
      </w:r>
      <w:r w:rsidR="00A674CD" w:rsidRPr="00A674CD">
        <w:rPr>
          <w:szCs w:val="22"/>
        </w:rPr>
        <w:t xml:space="preserve"> skupiny </w:t>
      </w:r>
      <w:r>
        <w:rPr>
          <w:szCs w:val="22"/>
        </w:rPr>
        <w:t>po</w:t>
      </w:r>
      <w:r w:rsidR="00A674CD" w:rsidRPr="00A674CD">
        <w:rPr>
          <w:szCs w:val="22"/>
        </w:rPr>
        <w:t>dle jejich živé hmotnosti a dle toho dávkovány, aby se zabránilo poddávkování nebo předávkování.</w:t>
      </w:r>
    </w:p>
    <w:p w14:paraId="191052BE" w14:textId="77777777" w:rsidR="00A674CD" w:rsidRPr="00A674CD" w:rsidRDefault="00A674CD" w:rsidP="00A674CD">
      <w:pPr>
        <w:tabs>
          <w:tab w:val="clear" w:pos="567"/>
        </w:tabs>
        <w:spacing w:line="240" w:lineRule="auto"/>
        <w:rPr>
          <w:szCs w:val="22"/>
        </w:rPr>
      </w:pPr>
    </w:p>
    <w:p w14:paraId="16A05B16" w14:textId="7707DE30" w:rsidR="00181469" w:rsidRPr="00181469" w:rsidRDefault="00A674CD" w:rsidP="00181469">
      <w:pPr>
        <w:suppressAutoHyphens/>
        <w:jc w:val="both"/>
        <w:rPr>
          <w:spacing w:val="-3"/>
          <w:szCs w:val="22"/>
        </w:rPr>
      </w:pPr>
      <w:r w:rsidRPr="00A674CD">
        <w:rPr>
          <w:szCs w:val="22"/>
        </w:rPr>
        <w:t xml:space="preserve">Individuální dávku nastavte otáčením pojistného kroužku, dokud se kroužek nezarovná se stanovenou živou hmotností ošetřovaného zvířete. Každý stupeň </w:t>
      </w:r>
      <w:r w:rsidRPr="005D038F">
        <w:rPr>
          <w:szCs w:val="22"/>
        </w:rPr>
        <w:t>stříkačky j</w:t>
      </w:r>
      <w:r w:rsidRPr="00A674CD">
        <w:rPr>
          <w:szCs w:val="22"/>
        </w:rPr>
        <w:t>e určen na 50 kg živé hmotnosti. Vložte aplikátor do tlamy zvířete a vytlačte potřebnou dávku na kořen jazyka. Dbejte na to, aby byla</w:t>
      </w:r>
      <w:r w:rsidR="00181469" w:rsidRPr="00181469">
        <w:rPr>
          <w:szCs w:val="22"/>
        </w:rPr>
        <w:t xml:space="preserve"> stanovená dávka podána kompletně. Polknutí můžete v některých případech usnadnit tím, že koni zvednete hlavu.</w:t>
      </w:r>
      <w:r w:rsidR="00181469" w:rsidRPr="00181469">
        <w:t xml:space="preserve"> </w:t>
      </w:r>
    </w:p>
    <w:p w14:paraId="20D31477" w14:textId="77777777" w:rsidR="00181469" w:rsidRPr="00181469" w:rsidRDefault="00181469" w:rsidP="00181469">
      <w:pPr>
        <w:tabs>
          <w:tab w:val="clear" w:pos="567"/>
        </w:tabs>
        <w:spacing w:line="240" w:lineRule="auto"/>
        <w:jc w:val="both"/>
      </w:pPr>
    </w:p>
    <w:p w14:paraId="5CC4D8EB" w14:textId="77777777" w:rsidR="00181469" w:rsidRPr="00181469" w:rsidRDefault="00181469" w:rsidP="00181469">
      <w:pPr>
        <w:tabs>
          <w:tab w:val="clear" w:pos="567"/>
        </w:tabs>
        <w:suppressAutoHyphens/>
        <w:spacing w:line="240" w:lineRule="auto"/>
        <w:jc w:val="both"/>
        <w:rPr>
          <w:szCs w:val="22"/>
        </w:rPr>
      </w:pPr>
      <w:r w:rsidRPr="00181469">
        <w:rPr>
          <w:szCs w:val="22"/>
        </w:rPr>
        <w:t xml:space="preserve">Hříbata by měla být léčena nejdříve od 8 týdnů věku. </w:t>
      </w:r>
    </w:p>
    <w:p w14:paraId="06C29859" w14:textId="77777777" w:rsidR="00181469" w:rsidRPr="00181469" w:rsidRDefault="00181469" w:rsidP="00181469">
      <w:pPr>
        <w:tabs>
          <w:tab w:val="clear" w:pos="567"/>
        </w:tabs>
        <w:suppressAutoHyphens/>
        <w:spacing w:line="240" w:lineRule="auto"/>
        <w:jc w:val="both"/>
        <w:rPr>
          <w:szCs w:val="22"/>
        </w:rPr>
      </w:pPr>
    </w:p>
    <w:p w14:paraId="725B542A" w14:textId="77777777" w:rsidR="00181469" w:rsidRPr="00181469" w:rsidRDefault="00181469" w:rsidP="00181469">
      <w:pPr>
        <w:tabs>
          <w:tab w:val="clear" w:pos="567"/>
        </w:tabs>
        <w:suppressAutoHyphens/>
        <w:spacing w:line="240" w:lineRule="auto"/>
        <w:jc w:val="both"/>
        <w:rPr>
          <w:spacing w:val="-3"/>
          <w:szCs w:val="22"/>
        </w:rPr>
      </w:pPr>
      <w:r w:rsidRPr="00181469">
        <w:rPr>
          <w:szCs w:val="22"/>
        </w:rPr>
        <w:t xml:space="preserve">Programy dávkování by měly být upraveny podle národních nebo místních doporučení na základě místních epidemiologických podmínek. V případě kontrolních programů je třeba vzít v úvahu období znovuobnovení výskytu vajíček v trusu. </w:t>
      </w:r>
    </w:p>
    <w:p w14:paraId="34B8B430" w14:textId="0B977654" w:rsidR="00181469" w:rsidRPr="00181469" w:rsidRDefault="00181469" w:rsidP="00181469">
      <w:pPr>
        <w:tabs>
          <w:tab w:val="clear" w:pos="567"/>
        </w:tabs>
        <w:suppressAutoHyphens/>
        <w:spacing w:line="240" w:lineRule="auto"/>
        <w:jc w:val="both"/>
        <w:rPr>
          <w:iCs/>
          <w:szCs w:val="22"/>
        </w:rPr>
      </w:pPr>
      <w:r w:rsidRPr="00181469">
        <w:rPr>
          <w:iCs/>
          <w:szCs w:val="22"/>
        </w:rPr>
        <w:t xml:space="preserve">Po použití </w:t>
      </w:r>
      <w:r w:rsidR="00E72938">
        <w:rPr>
          <w:iCs/>
          <w:szCs w:val="22"/>
        </w:rPr>
        <w:t>znovu uzavřete</w:t>
      </w:r>
      <w:r w:rsidR="00822AF2" w:rsidRPr="00181469">
        <w:rPr>
          <w:iCs/>
          <w:szCs w:val="22"/>
        </w:rPr>
        <w:t xml:space="preserve"> </w:t>
      </w:r>
      <w:r w:rsidRPr="00181469">
        <w:rPr>
          <w:iCs/>
          <w:szCs w:val="22"/>
        </w:rPr>
        <w:t>víčk</w:t>
      </w:r>
      <w:r w:rsidR="00E72938">
        <w:rPr>
          <w:iCs/>
          <w:szCs w:val="22"/>
        </w:rPr>
        <w:t>em</w:t>
      </w:r>
      <w:r w:rsidRPr="00181469">
        <w:rPr>
          <w:iCs/>
          <w:szCs w:val="22"/>
        </w:rPr>
        <w:t>.</w:t>
      </w:r>
    </w:p>
    <w:p w14:paraId="18CF9391" w14:textId="77777777" w:rsidR="00A674CD" w:rsidRPr="00B41D57" w:rsidRDefault="00A674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6C" w14:textId="77777777" w:rsidR="00C114FF" w:rsidRPr="00B41D57" w:rsidRDefault="00BB7F5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42AEA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FCCEF" w14:textId="30E08BE0" w:rsidR="000D54E6" w:rsidRPr="000D54E6" w:rsidRDefault="00846273" w:rsidP="000D54E6">
      <w:pPr>
        <w:tabs>
          <w:tab w:val="clear" w:pos="567"/>
        </w:tabs>
        <w:spacing w:line="240" w:lineRule="auto"/>
        <w:rPr>
          <w:szCs w:val="22"/>
        </w:rPr>
      </w:pPr>
      <w:r w:rsidRPr="00846273">
        <w:rPr>
          <w:szCs w:val="22"/>
        </w:rPr>
        <w:t>Veterinární léčivý</w:t>
      </w:r>
      <w:r>
        <w:rPr>
          <w:szCs w:val="22"/>
        </w:rPr>
        <w:t xml:space="preserve"> p</w:t>
      </w:r>
      <w:r w:rsidRPr="000D54E6">
        <w:rPr>
          <w:szCs w:val="22"/>
        </w:rPr>
        <w:t xml:space="preserve">řípravek </w:t>
      </w:r>
      <w:r w:rsidR="000D54E6" w:rsidRPr="000D54E6">
        <w:rPr>
          <w:szCs w:val="22"/>
        </w:rPr>
        <w:t>je dobře snášen až do 6násobku doporučené léčebné dávky pro</w:t>
      </w:r>
      <w:r w:rsidR="00E72938">
        <w:rPr>
          <w:szCs w:val="22"/>
        </w:rPr>
        <w:t>ti</w:t>
      </w:r>
      <w:r w:rsidR="000D54E6" w:rsidRPr="000D54E6">
        <w:rPr>
          <w:szCs w:val="22"/>
        </w:rPr>
        <w:t xml:space="preserve"> hlístic</w:t>
      </w:r>
      <w:r w:rsidR="00E72938">
        <w:rPr>
          <w:szCs w:val="22"/>
        </w:rPr>
        <w:t>ím</w:t>
      </w:r>
      <w:r w:rsidR="000D54E6" w:rsidRPr="000D54E6">
        <w:rPr>
          <w:szCs w:val="22"/>
        </w:rPr>
        <w:t xml:space="preserve"> (117 mg/kg ž. hm.). V případě příznaků předávkování může být jako antidotum podán atropin.</w:t>
      </w:r>
    </w:p>
    <w:p w14:paraId="7520AA60" w14:textId="77777777" w:rsidR="00181469" w:rsidRPr="00B41D57" w:rsidRDefault="001814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6E" w14:textId="77777777" w:rsidR="009A6509" w:rsidRPr="00B41D57" w:rsidRDefault="00BB7F5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242AEA6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F0388D" w14:textId="6E362223" w:rsidR="002A3B08" w:rsidRPr="002A3B08" w:rsidRDefault="002A3B08" w:rsidP="002A3B08">
      <w:pPr>
        <w:tabs>
          <w:tab w:val="clear" w:pos="567"/>
        </w:tabs>
        <w:spacing w:line="240" w:lineRule="auto"/>
        <w:rPr>
          <w:szCs w:val="22"/>
        </w:rPr>
      </w:pPr>
      <w:r w:rsidRPr="002A3B08">
        <w:rPr>
          <w:szCs w:val="22"/>
        </w:rPr>
        <w:t>Neuplatňuje se.</w:t>
      </w:r>
    </w:p>
    <w:p w14:paraId="1E7EF966" w14:textId="77777777" w:rsidR="000D54E6" w:rsidRPr="00B41D57" w:rsidRDefault="000D54E6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42AEA7A" w14:textId="77777777" w:rsidR="00C114FF" w:rsidRPr="00B41D57" w:rsidRDefault="00BB7F5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42AEA7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A5E443" w14:textId="7086A553" w:rsidR="001654CA" w:rsidRPr="001654CA" w:rsidRDefault="001654CA" w:rsidP="001654CA">
      <w:pPr>
        <w:tabs>
          <w:tab w:val="clear" w:pos="567"/>
        </w:tabs>
        <w:spacing w:line="240" w:lineRule="auto"/>
        <w:rPr>
          <w:szCs w:val="22"/>
        </w:rPr>
      </w:pPr>
      <w:r w:rsidRPr="001654CA">
        <w:rPr>
          <w:szCs w:val="22"/>
        </w:rPr>
        <w:t xml:space="preserve">Maso: </w:t>
      </w:r>
      <w:r w:rsidRPr="001654CA">
        <w:rPr>
          <w:szCs w:val="22"/>
        </w:rPr>
        <w:tab/>
        <w:t>1 den</w:t>
      </w:r>
      <w:r w:rsidR="002A3B08">
        <w:rPr>
          <w:szCs w:val="22"/>
        </w:rPr>
        <w:t>.</w:t>
      </w:r>
    </w:p>
    <w:p w14:paraId="1B32E1C4" w14:textId="77777777" w:rsidR="001654CA" w:rsidRPr="001654CA" w:rsidRDefault="001654CA" w:rsidP="001654CA">
      <w:pPr>
        <w:tabs>
          <w:tab w:val="clear" w:pos="567"/>
        </w:tabs>
        <w:spacing w:line="240" w:lineRule="auto"/>
        <w:rPr>
          <w:szCs w:val="22"/>
        </w:rPr>
      </w:pPr>
      <w:r w:rsidRPr="001654CA">
        <w:rPr>
          <w:szCs w:val="22"/>
        </w:rPr>
        <w:t>Nepoužívat u klisen, jejichž mléko je určeno pro lidskou spotřebu.</w:t>
      </w:r>
    </w:p>
    <w:p w14:paraId="242AEA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87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88" w14:textId="544D875F" w:rsidR="00C114FF" w:rsidRDefault="00BB7F5C" w:rsidP="00AC6276">
      <w:pPr>
        <w:pStyle w:val="Style1"/>
        <w:keepNext/>
      </w:pPr>
      <w:r w:rsidRPr="00B41D57">
        <w:t>4.</w:t>
      </w:r>
      <w:r w:rsidRPr="00B41D57">
        <w:tab/>
        <w:t>FARMAKOLOGICKÉ</w:t>
      </w:r>
      <w:r w:rsidR="001654CA">
        <w:t xml:space="preserve"> </w:t>
      </w:r>
      <w:r w:rsidRPr="00B41D57">
        <w:t>INFORMACE</w:t>
      </w:r>
    </w:p>
    <w:p w14:paraId="3D4F3116" w14:textId="221AF036" w:rsidR="00AC7F18" w:rsidRDefault="00AC7F18" w:rsidP="00AC6276">
      <w:pPr>
        <w:pStyle w:val="Style1"/>
        <w:keepNext/>
      </w:pPr>
    </w:p>
    <w:p w14:paraId="7E7E0B93" w14:textId="0C116C38" w:rsidR="00AC7F18" w:rsidRPr="00AC7F18" w:rsidRDefault="00AC7F18" w:rsidP="00AC6276">
      <w:pPr>
        <w:pStyle w:val="Style1"/>
        <w:keepNext/>
        <w:rPr>
          <w:b w:val="0"/>
        </w:rPr>
      </w:pPr>
      <w:r>
        <w:t>4.1</w:t>
      </w:r>
      <w:r>
        <w:tab/>
        <w:t xml:space="preserve">ATCvet kód: </w:t>
      </w:r>
      <w:r>
        <w:rPr>
          <w:b w:val="0"/>
        </w:rPr>
        <w:t>QP52AF02</w:t>
      </w:r>
    </w:p>
    <w:p w14:paraId="242AEA89" w14:textId="77777777" w:rsidR="00C114FF" w:rsidRPr="00B41D57" w:rsidRDefault="00C114FF" w:rsidP="00AC627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2AEA8C" w14:textId="6322FB54" w:rsidR="00C114FF" w:rsidRPr="00B41D57" w:rsidRDefault="00BB7F5C" w:rsidP="00AC6276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42AEA8D" w14:textId="77777777" w:rsidR="00C114FF" w:rsidRDefault="00C114FF" w:rsidP="00AC627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FFAE094" w14:textId="77777777" w:rsidR="006F3667" w:rsidRPr="006F3667" w:rsidRDefault="006F3667" w:rsidP="006F3667">
      <w:pPr>
        <w:tabs>
          <w:tab w:val="clear" w:pos="567"/>
        </w:tabs>
        <w:spacing w:line="240" w:lineRule="auto"/>
        <w:rPr>
          <w:szCs w:val="22"/>
        </w:rPr>
      </w:pPr>
      <w:r w:rsidRPr="006F3667">
        <w:rPr>
          <w:szCs w:val="22"/>
        </w:rPr>
        <w:t>Pyrantel-embonát patří do tetrahydropyrimidinové skupiny anthelmintik. Pyrantel je po perorálním podání účinný vůči dospělcům různých gastrointestinálních hlístic u koní. Existují důkazy, že účinnost je zvýšenou peristaltikou snížena. Pyrantel-embonát je cholinergní agonista, který způsobuje depolarizaci neuromuskulární blokády se spastickou paralýzou. Peristaltikou jsou parazitické hlístice vyloučeny. Rezistence na pyrantel</w:t>
      </w:r>
      <w:r w:rsidRPr="006F3667">
        <w:rPr>
          <w:i/>
          <w:iCs/>
          <w:szCs w:val="22"/>
        </w:rPr>
        <w:t xml:space="preserve"> </w:t>
      </w:r>
      <w:r w:rsidRPr="006F3667">
        <w:rPr>
          <w:szCs w:val="22"/>
        </w:rPr>
        <w:t>byla hlášena u malých strongylů koní.</w:t>
      </w:r>
    </w:p>
    <w:p w14:paraId="511DD41F" w14:textId="77777777" w:rsidR="00C42E48" w:rsidRPr="00B41D57" w:rsidRDefault="00C42E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8E" w14:textId="41793CEC" w:rsidR="00C114FF" w:rsidRPr="00B41D57" w:rsidRDefault="00BB7F5C" w:rsidP="000E21E0">
      <w:pPr>
        <w:pStyle w:val="Style1"/>
        <w:keepNext/>
      </w:pPr>
      <w:r w:rsidRPr="00B41D57">
        <w:t>4.3</w:t>
      </w:r>
      <w:r w:rsidRPr="00B41D57">
        <w:tab/>
        <w:t>Farmakokinetika</w:t>
      </w:r>
    </w:p>
    <w:p w14:paraId="242AEA8F" w14:textId="77777777" w:rsidR="00C114FF" w:rsidRDefault="00C114FF" w:rsidP="000E21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C26357" w14:textId="1F3C66ED" w:rsidR="00AF1069" w:rsidRPr="00AF1069" w:rsidRDefault="00AF1069" w:rsidP="00AF1069">
      <w:pPr>
        <w:tabs>
          <w:tab w:val="clear" w:pos="567"/>
        </w:tabs>
        <w:spacing w:line="240" w:lineRule="auto"/>
        <w:rPr>
          <w:szCs w:val="22"/>
        </w:rPr>
      </w:pPr>
      <w:r w:rsidRPr="00AF1069">
        <w:rPr>
          <w:szCs w:val="22"/>
        </w:rPr>
        <w:t xml:space="preserve">Pyrantel-embonát je nerozpustná sůl. Není dobře absorbován ze střevního traktu koní (&lt;2 %).  Nejvyšší hladiny v krvi jsou dosaženy asi 24 hodin po podání. Rychle a téměř úplně se metabolizuje na řadu anthelminticky neaktivních metabolitů.  Hlavními metabolity jsou kyselina thiofen-akrylová, </w:t>
      </w:r>
      <w:r w:rsidRPr="00AF1069">
        <w:rPr>
          <w:szCs w:val="22"/>
        </w:rPr>
        <w:lastRenderedPageBreak/>
        <w:t xml:space="preserve">kyselina thiofen-karboxylová, kyselina levulová a N-methyl-1,3-propan-diamin. Pyrantel a jeho metabolity jsou distribuovány v celém organismu s nejvyššími koncentracemi (téměř pouze metabolity) v játrech a ledvinách a pouze </w:t>
      </w:r>
      <w:r w:rsidR="00B90C2C">
        <w:rPr>
          <w:szCs w:val="22"/>
        </w:rPr>
        <w:t>ve stopovém množství</w:t>
      </w:r>
      <w:r w:rsidR="00B90C2C" w:rsidRPr="00AF1069">
        <w:rPr>
          <w:szCs w:val="22"/>
        </w:rPr>
        <w:t xml:space="preserve"> </w:t>
      </w:r>
      <w:r w:rsidRPr="00AF1069">
        <w:rPr>
          <w:szCs w:val="22"/>
        </w:rPr>
        <w:t xml:space="preserve">ve svalech a v tuku. Pyrantel se vylučuje u koní více než z 90 % </w:t>
      </w:r>
      <w:r w:rsidR="00B87603">
        <w:rPr>
          <w:szCs w:val="22"/>
        </w:rPr>
        <w:t>trusem</w:t>
      </w:r>
      <w:r w:rsidRPr="00AF1069">
        <w:rPr>
          <w:szCs w:val="22"/>
        </w:rPr>
        <w:t xml:space="preserve">. Pyrantel ve formě metabolitů je vylučován z přibližně 90–95 % ledvinami. </w:t>
      </w:r>
    </w:p>
    <w:p w14:paraId="242AEA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93" w14:textId="77777777" w:rsidR="00C114FF" w:rsidRPr="00B41D57" w:rsidRDefault="00BB7F5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242AEA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95" w14:textId="77777777" w:rsidR="00C114FF" w:rsidRPr="00B41D57" w:rsidRDefault="00BB7F5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42AEA9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E3EB27" w14:textId="77777777" w:rsidR="009776B3" w:rsidRPr="009776B3" w:rsidRDefault="009776B3" w:rsidP="009776B3">
      <w:pPr>
        <w:tabs>
          <w:tab w:val="clear" w:pos="567"/>
        </w:tabs>
        <w:spacing w:line="240" w:lineRule="auto"/>
        <w:rPr>
          <w:szCs w:val="22"/>
        </w:rPr>
      </w:pPr>
      <w:r w:rsidRPr="009776B3">
        <w:rPr>
          <w:szCs w:val="22"/>
        </w:rPr>
        <w:t>Nejsou známy.</w:t>
      </w:r>
    </w:p>
    <w:p w14:paraId="242AEA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A4" w14:textId="77777777" w:rsidR="00C114FF" w:rsidRPr="00B41D57" w:rsidRDefault="00BB7F5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42AEAA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C8FF04" w14:textId="77777777" w:rsidR="00933B96" w:rsidRPr="00933B96" w:rsidRDefault="00933B96" w:rsidP="00933B96">
      <w:pPr>
        <w:tabs>
          <w:tab w:val="clear" w:pos="567"/>
        </w:tabs>
        <w:spacing w:line="240" w:lineRule="auto"/>
        <w:rPr>
          <w:szCs w:val="22"/>
        </w:rPr>
      </w:pPr>
      <w:r w:rsidRPr="00933B96">
        <w:rPr>
          <w:szCs w:val="22"/>
        </w:rPr>
        <w:t xml:space="preserve">Doba použitelnosti veterinárního léčivého přípravku v neporušeném obalu: </w:t>
      </w:r>
      <w:r w:rsidRPr="00933B96">
        <w:rPr>
          <w:szCs w:val="22"/>
        </w:rPr>
        <w:tab/>
        <w:t>3 roky.</w:t>
      </w:r>
    </w:p>
    <w:p w14:paraId="5EEC280C" w14:textId="77777777" w:rsidR="00933B96" w:rsidRPr="00933B96" w:rsidRDefault="00933B96" w:rsidP="00933B96">
      <w:pPr>
        <w:tabs>
          <w:tab w:val="clear" w:pos="567"/>
        </w:tabs>
        <w:spacing w:line="240" w:lineRule="auto"/>
        <w:rPr>
          <w:szCs w:val="22"/>
        </w:rPr>
      </w:pPr>
      <w:r w:rsidRPr="00933B96">
        <w:rPr>
          <w:szCs w:val="22"/>
        </w:rPr>
        <w:t xml:space="preserve">Doba použitelnosti po prvním otevření vnitřního obalu: </w:t>
      </w:r>
      <w:r w:rsidRPr="00933B96">
        <w:rPr>
          <w:szCs w:val="22"/>
        </w:rPr>
        <w:tab/>
      </w:r>
      <w:r w:rsidRPr="00933B96">
        <w:rPr>
          <w:szCs w:val="22"/>
        </w:rPr>
        <w:tab/>
      </w:r>
      <w:r w:rsidRPr="00933B96">
        <w:rPr>
          <w:szCs w:val="22"/>
        </w:rPr>
        <w:tab/>
      </w:r>
      <w:r w:rsidRPr="00933B96">
        <w:rPr>
          <w:szCs w:val="22"/>
        </w:rPr>
        <w:tab/>
        <w:t>28 dní.</w:t>
      </w:r>
    </w:p>
    <w:p w14:paraId="242AEAC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A834D" w14:textId="77777777" w:rsidR="00BE4D04" w:rsidRPr="00BE4D04" w:rsidRDefault="00BE4D04" w:rsidP="00BE4D04">
      <w:pPr>
        <w:tabs>
          <w:tab w:val="clear" w:pos="567"/>
        </w:tabs>
        <w:spacing w:line="240" w:lineRule="auto"/>
        <w:rPr>
          <w:b/>
          <w:szCs w:val="22"/>
        </w:rPr>
      </w:pPr>
      <w:r w:rsidRPr="00BE4D04">
        <w:rPr>
          <w:b/>
          <w:szCs w:val="22"/>
        </w:rPr>
        <w:t>5.3</w:t>
      </w:r>
      <w:r w:rsidRPr="00BE4D04">
        <w:rPr>
          <w:b/>
          <w:szCs w:val="22"/>
        </w:rPr>
        <w:tab/>
        <w:t>Zvláštní opatření pro uchovávání</w:t>
      </w:r>
    </w:p>
    <w:p w14:paraId="3A0177A9" w14:textId="77777777" w:rsidR="00A3419A" w:rsidRDefault="00A3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9FEAAA" w14:textId="77777777" w:rsidR="00916F6F" w:rsidRPr="00916F6F" w:rsidRDefault="00916F6F" w:rsidP="00916F6F">
      <w:pPr>
        <w:tabs>
          <w:tab w:val="clear" w:pos="567"/>
        </w:tabs>
        <w:spacing w:line="240" w:lineRule="auto"/>
        <w:rPr>
          <w:szCs w:val="22"/>
        </w:rPr>
      </w:pPr>
      <w:r w:rsidRPr="00916F6F">
        <w:rPr>
          <w:szCs w:val="22"/>
        </w:rPr>
        <w:t xml:space="preserve">Tento veterinární léčivý přípravek nevyžaduje žádné zvláštní podmínky uchovávání. </w:t>
      </w:r>
    </w:p>
    <w:p w14:paraId="74346CA6" w14:textId="77777777" w:rsidR="00BE4D04" w:rsidRPr="00B41D57" w:rsidRDefault="00BE4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CA" w14:textId="77777777" w:rsidR="00C114FF" w:rsidRPr="00B41D57" w:rsidRDefault="00BB7F5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42AEACB" w14:textId="77777777" w:rsidR="00C114FF" w:rsidRPr="00B41D57" w:rsidRDefault="00C114FF" w:rsidP="005E66FC">
      <w:pPr>
        <w:pStyle w:val="Style1"/>
      </w:pPr>
    </w:p>
    <w:p w14:paraId="54C15F56" w14:textId="66E78B8D" w:rsidR="004C7622" w:rsidRDefault="004C7622" w:rsidP="004C7622">
      <w:pPr>
        <w:tabs>
          <w:tab w:val="clear" w:pos="567"/>
        </w:tabs>
        <w:spacing w:line="240" w:lineRule="auto"/>
        <w:rPr>
          <w:szCs w:val="22"/>
        </w:rPr>
      </w:pPr>
      <w:r w:rsidRPr="004C7622">
        <w:rPr>
          <w:szCs w:val="22"/>
        </w:rPr>
        <w:t xml:space="preserve">30ml </w:t>
      </w:r>
      <w:r w:rsidRPr="00FB29C2">
        <w:rPr>
          <w:szCs w:val="22"/>
        </w:rPr>
        <w:t>injekční stříkačka</w:t>
      </w:r>
      <w:r w:rsidRPr="004C7622">
        <w:rPr>
          <w:szCs w:val="22"/>
        </w:rPr>
        <w:t xml:space="preserve"> obsahující 27</w:t>
      </w:r>
      <w:bookmarkStart w:id="7" w:name="_GoBack"/>
      <w:bookmarkEnd w:id="7"/>
      <w:r w:rsidRPr="004C7622">
        <w:rPr>
          <w:szCs w:val="22"/>
        </w:rPr>
        <w:t xml:space="preserve">,5 g nebo 32,08 g pasty, složená ze stříkačky z polyethylenu s nízkou hustotou (LDPE) s kalibrovaným pístem z LDPE, víčkem z LDPE a polystyrenovým pístem. </w:t>
      </w:r>
    </w:p>
    <w:p w14:paraId="37DA2E3E" w14:textId="77777777" w:rsidR="00A859E0" w:rsidRDefault="00A859E0" w:rsidP="004C7622">
      <w:pPr>
        <w:tabs>
          <w:tab w:val="clear" w:pos="567"/>
        </w:tabs>
        <w:spacing w:line="240" w:lineRule="auto"/>
        <w:rPr>
          <w:szCs w:val="22"/>
        </w:rPr>
      </w:pPr>
    </w:p>
    <w:p w14:paraId="7CAE27DE" w14:textId="77777777" w:rsidR="00DD2629" w:rsidRPr="00DD2629" w:rsidRDefault="00DD2629" w:rsidP="00DD2629">
      <w:pPr>
        <w:tabs>
          <w:tab w:val="clear" w:pos="567"/>
        </w:tabs>
        <w:spacing w:line="240" w:lineRule="auto"/>
        <w:rPr>
          <w:szCs w:val="22"/>
        </w:rPr>
      </w:pPr>
      <w:r w:rsidRPr="00DD2629">
        <w:rPr>
          <w:szCs w:val="22"/>
        </w:rPr>
        <w:t>Velikosti balení:</w:t>
      </w:r>
    </w:p>
    <w:p w14:paraId="403C6D87" w14:textId="77777777" w:rsidR="00DD2629" w:rsidRPr="00DD2629" w:rsidRDefault="00DD2629" w:rsidP="00DD2629">
      <w:pPr>
        <w:tabs>
          <w:tab w:val="clear" w:pos="567"/>
        </w:tabs>
        <w:spacing w:line="240" w:lineRule="auto"/>
        <w:rPr>
          <w:szCs w:val="22"/>
        </w:rPr>
      </w:pPr>
      <w:r w:rsidRPr="00DD2629">
        <w:rPr>
          <w:szCs w:val="22"/>
        </w:rPr>
        <w:t>Kartonová krabička s 1, 10 nebo 20 aplikátory obsahujícími 27,5 g pasty.</w:t>
      </w:r>
    </w:p>
    <w:p w14:paraId="3EFB7E6D" w14:textId="77777777" w:rsidR="00DD2629" w:rsidRPr="00FB29C2" w:rsidRDefault="00DD2629" w:rsidP="00DD2629">
      <w:pPr>
        <w:tabs>
          <w:tab w:val="clear" w:pos="567"/>
        </w:tabs>
        <w:spacing w:line="240" w:lineRule="auto"/>
        <w:rPr>
          <w:szCs w:val="22"/>
        </w:rPr>
      </w:pPr>
      <w:r w:rsidRPr="00DD2629">
        <w:rPr>
          <w:szCs w:val="22"/>
        </w:rPr>
        <w:t>Kartonová krabička s 1, 10 nebo 20 aplikátory obsahujícími 32,08 g pasty.</w:t>
      </w:r>
    </w:p>
    <w:p w14:paraId="19733BBD" w14:textId="77777777" w:rsidR="004C7622" w:rsidRPr="004C7622" w:rsidRDefault="004C7622" w:rsidP="004C7622">
      <w:pPr>
        <w:tabs>
          <w:tab w:val="clear" w:pos="567"/>
        </w:tabs>
        <w:spacing w:line="240" w:lineRule="auto"/>
        <w:rPr>
          <w:szCs w:val="22"/>
        </w:rPr>
      </w:pPr>
    </w:p>
    <w:p w14:paraId="74C77ECC" w14:textId="77777777" w:rsidR="004C7622" w:rsidRPr="004C7622" w:rsidRDefault="004C7622" w:rsidP="004C7622">
      <w:pPr>
        <w:tabs>
          <w:tab w:val="clear" w:pos="567"/>
        </w:tabs>
        <w:spacing w:line="240" w:lineRule="auto"/>
        <w:rPr>
          <w:szCs w:val="22"/>
        </w:rPr>
      </w:pPr>
      <w:r w:rsidRPr="004C7622">
        <w:rPr>
          <w:szCs w:val="22"/>
        </w:rPr>
        <w:t>Na trhu nemusí být všechny velikosti balení.</w:t>
      </w:r>
    </w:p>
    <w:p w14:paraId="143071F6" w14:textId="77777777" w:rsidR="00933B96" w:rsidRPr="00B41D57" w:rsidRDefault="00933B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CE" w14:textId="77777777" w:rsidR="00C114FF" w:rsidRPr="00B41D57" w:rsidRDefault="00BB7F5C" w:rsidP="000E21E0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42AEACF" w14:textId="77777777" w:rsidR="00C114FF" w:rsidRPr="00B41D57" w:rsidRDefault="00C114FF" w:rsidP="000E21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6A48AF" w14:textId="5AAB5D4A" w:rsidR="00FB5B09" w:rsidRDefault="00FB5B09" w:rsidP="00FB5B09">
      <w:pPr>
        <w:rPr>
          <w:szCs w:val="22"/>
        </w:rPr>
      </w:pPr>
      <w:r>
        <w:t>Léčivé přípravky se nesmí likvidovat prostřednictvím odpadní vody či domovního odpadu.</w:t>
      </w:r>
    </w:p>
    <w:p w14:paraId="1F0BD493" w14:textId="77777777" w:rsidR="00842292" w:rsidRPr="007B4766" w:rsidRDefault="00842292" w:rsidP="007B4766">
      <w:pPr>
        <w:tabs>
          <w:tab w:val="clear" w:pos="567"/>
        </w:tabs>
        <w:spacing w:line="240" w:lineRule="auto"/>
        <w:rPr>
          <w:szCs w:val="22"/>
        </w:rPr>
      </w:pPr>
    </w:p>
    <w:p w14:paraId="409749F8" w14:textId="77777777" w:rsidR="00842292" w:rsidRDefault="00842292" w:rsidP="00842292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42AEAD5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42AEA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D7" w14:textId="77777777" w:rsidR="00C114FF" w:rsidRPr="00B41D57" w:rsidRDefault="00BB7F5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42AEAD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3F727B" w14:textId="77777777" w:rsidR="007C4740" w:rsidRPr="007C4740" w:rsidRDefault="007C4740" w:rsidP="007C4740">
      <w:pPr>
        <w:tabs>
          <w:tab w:val="clear" w:pos="567"/>
        </w:tabs>
        <w:spacing w:line="240" w:lineRule="auto"/>
      </w:pPr>
      <w:r w:rsidRPr="007C4740">
        <w:t>Bimeda Animal Health Limited</w:t>
      </w:r>
    </w:p>
    <w:p w14:paraId="242AEADA" w14:textId="3AC00DD1" w:rsidR="00C114FF" w:rsidRPr="00B41D57" w:rsidRDefault="00C114FF" w:rsidP="007C4740">
      <w:pPr>
        <w:tabs>
          <w:tab w:val="clear" w:pos="567"/>
        </w:tabs>
        <w:spacing w:line="240" w:lineRule="auto"/>
        <w:rPr>
          <w:szCs w:val="22"/>
        </w:rPr>
      </w:pPr>
    </w:p>
    <w:p w14:paraId="65A547F1" w14:textId="77777777" w:rsidR="007C4740" w:rsidRPr="00B41D57" w:rsidRDefault="007C47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DC" w14:textId="77777777" w:rsidR="00C114FF" w:rsidRPr="00B41D57" w:rsidRDefault="00BB7F5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42AEA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5E35F4" w14:textId="77777777" w:rsidR="00947DDD" w:rsidRPr="00947DDD" w:rsidRDefault="00947DDD" w:rsidP="00947DDD">
      <w:pPr>
        <w:tabs>
          <w:tab w:val="clear" w:pos="567"/>
        </w:tabs>
        <w:spacing w:line="240" w:lineRule="auto"/>
        <w:rPr>
          <w:szCs w:val="22"/>
        </w:rPr>
      </w:pPr>
      <w:bookmarkStart w:id="8" w:name="_Hlk213144135"/>
      <w:r w:rsidRPr="00947DDD">
        <w:rPr>
          <w:szCs w:val="22"/>
        </w:rPr>
        <w:t>96/048/19-C</w:t>
      </w:r>
    </w:p>
    <w:bookmarkEnd w:id="8"/>
    <w:p w14:paraId="242AEAD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1CE71" w14:textId="77777777" w:rsidR="00947DDD" w:rsidRPr="00B41D57" w:rsidRDefault="00947D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DF" w14:textId="77777777" w:rsidR="00C114FF" w:rsidRPr="00B41D57" w:rsidRDefault="00BB7F5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42AEA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D2BD18" w14:textId="01D097E4" w:rsidR="006066B7" w:rsidRPr="006066B7" w:rsidRDefault="00393851" w:rsidP="006066B7">
      <w:pPr>
        <w:tabs>
          <w:tab w:val="clear" w:pos="567"/>
        </w:tabs>
        <w:spacing w:line="240" w:lineRule="auto"/>
        <w:rPr>
          <w:szCs w:val="22"/>
        </w:rPr>
      </w:pPr>
      <w:r w:rsidRPr="00393851">
        <w:rPr>
          <w:szCs w:val="22"/>
        </w:rPr>
        <w:t xml:space="preserve">Datum první registrace: </w:t>
      </w:r>
      <w:r w:rsidR="006066B7" w:rsidRPr="006066B7">
        <w:rPr>
          <w:szCs w:val="22"/>
        </w:rPr>
        <w:t>25. 6. 2019</w:t>
      </w:r>
    </w:p>
    <w:p w14:paraId="242AEAE1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E4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E5" w14:textId="77777777" w:rsidR="00C114FF" w:rsidRPr="00B41D57" w:rsidRDefault="00BB7F5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42AEAE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D3EC9E" w14:textId="5FBF32C6" w:rsidR="00AF25B4" w:rsidRPr="00AF25B4" w:rsidRDefault="00393851" w:rsidP="00AF25B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5D038F">
        <w:rPr>
          <w:szCs w:val="22"/>
        </w:rPr>
        <w:t>2</w:t>
      </w:r>
      <w:r>
        <w:rPr>
          <w:szCs w:val="22"/>
        </w:rPr>
        <w:t>/2025</w:t>
      </w:r>
    </w:p>
    <w:p w14:paraId="242AEAF1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F2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AEAF3" w14:textId="77777777" w:rsidR="00C114FF" w:rsidRPr="00B41D57" w:rsidRDefault="00BB7F5C" w:rsidP="00785486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42AEAF4" w14:textId="77777777" w:rsidR="0078538F" w:rsidRPr="00B41D57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6E2B463D" w14:textId="77777777" w:rsidR="00DB6B42" w:rsidRPr="00DB6B42" w:rsidRDefault="00DB6B42" w:rsidP="00FB29C2">
      <w:pPr>
        <w:rPr>
          <w:szCs w:val="22"/>
        </w:rPr>
      </w:pPr>
      <w:bookmarkStart w:id="9" w:name="_Hlk73467306"/>
      <w:r w:rsidRPr="00DB6B42">
        <w:rPr>
          <w:szCs w:val="22"/>
        </w:rPr>
        <w:t>Veterinární léčivý přípravek je vydáván pouze na předpis.</w:t>
      </w:r>
    </w:p>
    <w:p w14:paraId="242AEAF9" w14:textId="14D9833D" w:rsidR="0078538F" w:rsidRPr="00B41D57" w:rsidRDefault="0078538F" w:rsidP="00FB29C2">
      <w:pPr>
        <w:rPr>
          <w:szCs w:val="22"/>
        </w:rPr>
      </w:pPr>
    </w:p>
    <w:bookmarkEnd w:id="9"/>
    <w:p w14:paraId="66EC6918" w14:textId="3377638E" w:rsidR="00DA7B56" w:rsidRDefault="00DA7B56" w:rsidP="00785486">
      <w:pPr>
        <w:tabs>
          <w:tab w:val="clear" w:pos="567"/>
        </w:tabs>
        <w:spacing w:line="240" w:lineRule="auto"/>
        <w:rPr>
          <w:i/>
        </w:rPr>
      </w:pPr>
      <w:r w:rsidRPr="00DA7B56">
        <w:t>Podrobné informace o tomto veterinárním léčivém přípravku jsou k dispozici v databázi přípravků Unie (</w:t>
      </w:r>
      <w:hyperlink r:id="rId11" w:history="1">
        <w:r w:rsidRPr="00DA7B56">
          <w:rPr>
            <w:rStyle w:val="Hypertextovodkaz"/>
          </w:rPr>
          <w:t>https://medicines.health.europa.eu/veterinary</w:t>
        </w:r>
      </w:hyperlink>
      <w:r w:rsidRPr="00DA7B56">
        <w:t>)</w:t>
      </w:r>
      <w:r w:rsidRPr="00DA7B56">
        <w:rPr>
          <w:i/>
        </w:rPr>
        <w:t>.</w:t>
      </w:r>
    </w:p>
    <w:p w14:paraId="0632FD61" w14:textId="6D2F2DF4" w:rsidR="0078491A" w:rsidRDefault="0078491A">
      <w:pPr>
        <w:tabs>
          <w:tab w:val="clear" w:pos="567"/>
        </w:tabs>
        <w:spacing w:line="240" w:lineRule="auto"/>
      </w:pPr>
    </w:p>
    <w:p w14:paraId="777BC487" w14:textId="77777777" w:rsidR="0078491A" w:rsidRPr="00C672C7" w:rsidRDefault="0078491A">
      <w:pPr>
        <w:spacing w:line="240" w:lineRule="auto"/>
      </w:pPr>
      <w:bookmarkStart w:id="10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0"/>
    <w:p w14:paraId="4602E0ED" w14:textId="77777777" w:rsidR="0078491A" w:rsidRPr="00DA7B56" w:rsidRDefault="0078491A">
      <w:pPr>
        <w:tabs>
          <w:tab w:val="clear" w:pos="567"/>
        </w:tabs>
        <w:spacing w:line="240" w:lineRule="auto"/>
      </w:pPr>
    </w:p>
    <w:p w14:paraId="242AECD9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D075E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6808" w14:textId="77777777" w:rsidR="00FE679F" w:rsidRDefault="00FE679F">
      <w:pPr>
        <w:spacing w:line="240" w:lineRule="auto"/>
      </w:pPr>
      <w:r>
        <w:separator/>
      </w:r>
    </w:p>
  </w:endnote>
  <w:endnote w:type="continuationSeparator" w:id="0">
    <w:p w14:paraId="409050CB" w14:textId="77777777" w:rsidR="00FE679F" w:rsidRDefault="00FE6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EDB3" w14:textId="77777777" w:rsidR="00165F25" w:rsidRPr="00E0068C" w:rsidRDefault="00BB7F5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EDB4" w14:textId="77777777" w:rsidR="00165F25" w:rsidRPr="00E0068C" w:rsidRDefault="00BB7F5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3496D" w14:textId="77777777" w:rsidR="00FE679F" w:rsidRDefault="00FE679F">
      <w:pPr>
        <w:spacing w:line="240" w:lineRule="auto"/>
      </w:pPr>
      <w:r>
        <w:separator/>
      </w:r>
    </w:p>
  </w:footnote>
  <w:footnote w:type="continuationSeparator" w:id="0">
    <w:p w14:paraId="7846EB91" w14:textId="77777777" w:rsidR="00FE679F" w:rsidRDefault="00FE6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3910" w14:textId="77777777" w:rsidR="00C9250D" w:rsidRDefault="00C925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F340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2C6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CA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0A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8F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C4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28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47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C819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729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0F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23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C5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E62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1A9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AD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60B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5509F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A4D5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8062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75CCF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72CC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60A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E4A9E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22E6E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A9202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D70AD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4E6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3B2CF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6CDA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9CAD4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DE059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E0E9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BE011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FC0D5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2240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672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8C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E6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CC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C1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6C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EB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26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32E3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440E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6D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80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6C7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27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68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CD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640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1B0FC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0447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C02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9CD6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7028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B8B0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D2A5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783D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E42C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BF25F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D324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A2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0F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87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48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0B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F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06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08283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0228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7043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468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69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01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A1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0A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42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D4858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B24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D24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CE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AF4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8A4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69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A3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244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E9C77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06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A5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820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EE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40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8D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87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727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AAC85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E5A0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740F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DDCE5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0EB5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02D3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38097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3A255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6AD2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B6280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1C3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2F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24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C57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845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03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8A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984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544C3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9424B72" w:tentative="1">
      <w:start w:val="1"/>
      <w:numFmt w:val="lowerLetter"/>
      <w:lvlText w:val="%2."/>
      <w:lvlJc w:val="left"/>
      <w:pPr>
        <w:ind w:left="1440" w:hanging="360"/>
      </w:pPr>
    </w:lvl>
    <w:lvl w:ilvl="2" w:tplc="ED22C200" w:tentative="1">
      <w:start w:val="1"/>
      <w:numFmt w:val="lowerRoman"/>
      <w:lvlText w:val="%3."/>
      <w:lvlJc w:val="right"/>
      <w:pPr>
        <w:ind w:left="2160" w:hanging="180"/>
      </w:pPr>
    </w:lvl>
    <w:lvl w:ilvl="3" w:tplc="16AC2C18" w:tentative="1">
      <w:start w:val="1"/>
      <w:numFmt w:val="decimal"/>
      <w:lvlText w:val="%4."/>
      <w:lvlJc w:val="left"/>
      <w:pPr>
        <w:ind w:left="2880" w:hanging="360"/>
      </w:pPr>
    </w:lvl>
    <w:lvl w:ilvl="4" w:tplc="EA02F086" w:tentative="1">
      <w:start w:val="1"/>
      <w:numFmt w:val="lowerLetter"/>
      <w:lvlText w:val="%5."/>
      <w:lvlJc w:val="left"/>
      <w:pPr>
        <w:ind w:left="3600" w:hanging="360"/>
      </w:pPr>
    </w:lvl>
    <w:lvl w:ilvl="5" w:tplc="DBF61230" w:tentative="1">
      <w:start w:val="1"/>
      <w:numFmt w:val="lowerRoman"/>
      <w:lvlText w:val="%6."/>
      <w:lvlJc w:val="right"/>
      <w:pPr>
        <w:ind w:left="4320" w:hanging="180"/>
      </w:pPr>
    </w:lvl>
    <w:lvl w:ilvl="6" w:tplc="139EF98E" w:tentative="1">
      <w:start w:val="1"/>
      <w:numFmt w:val="decimal"/>
      <w:lvlText w:val="%7."/>
      <w:lvlJc w:val="left"/>
      <w:pPr>
        <w:ind w:left="5040" w:hanging="360"/>
      </w:pPr>
    </w:lvl>
    <w:lvl w:ilvl="7" w:tplc="79EA6476" w:tentative="1">
      <w:start w:val="1"/>
      <w:numFmt w:val="lowerLetter"/>
      <w:lvlText w:val="%8."/>
      <w:lvlJc w:val="left"/>
      <w:pPr>
        <w:ind w:left="5760" w:hanging="360"/>
      </w:pPr>
    </w:lvl>
    <w:lvl w:ilvl="8" w:tplc="9536B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8229A"/>
    <w:multiLevelType w:val="hybridMultilevel"/>
    <w:tmpl w:val="0D4A16CC"/>
    <w:lvl w:ilvl="0" w:tplc="FFFFFFFF">
      <w:start w:val="4"/>
      <w:numFmt w:val="bullet"/>
      <w:lvlText w:val="-"/>
      <w:lvlJc w:val="left"/>
      <w:pPr>
        <w:ind w:left="3545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305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7BC0FE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E4A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05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C4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8F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240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A7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89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221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C9AC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86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A61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4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A8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09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E8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AC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E4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3ECB7E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7EE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02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E6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CA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AAB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03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05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DEB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D764BEE8">
      <w:start w:val="1"/>
      <w:numFmt w:val="decimal"/>
      <w:lvlText w:val="%1."/>
      <w:lvlJc w:val="left"/>
      <w:pPr>
        <w:ind w:left="720" w:hanging="360"/>
      </w:pPr>
    </w:lvl>
    <w:lvl w:ilvl="1" w:tplc="799236B8" w:tentative="1">
      <w:start w:val="1"/>
      <w:numFmt w:val="lowerLetter"/>
      <w:lvlText w:val="%2."/>
      <w:lvlJc w:val="left"/>
      <w:pPr>
        <w:ind w:left="1440" w:hanging="360"/>
      </w:pPr>
    </w:lvl>
    <w:lvl w:ilvl="2" w:tplc="7B5296D6" w:tentative="1">
      <w:start w:val="1"/>
      <w:numFmt w:val="lowerRoman"/>
      <w:lvlText w:val="%3."/>
      <w:lvlJc w:val="right"/>
      <w:pPr>
        <w:ind w:left="2160" w:hanging="180"/>
      </w:pPr>
    </w:lvl>
    <w:lvl w:ilvl="3" w:tplc="09427A34" w:tentative="1">
      <w:start w:val="1"/>
      <w:numFmt w:val="decimal"/>
      <w:lvlText w:val="%4."/>
      <w:lvlJc w:val="left"/>
      <w:pPr>
        <w:ind w:left="2880" w:hanging="360"/>
      </w:pPr>
    </w:lvl>
    <w:lvl w:ilvl="4" w:tplc="AA5E7714" w:tentative="1">
      <w:start w:val="1"/>
      <w:numFmt w:val="lowerLetter"/>
      <w:lvlText w:val="%5."/>
      <w:lvlJc w:val="left"/>
      <w:pPr>
        <w:ind w:left="3600" w:hanging="360"/>
      </w:pPr>
    </w:lvl>
    <w:lvl w:ilvl="5" w:tplc="CE309B4A" w:tentative="1">
      <w:start w:val="1"/>
      <w:numFmt w:val="lowerRoman"/>
      <w:lvlText w:val="%6."/>
      <w:lvlJc w:val="right"/>
      <w:pPr>
        <w:ind w:left="4320" w:hanging="180"/>
      </w:pPr>
    </w:lvl>
    <w:lvl w:ilvl="6" w:tplc="FDE0176C" w:tentative="1">
      <w:start w:val="1"/>
      <w:numFmt w:val="decimal"/>
      <w:lvlText w:val="%7."/>
      <w:lvlJc w:val="left"/>
      <w:pPr>
        <w:ind w:left="5040" w:hanging="360"/>
      </w:pPr>
    </w:lvl>
    <w:lvl w:ilvl="7" w:tplc="EC7E5E54" w:tentative="1">
      <w:start w:val="1"/>
      <w:numFmt w:val="lowerLetter"/>
      <w:lvlText w:val="%8."/>
      <w:lvlJc w:val="left"/>
      <w:pPr>
        <w:ind w:left="5760" w:hanging="360"/>
      </w:pPr>
    </w:lvl>
    <w:lvl w:ilvl="8" w:tplc="263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2126F5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8EAE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B4C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EE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8E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76F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CC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86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0E3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4F28"/>
    <w:rsid w:val="00036C50"/>
    <w:rsid w:val="00040371"/>
    <w:rsid w:val="00052D2B"/>
    <w:rsid w:val="00054F55"/>
    <w:rsid w:val="00056118"/>
    <w:rsid w:val="00056EE7"/>
    <w:rsid w:val="00061D96"/>
    <w:rsid w:val="000623CE"/>
    <w:rsid w:val="00062945"/>
    <w:rsid w:val="00063946"/>
    <w:rsid w:val="0006412F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5C"/>
    <w:rsid w:val="000A1DF5"/>
    <w:rsid w:val="000B7873"/>
    <w:rsid w:val="000C006B"/>
    <w:rsid w:val="000C02A1"/>
    <w:rsid w:val="000C1D4F"/>
    <w:rsid w:val="000C3ED7"/>
    <w:rsid w:val="000C55E6"/>
    <w:rsid w:val="000C687A"/>
    <w:rsid w:val="000D54E6"/>
    <w:rsid w:val="000D67D0"/>
    <w:rsid w:val="000E115E"/>
    <w:rsid w:val="000E195C"/>
    <w:rsid w:val="000E21E0"/>
    <w:rsid w:val="000E3602"/>
    <w:rsid w:val="000E44B0"/>
    <w:rsid w:val="000E705A"/>
    <w:rsid w:val="000E7EF9"/>
    <w:rsid w:val="000F38DA"/>
    <w:rsid w:val="000F5822"/>
    <w:rsid w:val="000F796B"/>
    <w:rsid w:val="001000B6"/>
    <w:rsid w:val="0010031E"/>
    <w:rsid w:val="001012EB"/>
    <w:rsid w:val="00102BA9"/>
    <w:rsid w:val="001078D1"/>
    <w:rsid w:val="00110DA8"/>
    <w:rsid w:val="00111185"/>
    <w:rsid w:val="00115782"/>
    <w:rsid w:val="00115BD5"/>
    <w:rsid w:val="00116067"/>
    <w:rsid w:val="00116B04"/>
    <w:rsid w:val="001214EE"/>
    <w:rsid w:val="001242DF"/>
    <w:rsid w:val="00124F36"/>
    <w:rsid w:val="00125666"/>
    <w:rsid w:val="00125775"/>
    <w:rsid w:val="001259E3"/>
    <w:rsid w:val="00125C80"/>
    <w:rsid w:val="00136DCF"/>
    <w:rsid w:val="0013799F"/>
    <w:rsid w:val="00140DF6"/>
    <w:rsid w:val="001455C0"/>
    <w:rsid w:val="00145C3F"/>
    <w:rsid w:val="00145D34"/>
    <w:rsid w:val="00146284"/>
    <w:rsid w:val="0014690F"/>
    <w:rsid w:val="0015098E"/>
    <w:rsid w:val="00153B3A"/>
    <w:rsid w:val="001627AD"/>
    <w:rsid w:val="00164543"/>
    <w:rsid w:val="00164C48"/>
    <w:rsid w:val="001654CA"/>
    <w:rsid w:val="00165F25"/>
    <w:rsid w:val="001674D3"/>
    <w:rsid w:val="00174721"/>
    <w:rsid w:val="00175264"/>
    <w:rsid w:val="001803D2"/>
    <w:rsid w:val="00181469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DA2"/>
    <w:rsid w:val="001A0E2C"/>
    <w:rsid w:val="001A1228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FE9"/>
    <w:rsid w:val="001D4CE4"/>
    <w:rsid w:val="001D54FD"/>
    <w:rsid w:val="001D6052"/>
    <w:rsid w:val="001D6D96"/>
    <w:rsid w:val="001E1090"/>
    <w:rsid w:val="001E29CD"/>
    <w:rsid w:val="001E3CCA"/>
    <w:rsid w:val="001E5621"/>
    <w:rsid w:val="001F11C5"/>
    <w:rsid w:val="001F1C7E"/>
    <w:rsid w:val="001F2DBD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4AC"/>
    <w:rsid w:val="00265656"/>
    <w:rsid w:val="00265E77"/>
    <w:rsid w:val="00266155"/>
    <w:rsid w:val="0027270B"/>
    <w:rsid w:val="00272952"/>
    <w:rsid w:val="00272B36"/>
    <w:rsid w:val="00274442"/>
    <w:rsid w:val="00274D17"/>
    <w:rsid w:val="00276640"/>
    <w:rsid w:val="00277658"/>
    <w:rsid w:val="00282E7B"/>
    <w:rsid w:val="002838C8"/>
    <w:rsid w:val="00287017"/>
    <w:rsid w:val="00290805"/>
    <w:rsid w:val="00290C2A"/>
    <w:rsid w:val="002931DD"/>
    <w:rsid w:val="00295140"/>
    <w:rsid w:val="002A0E7C"/>
    <w:rsid w:val="002A0EED"/>
    <w:rsid w:val="002A21ED"/>
    <w:rsid w:val="002A25FD"/>
    <w:rsid w:val="002A3B08"/>
    <w:rsid w:val="002A3F88"/>
    <w:rsid w:val="002A710D"/>
    <w:rsid w:val="002A7642"/>
    <w:rsid w:val="002B06B8"/>
    <w:rsid w:val="002B0F11"/>
    <w:rsid w:val="002B23C2"/>
    <w:rsid w:val="002B2E17"/>
    <w:rsid w:val="002B49F5"/>
    <w:rsid w:val="002B6560"/>
    <w:rsid w:val="002B6599"/>
    <w:rsid w:val="002B664F"/>
    <w:rsid w:val="002B75B2"/>
    <w:rsid w:val="002C1F27"/>
    <w:rsid w:val="002C55FF"/>
    <w:rsid w:val="002C592B"/>
    <w:rsid w:val="002D300D"/>
    <w:rsid w:val="002E0CD4"/>
    <w:rsid w:val="002E3A90"/>
    <w:rsid w:val="002E42A4"/>
    <w:rsid w:val="002E46CC"/>
    <w:rsid w:val="002E4F48"/>
    <w:rsid w:val="002E57C5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9D5"/>
    <w:rsid w:val="00307EB2"/>
    <w:rsid w:val="0031032B"/>
    <w:rsid w:val="00315B9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456"/>
    <w:rsid w:val="00341866"/>
    <w:rsid w:val="00342C0C"/>
    <w:rsid w:val="003535E0"/>
    <w:rsid w:val="003543AC"/>
    <w:rsid w:val="00354F1B"/>
    <w:rsid w:val="00355AB8"/>
    <w:rsid w:val="00355D02"/>
    <w:rsid w:val="00361607"/>
    <w:rsid w:val="00365C0D"/>
    <w:rsid w:val="00366F56"/>
    <w:rsid w:val="00367F82"/>
    <w:rsid w:val="0037032C"/>
    <w:rsid w:val="003737C8"/>
    <w:rsid w:val="00373E5F"/>
    <w:rsid w:val="0037589D"/>
    <w:rsid w:val="00376BB1"/>
    <w:rsid w:val="00377E23"/>
    <w:rsid w:val="00380765"/>
    <w:rsid w:val="00380F64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BF1"/>
    <w:rsid w:val="00393851"/>
    <w:rsid w:val="00393E09"/>
    <w:rsid w:val="003959D5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557"/>
    <w:rsid w:val="003C3E0E"/>
    <w:rsid w:val="003C64A5"/>
    <w:rsid w:val="003C7F47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1DC"/>
    <w:rsid w:val="004019F2"/>
    <w:rsid w:val="00403629"/>
    <w:rsid w:val="00406F33"/>
    <w:rsid w:val="00407C22"/>
    <w:rsid w:val="00412BBE"/>
    <w:rsid w:val="00414942"/>
    <w:rsid w:val="00414B20"/>
    <w:rsid w:val="0041628A"/>
    <w:rsid w:val="004168D4"/>
    <w:rsid w:val="00417DE3"/>
    <w:rsid w:val="00420850"/>
    <w:rsid w:val="00423968"/>
    <w:rsid w:val="004257AF"/>
    <w:rsid w:val="00427054"/>
    <w:rsid w:val="004304B1"/>
    <w:rsid w:val="00430F3B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3E7"/>
    <w:rsid w:val="00461B2A"/>
    <w:rsid w:val="004620A4"/>
    <w:rsid w:val="0047432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C7622"/>
    <w:rsid w:val="004D2601"/>
    <w:rsid w:val="004D3E58"/>
    <w:rsid w:val="004D6746"/>
    <w:rsid w:val="004D767B"/>
    <w:rsid w:val="004D7FB4"/>
    <w:rsid w:val="004E0F32"/>
    <w:rsid w:val="004E23A1"/>
    <w:rsid w:val="004E493C"/>
    <w:rsid w:val="004E5537"/>
    <w:rsid w:val="004E623E"/>
    <w:rsid w:val="004E7092"/>
    <w:rsid w:val="004E7ECE"/>
    <w:rsid w:val="004F4DB1"/>
    <w:rsid w:val="004F6E44"/>
    <w:rsid w:val="004F6F64"/>
    <w:rsid w:val="005004EC"/>
    <w:rsid w:val="0050083E"/>
    <w:rsid w:val="00501054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F48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26D6"/>
    <w:rsid w:val="005958D0"/>
    <w:rsid w:val="005A30AB"/>
    <w:rsid w:val="005A4CBE"/>
    <w:rsid w:val="005A7B42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0D8"/>
    <w:rsid w:val="005D038F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E56"/>
    <w:rsid w:val="005F2FAD"/>
    <w:rsid w:val="005F346D"/>
    <w:rsid w:val="005F38FB"/>
    <w:rsid w:val="005F74A6"/>
    <w:rsid w:val="0060201F"/>
    <w:rsid w:val="00602D3B"/>
    <w:rsid w:val="0060326F"/>
    <w:rsid w:val="00606071"/>
    <w:rsid w:val="006066B7"/>
    <w:rsid w:val="006066DF"/>
    <w:rsid w:val="00606EA1"/>
    <w:rsid w:val="006128F0"/>
    <w:rsid w:val="00616F9E"/>
    <w:rsid w:val="0061726B"/>
    <w:rsid w:val="00617591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9B0"/>
    <w:rsid w:val="00641F52"/>
    <w:rsid w:val="006432F2"/>
    <w:rsid w:val="00645B7E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2843"/>
    <w:rsid w:val="006A41E9"/>
    <w:rsid w:val="006B12CB"/>
    <w:rsid w:val="006B196F"/>
    <w:rsid w:val="006B2030"/>
    <w:rsid w:val="006B3017"/>
    <w:rsid w:val="006B5916"/>
    <w:rsid w:val="006C2E9A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F74"/>
    <w:rsid w:val="006F148B"/>
    <w:rsid w:val="006F3667"/>
    <w:rsid w:val="006F5D41"/>
    <w:rsid w:val="00705EAF"/>
    <w:rsid w:val="0070773E"/>
    <w:rsid w:val="007101CC"/>
    <w:rsid w:val="00711974"/>
    <w:rsid w:val="00715C55"/>
    <w:rsid w:val="00722D51"/>
    <w:rsid w:val="00724E3B"/>
    <w:rsid w:val="00725EEA"/>
    <w:rsid w:val="007276B6"/>
    <w:rsid w:val="00730908"/>
    <w:rsid w:val="00730CE9"/>
    <w:rsid w:val="00730F85"/>
    <w:rsid w:val="0073373D"/>
    <w:rsid w:val="007340C4"/>
    <w:rsid w:val="00736B1E"/>
    <w:rsid w:val="0073774D"/>
    <w:rsid w:val="007439DB"/>
    <w:rsid w:val="007464DA"/>
    <w:rsid w:val="007568D8"/>
    <w:rsid w:val="007616B4"/>
    <w:rsid w:val="00765316"/>
    <w:rsid w:val="00767600"/>
    <w:rsid w:val="007708C8"/>
    <w:rsid w:val="00770C20"/>
    <w:rsid w:val="0077719D"/>
    <w:rsid w:val="00780DF0"/>
    <w:rsid w:val="007810B7"/>
    <w:rsid w:val="00782F0F"/>
    <w:rsid w:val="0078491A"/>
    <w:rsid w:val="0078538F"/>
    <w:rsid w:val="00785486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4766"/>
    <w:rsid w:val="007B646D"/>
    <w:rsid w:val="007B72E1"/>
    <w:rsid w:val="007B783A"/>
    <w:rsid w:val="007C1B95"/>
    <w:rsid w:val="007C3DF3"/>
    <w:rsid w:val="007C4740"/>
    <w:rsid w:val="007C796D"/>
    <w:rsid w:val="007D687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389A"/>
    <w:rsid w:val="0080514E"/>
    <w:rsid w:val="008066AD"/>
    <w:rsid w:val="008123C9"/>
    <w:rsid w:val="00812CD8"/>
    <w:rsid w:val="00813A04"/>
    <w:rsid w:val="008145D9"/>
    <w:rsid w:val="00814AF1"/>
    <w:rsid w:val="0081517F"/>
    <w:rsid w:val="00815370"/>
    <w:rsid w:val="00816811"/>
    <w:rsid w:val="0082153D"/>
    <w:rsid w:val="00822AF2"/>
    <w:rsid w:val="008255AA"/>
    <w:rsid w:val="008277DD"/>
    <w:rsid w:val="00830304"/>
    <w:rsid w:val="00830FF3"/>
    <w:rsid w:val="008334BF"/>
    <w:rsid w:val="00836B8C"/>
    <w:rsid w:val="00840062"/>
    <w:rsid w:val="008410C5"/>
    <w:rsid w:val="00842292"/>
    <w:rsid w:val="00846273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EDA"/>
    <w:rsid w:val="008947AE"/>
    <w:rsid w:val="00894E3A"/>
    <w:rsid w:val="00895A2F"/>
    <w:rsid w:val="00896108"/>
    <w:rsid w:val="00896AE8"/>
    <w:rsid w:val="00896EBD"/>
    <w:rsid w:val="008A026F"/>
    <w:rsid w:val="008A05A3"/>
    <w:rsid w:val="008A2F03"/>
    <w:rsid w:val="008A5665"/>
    <w:rsid w:val="008B24A8"/>
    <w:rsid w:val="008B25E4"/>
    <w:rsid w:val="008B3D78"/>
    <w:rsid w:val="008B721A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C6C"/>
    <w:rsid w:val="008E17C4"/>
    <w:rsid w:val="008E45C4"/>
    <w:rsid w:val="008E64B1"/>
    <w:rsid w:val="008E64FA"/>
    <w:rsid w:val="008E74ED"/>
    <w:rsid w:val="008E7ED6"/>
    <w:rsid w:val="008F450A"/>
    <w:rsid w:val="008F4DEF"/>
    <w:rsid w:val="008F5A0B"/>
    <w:rsid w:val="00903D0D"/>
    <w:rsid w:val="009048E1"/>
    <w:rsid w:val="0090598C"/>
    <w:rsid w:val="00905CAB"/>
    <w:rsid w:val="009071BB"/>
    <w:rsid w:val="00913885"/>
    <w:rsid w:val="00915ABF"/>
    <w:rsid w:val="00916F6F"/>
    <w:rsid w:val="00921CAD"/>
    <w:rsid w:val="00923739"/>
    <w:rsid w:val="009311ED"/>
    <w:rsid w:val="00931D41"/>
    <w:rsid w:val="00933B96"/>
    <w:rsid w:val="00933D18"/>
    <w:rsid w:val="009343C1"/>
    <w:rsid w:val="00942221"/>
    <w:rsid w:val="00947DDD"/>
    <w:rsid w:val="00950FBB"/>
    <w:rsid w:val="00951118"/>
    <w:rsid w:val="0095122F"/>
    <w:rsid w:val="00953349"/>
    <w:rsid w:val="009538A4"/>
    <w:rsid w:val="00953E4C"/>
    <w:rsid w:val="00954E0C"/>
    <w:rsid w:val="00957D74"/>
    <w:rsid w:val="00960B2E"/>
    <w:rsid w:val="00961156"/>
    <w:rsid w:val="00962494"/>
    <w:rsid w:val="00964F03"/>
    <w:rsid w:val="00966F1F"/>
    <w:rsid w:val="00973C00"/>
    <w:rsid w:val="00975676"/>
    <w:rsid w:val="00976467"/>
    <w:rsid w:val="00976D32"/>
    <w:rsid w:val="009776B3"/>
    <w:rsid w:val="009844F7"/>
    <w:rsid w:val="00991D5D"/>
    <w:rsid w:val="009938F7"/>
    <w:rsid w:val="00995A7D"/>
    <w:rsid w:val="009A05AA"/>
    <w:rsid w:val="009A0BA4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A8D"/>
    <w:rsid w:val="009C6BFB"/>
    <w:rsid w:val="009D0C05"/>
    <w:rsid w:val="009D3FE3"/>
    <w:rsid w:val="009E1B96"/>
    <w:rsid w:val="009E21A6"/>
    <w:rsid w:val="009E24B7"/>
    <w:rsid w:val="009E2C00"/>
    <w:rsid w:val="009E49AD"/>
    <w:rsid w:val="009E4CC5"/>
    <w:rsid w:val="009E66BA"/>
    <w:rsid w:val="009E66FE"/>
    <w:rsid w:val="009E68B8"/>
    <w:rsid w:val="009E70F4"/>
    <w:rsid w:val="009E72A3"/>
    <w:rsid w:val="009F1AD2"/>
    <w:rsid w:val="009F568A"/>
    <w:rsid w:val="009F5C98"/>
    <w:rsid w:val="00A00C78"/>
    <w:rsid w:val="00A0479E"/>
    <w:rsid w:val="00A07979"/>
    <w:rsid w:val="00A10F05"/>
    <w:rsid w:val="00A11697"/>
    <w:rsid w:val="00A11755"/>
    <w:rsid w:val="00A16BAC"/>
    <w:rsid w:val="00A207FB"/>
    <w:rsid w:val="00A20ADC"/>
    <w:rsid w:val="00A24016"/>
    <w:rsid w:val="00A265BF"/>
    <w:rsid w:val="00A26F44"/>
    <w:rsid w:val="00A3419A"/>
    <w:rsid w:val="00A3472D"/>
    <w:rsid w:val="00A34B4C"/>
    <w:rsid w:val="00A34FAB"/>
    <w:rsid w:val="00A42C43"/>
    <w:rsid w:val="00A4313D"/>
    <w:rsid w:val="00A45071"/>
    <w:rsid w:val="00A50120"/>
    <w:rsid w:val="00A60351"/>
    <w:rsid w:val="00A61C6D"/>
    <w:rsid w:val="00A63015"/>
    <w:rsid w:val="00A6387B"/>
    <w:rsid w:val="00A6482F"/>
    <w:rsid w:val="00A66254"/>
    <w:rsid w:val="00A6736E"/>
    <w:rsid w:val="00A674CD"/>
    <w:rsid w:val="00A678B4"/>
    <w:rsid w:val="00A704A3"/>
    <w:rsid w:val="00A75E23"/>
    <w:rsid w:val="00A82AA0"/>
    <w:rsid w:val="00A82F8A"/>
    <w:rsid w:val="00A84622"/>
    <w:rsid w:val="00A84BF0"/>
    <w:rsid w:val="00A859E0"/>
    <w:rsid w:val="00A86126"/>
    <w:rsid w:val="00A9226B"/>
    <w:rsid w:val="00A9575C"/>
    <w:rsid w:val="00A95B56"/>
    <w:rsid w:val="00A95E81"/>
    <w:rsid w:val="00A969AF"/>
    <w:rsid w:val="00AA308A"/>
    <w:rsid w:val="00AA3462"/>
    <w:rsid w:val="00AB1A2E"/>
    <w:rsid w:val="00AB328A"/>
    <w:rsid w:val="00AB4918"/>
    <w:rsid w:val="00AB4BC8"/>
    <w:rsid w:val="00AB668B"/>
    <w:rsid w:val="00AB6BA7"/>
    <w:rsid w:val="00AB7BE8"/>
    <w:rsid w:val="00AC6276"/>
    <w:rsid w:val="00AC7F18"/>
    <w:rsid w:val="00AD0710"/>
    <w:rsid w:val="00AD4DB9"/>
    <w:rsid w:val="00AD63C0"/>
    <w:rsid w:val="00AE35B2"/>
    <w:rsid w:val="00AE6AA0"/>
    <w:rsid w:val="00AF067A"/>
    <w:rsid w:val="00AF1069"/>
    <w:rsid w:val="00AF25B4"/>
    <w:rsid w:val="00AF406C"/>
    <w:rsid w:val="00AF4342"/>
    <w:rsid w:val="00AF45ED"/>
    <w:rsid w:val="00AF5B94"/>
    <w:rsid w:val="00AF7F88"/>
    <w:rsid w:val="00B00CA4"/>
    <w:rsid w:val="00B02195"/>
    <w:rsid w:val="00B075D6"/>
    <w:rsid w:val="00B10790"/>
    <w:rsid w:val="00B113B9"/>
    <w:rsid w:val="00B119A2"/>
    <w:rsid w:val="00B13B6D"/>
    <w:rsid w:val="00B17718"/>
    <w:rsid w:val="00B177F2"/>
    <w:rsid w:val="00B201F1"/>
    <w:rsid w:val="00B2603F"/>
    <w:rsid w:val="00B304E7"/>
    <w:rsid w:val="00B318B6"/>
    <w:rsid w:val="00B3499B"/>
    <w:rsid w:val="00B34D73"/>
    <w:rsid w:val="00B358AD"/>
    <w:rsid w:val="00B36E65"/>
    <w:rsid w:val="00B41D57"/>
    <w:rsid w:val="00B41F47"/>
    <w:rsid w:val="00B43354"/>
    <w:rsid w:val="00B44468"/>
    <w:rsid w:val="00B60AC9"/>
    <w:rsid w:val="00B64DF3"/>
    <w:rsid w:val="00B64F9C"/>
    <w:rsid w:val="00B660D6"/>
    <w:rsid w:val="00B67323"/>
    <w:rsid w:val="00B715F2"/>
    <w:rsid w:val="00B74071"/>
    <w:rsid w:val="00B7428E"/>
    <w:rsid w:val="00B74B67"/>
    <w:rsid w:val="00B75580"/>
    <w:rsid w:val="00B75813"/>
    <w:rsid w:val="00B779AA"/>
    <w:rsid w:val="00B81C95"/>
    <w:rsid w:val="00B82330"/>
    <w:rsid w:val="00B82ED4"/>
    <w:rsid w:val="00B8424F"/>
    <w:rsid w:val="00B86896"/>
    <w:rsid w:val="00B875A6"/>
    <w:rsid w:val="00B87603"/>
    <w:rsid w:val="00B90C2C"/>
    <w:rsid w:val="00B93E4C"/>
    <w:rsid w:val="00B94A1B"/>
    <w:rsid w:val="00B95EFB"/>
    <w:rsid w:val="00B9784D"/>
    <w:rsid w:val="00BA5C89"/>
    <w:rsid w:val="00BB04EB"/>
    <w:rsid w:val="00BB130B"/>
    <w:rsid w:val="00BB2539"/>
    <w:rsid w:val="00BB2D1A"/>
    <w:rsid w:val="00BB4CE2"/>
    <w:rsid w:val="00BB5EF0"/>
    <w:rsid w:val="00BB6025"/>
    <w:rsid w:val="00BB6724"/>
    <w:rsid w:val="00BB6835"/>
    <w:rsid w:val="00BB7F5C"/>
    <w:rsid w:val="00BC0EFB"/>
    <w:rsid w:val="00BC2E39"/>
    <w:rsid w:val="00BD2364"/>
    <w:rsid w:val="00BD28E3"/>
    <w:rsid w:val="00BD5DD3"/>
    <w:rsid w:val="00BE117E"/>
    <w:rsid w:val="00BE3261"/>
    <w:rsid w:val="00BE4D04"/>
    <w:rsid w:val="00BF00EF"/>
    <w:rsid w:val="00BF58FC"/>
    <w:rsid w:val="00C01F77"/>
    <w:rsid w:val="00C01FFC"/>
    <w:rsid w:val="00C05321"/>
    <w:rsid w:val="00C06AE4"/>
    <w:rsid w:val="00C0707D"/>
    <w:rsid w:val="00C07621"/>
    <w:rsid w:val="00C114FF"/>
    <w:rsid w:val="00C11D49"/>
    <w:rsid w:val="00C12F42"/>
    <w:rsid w:val="00C14BC0"/>
    <w:rsid w:val="00C171A1"/>
    <w:rsid w:val="00C171A4"/>
    <w:rsid w:val="00C17F12"/>
    <w:rsid w:val="00C20734"/>
    <w:rsid w:val="00C21C1A"/>
    <w:rsid w:val="00C237E9"/>
    <w:rsid w:val="00C31874"/>
    <w:rsid w:val="00C31C9C"/>
    <w:rsid w:val="00C32989"/>
    <w:rsid w:val="00C32BD1"/>
    <w:rsid w:val="00C341E6"/>
    <w:rsid w:val="00C34260"/>
    <w:rsid w:val="00C36883"/>
    <w:rsid w:val="00C40928"/>
    <w:rsid w:val="00C40CFF"/>
    <w:rsid w:val="00C42697"/>
    <w:rsid w:val="00C42E48"/>
    <w:rsid w:val="00C43F01"/>
    <w:rsid w:val="00C4587E"/>
    <w:rsid w:val="00C47552"/>
    <w:rsid w:val="00C47D9A"/>
    <w:rsid w:val="00C52013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8EE"/>
    <w:rsid w:val="00C90EDA"/>
    <w:rsid w:val="00C9250D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22D2"/>
    <w:rsid w:val="00CE2DF8"/>
    <w:rsid w:val="00CF069C"/>
    <w:rsid w:val="00CF08C8"/>
    <w:rsid w:val="00CF0DFF"/>
    <w:rsid w:val="00D028A9"/>
    <w:rsid w:val="00D0359D"/>
    <w:rsid w:val="00D04DED"/>
    <w:rsid w:val="00D04FD3"/>
    <w:rsid w:val="00D1089A"/>
    <w:rsid w:val="00D116BD"/>
    <w:rsid w:val="00D16FE0"/>
    <w:rsid w:val="00D2001A"/>
    <w:rsid w:val="00D20684"/>
    <w:rsid w:val="00D23871"/>
    <w:rsid w:val="00D24B31"/>
    <w:rsid w:val="00D26B62"/>
    <w:rsid w:val="00D32624"/>
    <w:rsid w:val="00D36171"/>
    <w:rsid w:val="00D3691A"/>
    <w:rsid w:val="00D377E2"/>
    <w:rsid w:val="00D401AE"/>
    <w:rsid w:val="00D403E9"/>
    <w:rsid w:val="00D42DCB"/>
    <w:rsid w:val="00D4547A"/>
    <w:rsid w:val="00D45482"/>
    <w:rsid w:val="00D46815"/>
    <w:rsid w:val="00D46DF2"/>
    <w:rsid w:val="00D47674"/>
    <w:rsid w:val="00D5338C"/>
    <w:rsid w:val="00D606B2"/>
    <w:rsid w:val="00D625A7"/>
    <w:rsid w:val="00D63575"/>
    <w:rsid w:val="00D64074"/>
    <w:rsid w:val="00D64E77"/>
    <w:rsid w:val="00D65777"/>
    <w:rsid w:val="00D659E4"/>
    <w:rsid w:val="00D728A0"/>
    <w:rsid w:val="00D74018"/>
    <w:rsid w:val="00D74657"/>
    <w:rsid w:val="00D83661"/>
    <w:rsid w:val="00D86B87"/>
    <w:rsid w:val="00D902E8"/>
    <w:rsid w:val="00D9216A"/>
    <w:rsid w:val="00D95BBB"/>
    <w:rsid w:val="00D97E7D"/>
    <w:rsid w:val="00DA16B5"/>
    <w:rsid w:val="00DA2A06"/>
    <w:rsid w:val="00DA2E68"/>
    <w:rsid w:val="00DA60AA"/>
    <w:rsid w:val="00DA7B56"/>
    <w:rsid w:val="00DB1C8C"/>
    <w:rsid w:val="00DB3439"/>
    <w:rsid w:val="00DB3618"/>
    <w:rsid w:val="00DB468A"/>
    <w:rsid w:val="00DB6B42"/>
    <w:rsid w:val="00DC181F"/>
    <w:rsid w:val="00DC2946"/>
    <w:rsid w:val="00DC4340"/>
    <w:rsid w:val="00DC550F"/>
    <w:rsid w:val="00DC64FD"/>
    <w:rsid w:val="00DD2629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687"/>
    <w:rsid w:val="00DF77CF"/>
    <w:rsid w:val="00E0068C"/>
    <w:rsid w:val="00E026E8"/>
    <w:rsid w:val="00E060F7"/>
    <w:rsid w:val="00E07D7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39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2938"/>
    <w:rsid w:val="00E73216"/>
    <w:rsid w:val="00E73C3E"/>
    <w:rsid w:val="00E74050"/>
    <w:rsid w:val="00E82496"/>
    <w:rsid w:val="00E834CD"/>
    <w:rsid w:val="00E846DC"/>
    <w:rsid w:val="00E8486F"/>
    <w:rsid w:val="00E84E9D"/>
    <w:rsid w:val="00E86B60"/>
    <w:rsid w:val="00E86CEE"/>
    <w:rsid w:val="00E9093C"/>
    <w:rsid w:val="00E935AF"/>
    <w:rsid w:val="00EA60C5"/>
    <w:rsid w:val="00EB0E20"/>
    <w:rsid w:val="00EB1682"/>
    <w:rsid w:val="00EB1A80"/>
    <w:rsid w:val="00EB3194"/>
    <w:rsid w:val="00EB457B"/>
    <w:rsid w:val="00EC0F01"/>
    <w:rsid w:val="00EC27E1"/>
    <w:rsid w:val="00EC34CF"/>
    <w:rsid w:val="00EC3E4B"/>
    <w:rsid w:val="00EC47C4"/>
    <w:rsid w:val="00EC4F3A"/>
    <w:rsid w:val="00EC5045"/>
    <w:rsid w:val="00EC5E74"/>
    <w:rsid w:val="00EC6692"/>
    <w:rsid w:val="00ED594D"/>
    <w:rsid w:val="00EE36E1"/>
    <w:rsid w:val="00EE38B2"/>
    <w:rsid w:val="00EE6228"/>
    <w:rsid w:val="00EE6FF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5D6"/>
    <w:rsid w:val="00F170D9"/>
    <w:rsid w:val="00F17A0C"/>
    <w:rsid w:val="00F23927"/>
    <w:rsid w:val="00F26644"/>
    <w:rsid w:val="00F26A05"/>
    <w:rsid w:val="00F30208"/>
    <w:rsid w:val="00F307CE"/>
    <w:rsid w:val="00F33BFC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D3C"/>
    <w:rsid w:val="00F61A31"/>
    <w:rsid w:val="00F62801"/>
    <w:rsid w:val="00F62DEC"/>
    <w:rsid w:val="00F657BF"/>
    <w:rsid w:val="00F658DA"/>
    <w:rsid w:val="00F66F00"/>
    <w:rsid w:val="00F67A2D"/>
    <w:rsid w:val="00F70A1B"/>
    <w:rsid w:val="00F72FDF"/>
    <w:rsid w:val="00F75960"/>
    <w:rsid w:val="00F801AF"/>
    <w:rsid w:val="00F82327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29C2"/>
    <w:rsid w:val="00FB466E"/>
    <w:rsid w:val="00FB5B09"/>
    <w:rsid w:val="00FB6F2F"/>
    <w:rsid w:val="00FC02F3"/>
    <w:rsid w:val="00FC450A"/>
    <w:rsid w:val="00FC752C"/>
    <w:rsid w:val="00FC7B6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79F"/>
    <w:rsid w:val="00FF18D2"/>
    <w:rsid w:val="00FF22F5"/>
    <w:rsid w:val="00FF393F"/>
    <w:rsid w:val="00FF4664"/>
    <w:rsid w:val="00FF564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E99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056118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056118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DA7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25C25CCCE0044BB00AE7EA1D797B4" ma:contentTypeVersion="12" ma:contentTypeDescription="Create a new document." ma:contentTypeScope="" ma:versionID="4ff51b6f0a39ec88284cbabe418f7f94">
  <xsd:schema xmlns:xsd="http://www.w3.org/2001/XMLSchema" xmlns:xs="http://www.w3.org/2001/XMLSchema" xmlns:p="http://schemas.microsoft.com/office/2006/metadata/properties" xmlns:ns2="2a3e2d0f-bad0-41f4-b0e9-caae611e00a0" xmlns:ns3="15b12ca6-06a5-40c5-aa06-1d1bfc6109fc" targetNamespace="http://schemas.microsoft.com/office/2006/metadata/properties" ma:root="true" ma:fieldsID="7d451ef2e0f1b5200b740932a089c99e" ns2:_="" ns3:_="">
    <xsd:import namespace="2a3e2d0f-bad0-41f4-b0e9-caae611e00a0"/>
    <xsd:import namespace="15b12ca6-06a5-40c5-aa06-1d1bfc61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e2d0f-bad0-41f4-b0e9-caae611e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22ba8f-4d62-4bf6-8903-84061eb8d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2ca6-06a5-40c5-aa06-1d1bfc6109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3b44fb-996b-44a0-ad8b-0a982fda4271}" ma:internalName="TaxCatchAll" ma:showField="CatchAllData" ma:web="15b12ca6-06a5-40c5-aa06-1d1bfc610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e2d0f-bad0-41f4-b0e9-caae611e00a0">
      <Terms xmlns="http://schemas.microsoft.com/office/infopath/2007/PartnerControls"/>
    </lcf76f155ced4ddcb4097134ff3c332f>
    <TaxCatchAll xmlns="15b12ca6-06a5-40c5-aa06-1d1bfc6109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7B7B-3A00-4D3B-AAF4-3D88C9D0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e2d0f-bad0-41f4-b0e9-caae611e00a0"/>
    <ds:schemaRef ds:uri="15b12ca6-06a5-40c5-aa06-1d1bfc61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486F4-D49D-4DDA-9697-DB543863E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F4252-9272-4BC4-AA4A-BED476683E53}">
  <ds:schemaRefs>
    <ds:schemaRef ds:uri="http://schemas.microsoft.com/office/2006/metadata/properties"/>
    <ds:schemaRef ds:uri="http://schemas.microsoft.com/office/infopath/2007/PartnerControls"/>
    <ds:schemaRef ds:uri="2a3e2d0f-bad0-41f4-b0e9-caae611e00a0"/>
    <ds:schemaRef ds:uri="15b12ca6-06a5-40c5-aa06-1d1bfc6109fc"/>
  </ds:schemaRefs>
</ds:datastoreItem>
</file>

<file path=customXml/itemProps4.xml><?xml version="1.0" encoding="utf-8"?>
<ds:datastoreItem xmlns:ds="http://schemas.openxmlformats.org/officeDocument/2006/customXml" ds:itemID="{22CBCA19-1385-40EB-845D-52C23176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1341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211</cp:revision>
  <cp:lastPrinted>2025-12-17T10:13:00Z</cp:lastPrinted>
  <dcterms:created xsi:type="dcterms:W3CDTF">2024-12-17T12:35:00Z</dcterms:created>
  <dcterms:modified xsi:type="dcterms:W3CDTF">2025-12-17T10:13:00Z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0x010100E4025C25CCCE0044BB00AE7EA1D797B4</vt:lpwstr>
  </property>
  <property fmtid="{D5CDD505-2E9C-101B-9397-08002B2CF9AE}" pid="75" name="MediaServiceImageTags">
    <vt:lpwstr/>
  </property>
</Properties>
</file>