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6501FC57" w:rsidR="00C114FF" w:rsidRPr="00B41D57" w:rsidRDefault="00FE3244" w:rsidP="00FE3244">
      <w:pPr>
        <w:tabs>
          <w:tab w:val="clear" w:pos="567"/>
          <w:tab w:val="left" w:pos="7815"/>
        </w:tabs>
        <w:spacing w:line="240" w:lineRule="auto"/>
        <w:rPr>
          <w:szCs w:val="22"/>
        </w:rPr>
      </w:pPr>
      <w:r>
        <w:rPr>
          <w:szCs w:val="22"/>
        </w:rPr>
        <w:tab/>
      </w: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FE3244" w:rsidRDefault="00C605FD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</w:r>
      <w:r w:rsidRPr="00FE3244">
        <w:t>NÁZEV VETERINÁRNÍHO LÉČIVÉHO PŘÍPRAVKU</w:t>
      </w:r>
    </w:p>
    <w:p w14:paraId="3606368F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313B66" w14:textId="245DAA7F" w:rsidR="00025A23" w:rsidRPr="00FE3244" w:rsidRDefault="00862180" w:rsidP="00025A23">
      <w:pPr>
        <w:spacing w:line="240" w:lineRule="auto"/>
        <w:rPr>
          <w:szCs w:val="24"/>
        </w:rPr>
      </w:pPr>
      <w:proofErr w:type="spellStart"/>
      <w:r w:rsidRPr="00FE3244">
        <w:t>Solamocta</w:t>
      </w:r>
      <w:proofErr w:type="spellEnd"/>
      <w:r w:rsidRPr="00FE3244">
        <w:t xml:space="preserve"> </w:t>
      </w:r>
      <w:r w:rsidR="00025A23" w:rsidRPr="00FE3244">
        <w:t>697 mg/g prášek pro podání v pitné vodě pro kura domácího, kachny a krůty</w:t>
      </w:r>
    </w:p>
    <w:p w14:paraId="7245778A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89C69D" w14:textId="77777777" w:rsidR="00025A23" w:rsidRPr="00FE3244" w:rsidRDefault="00025A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FE3244" w:rsidRDefault="00C605FD" w:rsidP="00B13B6D">
      <w:pPr>
        <w:pStyle w:val="Style1"/>
      </w:pPr>
      <w:r w:rsidRPr="00FE3244">
        <w:t>2.</w:t>
      </w:r>
      <w:r w:rsidRPr="00FE3244">
        <w:tab/>
        <w:t>KVALITATIVNÍ A KVANTITATIVNÍ SLOŽENÍ</w:t>
      </w:r>
    </w:p>
    <w:p w14:paraId="3EAF4F83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9947DD" w14:textId="77777777" w:rsidR="00025A23" w:rsidRPr="00FE3244" w:rsidRDefault="00025A23" w:rsidP="00025A23">
      <w:pPr>
        <w:tabs>
          <w:tab w:val="left" w:pos="720"/>
          <w:tab w:val="right" w:pos="1334"/>
          <w:tab w:val="left" w:pos="2811"/>
          <w:tab w:val="left" w:pos="3492"/>
        </w:tabs>
        <w:spacing w:line="240" w:lineRule="auto"/>
        <w:rPr>
          <w:szCs w:val="24"/>
        </w:rPr>
      </w:pPr>
      <w:r w:rsidRPr="00FE3244">
        <w:rPr>
          <w:u w:val="single"/>
        </w:rPr>
        <w:t>Každý gram obsahuje:</w:t>
      </w:r>
      <w:r w:rsidRPr="00FE3244">
        <w:t xml:space="preserve"> </w:t>
      </w:r>
    </w:p>
    <w:p w14:paraId="07418508" w14:textId="77777777" w:rsidR="00025A23" w:rsidRPr="00FE3244" w:rsidRDefault="00025A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2D0ACEB9" w:rsidR="00C114FF" w:rsidRPr="00FE3244" w:rsidRDefault="00C605F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FE3244">
        <w:rPr>
          <w:b/>
          <w:szCs w:val="22"/>
        </w:rPr>
        <w:t>Léčivá látka:</w:t>
      </w:r>
    </w:p>
    <w:p w14:paraId="7FF05E18" w14:textId="094068B1" w:rsidR="00025A23" w:rsidRPr="00FE3244" w:rsidRDefault="00025A23" w:rsidP="00025A23">
      <w:pPr>
        <w:tabs>
          <w:tab w:val="left" w:pos="720"/>
          <w:tab w:val="right" w:pos="1334"/>
          <w:tab w:val="left" w:pos="2811"/>
          <w:tab w:val="left" w:pos="3492"/>
        </w:tabs>
        <w:spacing w:line="240" w:lineRule="auto"/>
        <w:rPr>
          <w:szCs w:val="24"/>
        </w:rPr>
      </w:pPr>
      <w:proofErr w:type="spellStart"/>
      <w:r w:rsidRPr="00FE3244">
        <w:t>Amoxicillinum</w:t>
      </w:r>
      <w:proofErr w:type="spellEnd"/>
      <w:r w:rsidRPr="00FE3244">
        <w:t xml:space="preserve"> </w:t>
      </w:r>
      <w:r w:rsidRPr="00FE3244">
        <w:tab/>
      </w:r>
      <w:r w:rsidRPr="00FE3244">
        <w:tab/>
      </w:r>
      <w:r w:rsidRPr="00FE3244">
        <w:tab/>
        <w:t xml:space="preserve">697 mg </w:t>
      </w:r>
    </w:p>
    <w:p w14:paraId="4356C6A4" w14:textId="38628375" w:rsidR="00025A23" w:rsidRPr="00FE3244" w:rsidRDefault="00025A23" w:rsidP="00025A23">
      <w:pPr>
        <w:tabs>
          <w:tab w:val="right" w:pos="1334"/>
          <w:tab w:val="left" w:pos="2811"/>
          <w:tab w:val="left" w:pos="3492"/>
        </w:tabs>
        <w:spacing w:line="240" w:lineRule="auto"/>
        <w:rPr>
          <w:szCs w:val="24"/>
        </w:rPr>
      </w:pPr>
      <w:r w:rsidRPr="00FE3244">
        <w:t xml:space="preserve">odpovídá </w:t>
      </w:r>
      <w:proofErr w:type="spellStart"/>
      <w:r w:rsidRPr="00FE3244">
        <w:t>amoxicillinum</w:t>
      </w:r>
      <w:proofErr w:type="spellEnd"/>
      <w:r w:rsidRPr="00FE3244">
        <w:t xml:space="preserve"> </w:t>
      </w:r>
      <w:proofErr w:type="spellStart"/>
      <w:r w:rsidRPr="00FE3244">
        <w:t>trihydricum</w:t>
      </w:r>
      <w:proofErr w:type="spellEnd"/>
      <w:r w:rsidRPr="00FE3244">
        <w:tab/>
      </w:r>
      <w:r w:rsidRPr="00FE3244">
        <w:tab/>
        <w:t>800 mg</w:t>
      </w:r>
    </w:p>
    <w:p w14:paraId="4114CC73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6EFA701E" w:rsidR="00C114FF" w:rsidRPr="00FE3244" w:rsidRDefault="00C605FD" w:rsidP="00A9226B">
      <w:pPr>
        <w:tabs>
          <w:tab w:val="clear" w:pos="567"/>
        </w:tabs>
        <w:spacing w:line="240" w:lineRule="auto"/>
        <w:rPr>
          <w:szCs w:val="22"/>
        </w:rPr>
      </w:pPr>
      <w:r w:rsidRPr="00FE3244">
        <w:rPr>
          <w:b/>
          <w:szCs w:val="22"/>
        </w:rPr>
        <w:t>Pomocné látky:</w:t>
      </w:r>
    </w:p>
    <w:p w14:paraId="38F51D2A" w14:textId="77777777" w:rsidR="00872C48" w:rsidRPr="00FE3244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</w:tblGrid>
      <w:tr w:rsidR="00F12A3F" w:rsidRPr="00FE3244" w14:paraId="402487B1" w14:textId="77777777" w:rsidTr="00F12A3F">
        <w:tc>
          <w:tcPr>
            <w:tcW w:w="4527" w:type="dxa"/>
            <w:shd w:val="clear" w:color="auto" w:fill="auto"/>
            <w:vAlign w:val="center"/>
          </w:tcPr>
          <w:p w14:paraId="665C36FC" w14:textId="27353821" w:rsidR="00F12A3F" w:rsidRPr="00FE3244" w:rsidRDefault="00F12A3F" w:rsidP="007E68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E3244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025A23" w:rsidRPr="00FE3244" w14:paraId="5B376C5B" w14:textId="77777777" w:rsidTr="00A436D7">
        <w:tc>
          <w:tcPr>
            <w:tcW w:w="4527" w:type="dxa"/>
            <w:shd w:val="clear" w:color="auto" w:fill="auto"/>
          </w:tcPr>
          <w:p w14:paraId="54766AFD" w14:textId="181AFD81" w:rsidR="00025A23" w:rsidRPr="00FE3244" w:rsidRDefault="00025A23" w:rsidP="00025A23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FE3244">
              <w:t>Monohydrát</w:t>
            </w:r>
            <w:proofErr w:type="spellEnd"/>
            <w:r w:rsidRPr="00FE3244">
              <w:t xml:space="preserve"> uhličitanu sodného</w:t>
            </w:r>
          </w:p>
        </w:tc>
      </w:tr>
      <w:tr w:rsidR="00025A23" w:rsidRPr="00FE3244" w14:paraId="6B570F98" w14:textId="77777777" w:rsidTr="00A436D7">
        <w:tc>
          <w:tcPr>
            <w:tcW w:w="4527" w:type="dxa"/>
            <w:shd w:val="clear" w:color="auto" w:fill="auto"/>
          </w:tcPr>
          <w:p w14:paraId="7844D2E5" w14:textId="5E7BFB01" w:rsidR="00025A23" w:rsidRPr="00FE3244" w:rsidRDefault="00025A23" w:rsidP="00025A23">
            <w:pPr>
              <w:spacing w:before="60" w:after="60"/>
              <w:rPr>
                <w:iCs/>
                <w:szCs w:val="22"/>
              </w:rPr>
            </w:pPr>
            <w:r w:rsidRPr="00FE3244">
              <w:t>Natrium-citrát</w:t>
            </w:r>
          </w:p>
        </w:tc>
      </w:tr>
      <w:tr w:rsidR="00025A23" w:rsidRPr="00FE3244" w14:paraId="65010AAC" w14:textId="77777777" w:rsidTr="00A436D7">
        <w:tc>
          <w:tcPr>
            <w:tcW w:w="4527" w:type="dxa"/>
            <w:shd w:val="clear" w:color="auto" w:fill="auto"/>
          </w:tcPr>
          <w:p w14:paraId="05FE1E54" w14:textId="55593798" w:rsidR="00025A23" w:rsidRPr="00FE3244" w:rsidRDefault="00025A23" w:rsidP="00025A23">
            <w:pPr>
              <w:spacing w:before="60" w:after="60"/>
              <w:rPr>
                <w:iCs/>
                <w:szCs w:val="22"/>
              </w:rPr>
            </w:pPr>
            <w:r w:rsidRPr="00FE3244">
              <w:t>Koloidní bezvodý oxid křemičitý</w:t>
            </w:r>
          </w:p>
        </w:tc>
      </w:tr>
    </w:tbl>
    <w:p w14:paraId="2E6CA329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E9C353" w14:textId="77777777" w:rsidR="00025A23" w:rsidRPr="00FE3244" w:rsidRDefault="00025A23" w:rsidP="00025A23">
      <w:pPr>
        <w:spacing w:line="240" w:lineRule="auto"/>
        <w:rPr>
          <w:b/>
          <w:szCs w:val="24"/>
        </w:rPr>
      </w:pPr>
      <w:r w:rsidRPr="00FE3244">
        <w:t>Bílý až světle žlutobílý prášek.</w:t>
      </w:r>
    </w:p>
    <w:p w14:paraId="5508129A" w14:textId="77777777" w:rsidR="000E6D68" w:rsidRPr="00FE3244" w:rsidRDefault="000E6D6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1CADD9" w14:textId="77777777" w:rsidR="00025A23" w:rsidRPr="00FE3244" w:rsidRDefault="00025A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FE3244" w:rsidRDefault="00C605FD" w:rsidP="00B13B6D">
      <w:pPr>
        <w:pStyle w:val="Style1"/>
      </w:pPr>
      <w:r w:rsidRPr="00FE3244">
        <w:t>3.</w:t>
      </w:r>
      <w:r w:rsidRPr="00FE3244">
        <w:tab/>
        <w:t>KLINICKÉ INFORMACE</w:t>
      </w:r>
    </w:p>
    <w:p w14:paraId="03304F78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FE3244" w:rsidRDefault="00C605FD" w:rsidP="00B13B6D">
      <w:pPr>
        <w:pStyle w:val="Style1"/>
      </w:pPr>
      <w:r w:rsidRPr="00FE3244">
        <w:t>3.1</w:t>
      </w:r>
      <w:r w:rsidRPr="00FE3244">
        <w:tab/>
        <w:t>Cílové druhy zvířat</w:t>
      </w:r>
    </w:p>
    <w:p w14:paraId="20FFAC3D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9961FA" w14:textId="6A8A1F09" w:rsidR="00025A23" w:rsidRPr="00FE3244" w:rsidRDefault="00025A23" w:rsidP="00025A23">
      <w:pPr>
        <w:spacing w:line="240" w:lineRule="auto"/>
        <w:rPr>
          <w:szCs w:val="24"/>
        </w:rPr>
      </w:pPr>
      <w:r w:rsidRPr="00FE3244">
        <w:t>Kur domácí (brojleři, kuřice, chovné slepice), kachny (brojleři, chovné kachny), krůty</w:t>
      </w:r>
      <w:r w:rsidR="00862180" w:rsidRPr="00FE3244">
        <w:t>.</w:t>
      </w:r>
    </w:p>
    <w:p w14:paraId="4809F8C4" w14:textId="77777777" w:rsidR="00025A23" w:rsidRPr="00FE3244" w:rsidRDefault="00025A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FE3244" w:rsidRDefault="00C605FD" w:rsidP="00B13B6D">
      <w:pPr>
        <w:pStyle w:val="Style1"/>
      </w:pPr>
      <w:r w:rsidRPr="00FE3244">
        <w:t>3.2</w:t>
      </w:r>
      <w:r w:rsidRPr="00FE3244">
        <w:tab/>
        <w:t xml:space="preserve">Indikace pro použití pro každý cílový druh </w:t>
      </w:r>
      <w:r w:rsidR="0043586F" w:rsidRPr="00FE3244">
        <w:t>zvířat</w:t>
      </w:r>
    </w:p>
    <w:p w14:paraId="327E3A6F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9C1C39" w14:textId="77777777" w:rsidR="00025A23" w:rsidRPr="00FE3244" w:rsidRDefault="00025A23" w:rsidP="00025A23">
      <w:pPr>
        <w:pStyle w:val="Normlnweb"/>
        <w:rPr>
          <w:iCs/>
        </w:rPr>
      </w:pPr>
      <w:r w:rsidRPr="00FE3244">
        <w:t>Léčba infekcí u kura domácího, krůt a kachen vyvolaných bakteriemi citlivými k amoxicilinu.</w:t>
      </w:r>
    </w:p>
    <w:p w14:paraId="45A9E78C" w14:textId="77777777" w:rsidR="00E86CEE" w:rsidRPr="00FE3244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FE3244" w:rsidRDefault="00C605FD" w:rsidP="00B13B6D">
      <w:pPr>
        <w:pStyle w:val="Style1"/>
      </w:pPr>
      <w:r w:rsidRPr="00FE3244">
        <w:t>3.3</w:t>
      </w:r>
      <w:r w:rsidRPr="00FE3244">
        <w:tab/>
        <w:t>Kontraindikace</w:t>
      </w:r>
    </w:p>
    <w:p w14:paraId="758D96B3" w14:textId="77777777" w:rsidR="00C114FF" w:rsidRPr="00FE32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293596" w14:textId="47E3C77B" w:rsidR="00025A23" w:rsidRPr="00FE3244" w:rsidRDefault="00025A23" w:rsidP="00025A23">
      <w:pPr>
        <w:spacing w:line="240" w:lineRule="auto"/>
        <w:jc w:val="both"/>
      </w:pPr>
      <w:r w:rsidRPr="00FE3244">
        <w:t xml:space="preserve">Nepoužívat v přítomnosti bakterií produkujících </w:t>
      </w:r>
      <w:r w:rsidR="00FE3244">
        <w:t>beta</w:t>
      </w:r>
      <w:r w:rsidRPr="00FE3244">
        <w:t>-</w:t>
      </w:r>
      <w:proofErr w:type="spellStart"/>
      <w:r w:rsidRPr="00FE3244">
        <w:t>laktamázu</w:t>
      </w:r>
      <w:proofErr w:type="spellEnd"/>
      <w:r w:rsidRPr="00FE3244">
        <w:t>.</w:t>
      </w:r>
    </w:p>
    <w:p w14:paraId="62F98EA9" w14:textId="77777777" w:rsidR="00025A23" w:rsidRPr="00FE3244" w:rsidRDefault="00025A23" w:rsidP="00025A23">
      <w:pPr>
        <w:spacing w:line="240" w:lineRule="auto"/>
        <w:jc w:val="both"/>
        <w:rPr>
          <w:b/>
          <w:szCs w:val="24"/>
        </w:rPr>
      </w:pPr>
      <w:r w:rsidRPr="00FE3244">
        <w:t>Nepoužívat u králíků, morčat, křečků, pískomilů nebo jiných malých býložravců.</w:t>
      </w:r>
    </w:p>
    <w:p w14:paraId="1AE2DB10" w14:textId="18DB4065" w:rsidR="00025A23" w:rsidRPr="00FE3244" w:rsidRDefault="00025A23" w:rsidP="00025A23">
      <w:pPr>
        <w:spacing w:line="240" w:lineRule="auto"/>
        <w:jc w:val="both"/>
      </w:pPr>
      <w:r w:rsidRPr="00FE3244">
        <w:t xml:space="preserve">Nepoužívat </w:t>
      </w:r>
      <w:r w:rsidR="00862180" w:rsidRPr="00FE3244">
        <w:t>v případech</w:t>
      </w:r>
      <w:r w:rsidRPr="00FE3244">
        <w:t xml:space="preserve"> </w:t>
      </w:r>
      <w:r w:rsidR="00936728" w:rsidRPr="00FE3244">
        <w:t xml:space="preserve">přecitlivělosti </w:t>
      </w:r>
      <w:r w:rsidRPr="00FE3244">
        <w:t xml:space="preserve">na peniciliny nebo </w:t>
      </w:r>
      <w:r w:rsidR="00862180" w:rsidRPr="00FE3244">
        <w:t xml:space="preserve">na jiné látky ze skupiny </w:t>
      </w:r>
      <w:r w:rsidRPr="00FE3244">
        <w:t>beta-</w:t>
      </w:r>
      <w:proofErr w:type="spellStart"/>
      <w:r w:rsidR="00862180" w:rsidRPr="00FE3244">
        <w:t>laktamových</w:t>
      </w:r>
      <w:proofErr w:type="spellEnd"/>
      <w:r w:rsidR="00862180" w:rsidRPr="00FE3244">
        <w:t xml:space="preserve"> </w:t>
      </w:r>
      <w:r w:rsidRPr="00FE3244">
        <w:t>antibiotik nebo na některou z pomocných látek.</w:t>
      </w:r>
    </w:p>
    <w:p w14:paraId="0BFABD59" w14:textId="77777777" w:rsidR="00025A23" w:rsidRPr="00FE3244" w:rsidRDefault="00025A23" w:rsidP="00025A23">
      <w:pPr>
        <w:spacing w:line="240" w:lineRule="auto"/>
        <w:jc w:val="both"/>
        <w:rPr>
          <w:szCs w:val="24"/>
        </w:rPr>
      </w:pPr>
      <w:r w:rsidRPr="00FE3244">
        <w:rPr>
          <w:szCs w:val="24"/>
        </w:rPr>
        <w:t>Nepoužívat u přežvýkavců nebo koní.</w:t>
      </w:r>
    </w:p>
    <w:p w14:paraId="54C2FA76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FE3244" w:rsidRDefault="00C605FD" w:rsidP="00B13B6D">
      <w:pPr>
        <w:pStyle w:val="Style1"/>
      </w:pPr>
      <w:r w:rsidRPr="00FE3244">
        <w:t>3.4</w:t>
      </w:r>
      <w:r w:rsidRPr="00FE3244">
        <w:tab/>
        <w:t>Zvláštní upozornění</w:t>
      </w:r>
    </w:p>
    <w:p w14:paraId="0622A062" w14:textId="77777777" w:rsidR="00C114FF" w:rsidRPr="00FE32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5FAD6C" w14:textId="77777777" w:rsidR="00025A23" w:rsidRPr="00FE3244" w:rsidRDefault="00025A23" w:rsidP="00025A23">
      <w:pPr>
        <w:tabs>
          <w:tab w:val="left" w:pos="720"/>
        </w:tabs>
        <w:spacing w:line="240" w:lineRule="auto"/>
        <w:rPr>
          <w:szCs w:val="24"/>
        </w:rPr>
      </w:pPr>
      <w:r w:rsidRPr="00FE3244">
        <w:t>Nejsou.</w:t>
      </w:r>
    </w:p>
    <w:p w14:paraId="58C56926" w14:textId="77777777" w:rsidR="00025A23" w:rsidRPr="00FE3244" w:rsidRDefault="00025A23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FE3244" w:rsidRDefault="00C605FD" w:rsidP="00B13B6D">
      <w:pPr>
        <w:pStyle w:val="Style1"/>
      </w:pPr>
      <w:r w:rsidRPr="00FE3244">
        <w:t>3.5</w:t>
      </w:r>
      <w:r w:rsidRPr="00FE3244">
        <w:tab/>
        <w:t>Zvláštní opatření pro použití</w:t>
      </w:r>
    </w:p>
    <w:p w14:paraId="0B94D7B2" w14:textId="77777777" w:rsidR="00C114FF" w:rsidRPr="00FE32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FE3244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E3244">
        <w:rPr>
          <w:szCs w:val="22"/>
          <w:u w:val="single"/>
        </w:rPr>
        <w:t>Zvláštní opatření pro bezpečné použití u cílových druhů zvířat:</w:t>
      </w:r>
    </w:p>
    <w:p w14:paraId="7A3428A0" w14:textId="17CF383C" w:rsidR="00094A27" w:rsidRPr="00FE3244" w:rsidRDefault="00025A23" w:rsidP="00025A23">
      <w:pPr>
        <w:tabs>
          <w:tab w:val="left" w:pos="720"/>
        </w:tabs>
        <w:spacing w:line="240" w:lineRule="auto"/>
        <w:jc w:val="both"/>
      </w:pPr>
      <w:r w:rsidRPr="00FE3244">
        <w:t xml:space="preserve">Použití přípravku by mělo být založeno na </w:t>
      </w:r>
      <w:r w:rsidR="00094A27" w:rsidRPr="00FE3244">
        <w:t>identifikaci a </w:t>
      </w:r>
      <w:r w:rsidRPr="00FE3244">
        <w:t xml:space="preserve">výsledku </w:t>
      </w:r>
      <w:r w:rsidR="00073E95" w:rsidRPr="00FE3244">
        <w:t xml:space="preserve">stanovení </w:t>
      </w:r>
      <w:r w:rsidRPr="00FE3244">
        <w:t xml:space="preserve">citlivosti </w:t>
      </w:r>
      <w:r w:rsidR="00094A27" w:rsidRPr="00FE3244">
        <w:t>cílového patogenu (cílových patogenů)</w:t>
      </w:r>
      <w:r w:rsidRPr="00FE3244">
        <w:t xml:space="preserve">. Pokud to není možné, je nutné založit terapii na </w:t>
      </w:r>
      <w:proofErr w:type="spellStart"/>
      <w:r w:rsidRPr="00FE3244">
        <w:t>epizootologických</w:t>
      </w:r>
      <w:proofErr w:type="spellEnd"/>
      <w:r w:rsidRPr="00FE3244">
        <w:t xml:space="preserve"> informacích </w:t>
      </w:r>
      <w:r w:rsidR="00094A27" w:rsidRPr="00FE3244">
        <w:t xml:space="preserve">a na znalostech </w:t>
      </w:r>
      <w:r w:rsidRPr="00FE3244">
        <w:t xml:space="preserve">o citlivosti cílových </w:t>
      </w:r>
      <w:r w:rsidR="00094A27" w:rsidRPr="00FE3244">
        <w:t xml:space="preserve">patogenů na </w:t>
      </w:r>
      <w:r w:rsidR="00936728" w:rsidRPr="00FE3244">
        <w:t>ú</w:t>
      </w:r>
      <w:r w:rsidR="00094A27" w:rsidRPr="00FE3244">
        <w:t>rovni farmy nebo na místní/regionální úrovni</w:t>
      </w:r>
      <w:r w:rsidRPr="00FE3244">
        <w:t xml:space="preserve">. </w:t>
      </w:r>
    </w:p>
    <w:p w14:paraId="68FB23FD" w14:textId="77777777" w:rsidR="00094A27" w:rsidRPr="00FE3244" w:rsidRDefault="00094A27" w:rsidP="00025A23">
      <w:pPr>
        <w:tabs>
          <w:tab w:val="left" w:pos="720"/>
        </w:tabs>
        <w:spacing w:line="240" w:lineRule="auto"/>
        <w:jc w:val="both"/>
      </w:pPr>
    </w:p>
    <w:p w14:paraId="6A1A8D94" w14:textId="77777777" w:rsidR="00936728" w:rsidRPr="00FE3244" w:rsidRDefault="00094A27" w:rsidP="00025A23">
      <w:pPr>
        <w:tabs>
          <w:tab w:val="left" w:pos="720"/>
        </w:tabs>
        <w:spacing w:line="240" w:lineRule="auto"/>
        <w:jc w:val="both"/>
      </w:pPr>
      <w:r w:rsidRPr="00FE3244">
        <w:lastRenderedPageBreak/>
        <w:t>Veterinární léčivý přípravek by měl být používán v souladu s oficiálními, celostátními a místními pravidly antibiotické politiky.</w:t>
      </w:r>
    </w:p>
    <w:p w14:paraId="46674178" w14:textId="1A091941" w:rsidR="00025A23" w:rsidRPr="00FE3244" w:rsidRDefault="00025A23" w:rsidP="00025A23">
      <w:pPr>
        <w:tabs>
          <w:tab w:val="left" w:pos="720"/>
        </w:tabs>
        <w:spacing w:line="240" w:lineRule="auto"/>
        <w:jc w:val="both"/>
      </w:pPr>
      <w:r w:rsidRPr="00FE3244">
        <w:rPr>
          <w:szCs w:val="24"/>
        </w:rPr>
        <w:t xml:space="preserve">Použití </w:t>
      </w:r>
      <w:r w:rsidR="00094A27" w:rsidRPr="00FE3244">
        <w:rPr>
          <w:szCs w:val="24"/>
        </w:rPr>
        <w:t xml:space="preserve">veterinárního léčivého </w:t>
      </w:r>
      <w:r w:rsidRPr="00FE3244">
        <w:rPr>
          <w:szCs w:val="24"/>
        </w:rPr>
        <w:t>přípravku, které je odlišné od pokynů uvedených v tomto souhrnu údajů o přípravku (SPC), může zvýšit prevalenci bakterií rezistentních k amoxicilinu</w:t>
      </w:r>
      <w:r w:rsidRPr="00FE3244">
        <w:rPr>
          <w:b/>
          <w:bCs/>
          <w:szCs w:val="24"/>
        </w:rPr>
        <w:t xml:space="preserve"> </w:t>
      </w:r>
      <w:r w:rsidRPr="00FE3244">
        <w:rPr>
          <w:szCs w:val="24"/>
        </w:rPr>
        <w:t>a snížit jeho účinnost.</w:t>
      </w:r>
    </w:p>
    <w:p w14:paraId="117F609A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FE3244" w:rsidRDefault="00C605FD" w:rsidP="00C8172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FE3244">
        <w:rPr>
          <w:szCs w:val="22"/>
          <w:u w:val="single"/>
        </w:rPr>
        <w:t>Zvláštní opatření pro osobu, která podává veterinární léčivý přípravek zvířatům:</w:t>
      </w:r>
    </w:p>
    <w:p w14:paraId="33D807E4" w14:textId="77777777" w:rsidR="00025A23" w:rsidRPr="00FE3244" w:rsidRDefault="00025A23" w:rsidP="00025A23">
      <w:pPr>
        <w:tabs>
          <w:tab w:val="left" w:pos="720"/>
        </w:tabs>
        <w:spacing w:line="240" w:lineRule="auto"/>
        <w:jc w:val="both"/>
        <w:rPr>
          <w:szCs w:val="24"/>
        </w:rPr>
      </w:pPr>
      <w:r w:rsidRPr="00FE3244">
        <w:t>Zabraňte inhalaci prachových částic přípravku.</w:t>
      </w:r>
    </w:p>
    <w:p w14:paraId="2F22EC24" w14:textId="03AD023C" w:rsidR="00094A27" w:rsidRPr="00FE3244" w:rsidRDefault="00094A27" w:rsidP="00025A23">
      <w:pPr>
        <w:tabs>
          <w:tab w:val="left" w:pos="720"/>
        </w:tabs>
        <w:spacing w:line="240" w:lineRule="auto"/>
        <w:jc w:val="both"/>
      </w:pPr>
      <w:r w:rsidRPr="00FE3244">
        <w:t>Při nakládání s veterinárním léčivým přípravkem by se měly používat osobní ochranné prostředky skládající se z jednorázového respirátoru s polomaskou vyhovující evropské normě EN 149 nebo z respirátoru na více použití podle evropské normy EN 140 s filtrem podle normy EN 143.</w:t>
      </w:r>
    </w:p>
    <w:p w14:paraId="60A6E446" w14:textId="77777777" w:rsidR="00025A23" w:rsidRPr="00FE3244" w:rsidRDefault="00025A23" w:rsidP="00025A23">
      <w:pPr>
        <w:tabs>
          <w:tab w:val="left" w:pos="720"/>
        </w:tabs>
        <w:spacing w:line="240" w:lineRule="auto"/>
        <w:jc w:val="both"/>
        <w:rPr>
          <w:szCs w:val="24"/>
        </w:rPr>
      </w:pPr>
    </w:p>
    <w:p w14:paraId="7D9040B2" w14:textId="5564619A" w:rsidR="00025A23" w:rsidRPr="00FE3244" w:rsidRDefault="00025A23" w:rsidP="00025A23">
      <w:pPr>
        <w:tabs>
          <w:tab w:val="left" w:pos="-720"/>
        </w:tabs>
        <w:spacing w:line="240" w:lineRule="auto"/>
        <w:jc w:val="both"/>
      </w:pPr>
      <w:r w:rsidRPr="00FE3244">
        <w:t xml:space="preserve">Peniciliny a cefalosporiny mohou po injekci, inhalaci, požití nebo kontaktu s kůží vyvolat </w:t>
      </w:r>
      <w:r w:rsidR="002374EF" w:rsidRPr="00FE3244">
        <w:t>reakc</w:t>
      </w:r>
      <w:r w:rsidR="00EB736F" w:rsidRPr="00FE3244">
        <w:t>e</w:t>
      </w:r>
      <w:r w:rsidR="002374EF" w:rsidRPr="00FE3244">
        <w:t xml:space="preserve"> z </w:t>
      </w:r>
      <w:r w:rsidRPr="00FE3244">
        <w:t>přecitlivělost</w:t>
      </w:r>
      <w:r w:rsidR="00C22F56" w:rsidRPr="00FE3244">
        <w:t>i</w:t>
      </w:r>
      <w:r w:rsidRPr="00FE3244">
        <w:t xml:space="preserve"> (alergii), které mohou být </w:t>
      </w:r>
      <w:r w:rsidR="002374EF" w:rsidRPr="00FE3244">
        <w:t>v některých případech</w:t>
      </w:r>
      <w:r w:rsidRPr="00FE3244">
        <w:t xml:space="preserve"> vážné. Přecitlivělost na peniciliny může vést ke zkříženým reakcím s cefalosporiny a naopak. V případě náhodného kontaktu s očima nebo kůží je ihned opláchněte vodou. Nemanipulujte s</w:t>
      </w:r>
      <w:r w:rsidR="00094A27" w:rsidRPr="00FE3244">
        <w:t xml:space="preserve"> veterinárním léčivým </w:t>
      </w:r>
      <w:r w:rsidRPr="00FE3244">
        <w:t>přípravkem, pokud víte, že jste přecitlivělí, nebo pokud vám bylo doporučeno s přípravky tohoto typu nepracovat. Při manipulaci s</w:t>
      </w:r>
      <w:r w:rsidR="00094A27" w:rsidRPr="00FE3244">
        <w:t xml:space="preserve"> veterinárním léčivým </w:t>
      </w:r>
      <w:r w:rsidRPr="00FE3244">
        <w:t xml:space="preserve">přípravkem dodržujte všechna doporučená bezpečnostní opatření a buďte maximálně obezřetní, aby nedošlo k přímému kontaktu. Pokud se u vás objeví </w:t>
      </w:r>
      <w:proofErr w:type="spellStart"/>
      <w:r w:rsidRPr="00FE3244">
        <w:t>postexpoziční</w:t>
      </w:r>
      <w:proofErr w:type="spellEnd"/>
      <w:r w:rsidRPr="00FE3244">
        <w:t xml:space="preserve"> příznaky, jako např. kožní vyrážka, vyhledejte lékařskou pomoc a ukažte lékaři toto upozornění. Otok obličeje, rtů, očí nebo potíže s dýcháním jsou vážné příznaky a vyžadují okamžitou lékařskou pomoc. Po použití si umyjte ruce.</w:t>
      </w:r>
    </w:p>
    <w:p w14:paraId="220EF9C2" w14:textId="77777777" w:rsidR="00025A23" w:rsidRPr="00FE3244" w:rsidRDefault="00025A23" w:rsidP="00025A23">
      <w:pPr>
        <w:tabs>
          <w:tab w:val="left" w:pos="720"/>
        </w:tabs>
        <w:spacing w:line="240" w:lineRule="auto"/>
        <w:rPr>
          <w:szCs w:val="24"/>
        </w:rPr>
      </w:pPr>
    </w:p>
    <w:p w14:paraId="47390C4D" w14:textId="1B274211" w:rsidR="00295140" w:rsidRPr="00FE3244" w:rsidRDefault="00C605FD" w:rsidP="00C81724">
      <w:pPr>
        <w:keepNext/>
        <w:tabs>
          <w:tab w:val="clear" w:pos="567"/>
        </w:tabs>
        <w:spacing w:line="240" w:lineRule="auto"/>
        <w:rPr>
          <w:szCs w:val="22"/>
        </w:rPr>
      </w:pPr>
      <w:r w:rsidRPr="00FE3244">
        <w:rPr>
          <w:szCs w:val="22"/>
          <w:u w:val="single"/>
        </w:rPr>
        <w:t>Zvláštní opatření pro ochranu životního prostředí:</w:t>
      </w:r>
    </w:p>
    <w:p w14:paraId="03346968" w14:textId="657512C6" w:rsidR="00664363" w:rsidRPr="00FE3244" w:rsidRDefault="00094A27" w:rsidP="00A9226B">
      <w:pPr>
        <w:tabs>
          <w:tab w:val="clear" w:pos="567"/>
        </w:tabs>
        <w:spacing w:line="240" w:lineRule="auto"/>
      </w:pPr>
      <w:r w:rsidRPr="00FE3244">
        <w:t>Neuplatňuje se.</w:t>
      </w:r>
    </w:p>
    <w:p w14:paraId="251D03DF" w14:textId="77777777" w:rsidR="00094A27" w:rsidRPr="00FE3244" w:rsidRDefault="00094A2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3873CEDF" w:rsidR="00C114FF" w:rsidRPr="00FE3244" w:rsidRDefault="00C605FD" w:rsidP="00B13B6D">
      <w:pPr>
        <w:pStyle w:val="Style1"/>
      </w:pPr>
      <w:r w:rsidRPr="00FE3244">
        <w:t>3.6</w:t>
      </w:r>
      <w:r w:rsidRPr="00FE3244">
        <w:tab/>
        <w:t>Nežádoucí účinky</w:t>
      </w:r>
    </w:p>
    <w:p w14:paraId="10F3D673" w14:textId="77777777" w:rsidR="00295140" w:rsidRPr="00FE3244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1814263" w14:textId="29E727CE" w:rsidR="00094A27" w:rsidRPr="00FE3244" w:rsidRDefault="00094A27" w:rsidP="00094A27">
      <w:pPr>
        <w:tabs>
          <w:tab w:val="clear" w:pos="567"/>
        </w:tabs>
        <w:spacing w:line="240" w:lineRule="auto"/>
        <w:rPr>
          <w:szCs w:val="22"/>
        </w:rPr>
      </w:pPr>
      <w:r w:rsidRPr="00FE3244">
        <w:rPr>
          <w:szCs w:val="22"/>
        </w:rPr>
        <w:t>Kur domácí, kachny, krůty:</w:t>
      </w:r>
    </w:p>
    <w:p w14:paraId="36DCC082" w14:textId="77777777" w:rsidR="00094A27" w:rsidRPr="00FE3244" w:rsidRDefault="00094A27" w:rsidP="00094A27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094A27" w:rsidRPr="00FE3244" w14:paraId="51426A10" w14:textId="77777777" w:rsidTr="00463B7C">
        <w:tc>
          <w:tcPr>
            <w:tcW w:w="1957" w:type="pct"/>
          </w:tcPr>
          <w:p w14:paraId="175D663A" w14:textId="563D0B60" w:rsidR="00846F71" w:rsidRPr="00FE3244" w:rsidRDefault="00846F71" w:rsidP="00463B7C">
            <w:pPr>
              <w:spacing w:before="60" w:after="60"/>
              <w:rPr>
                <w:szCs w:val="22"/>
              </w:rPr>
            </w:pPr>
            <w:bookmarkStart w:id="0" w:name="_Hlk165291676"/>
          </w:p>
          <w:p w14:paraId="76010CC8" w14:textId="77777777" w:rsidR="00846F71" w:rsidRPr="00D77FD6" w:rsidRDefault="00846F71" w:rsidP="00846F71">
            <w:pPr>
              <w:tabs>
                <w:tab w:val="clear" w:pos="567"/>
              </w:tabs>
              <w:spacing w:line="240" w:lineRule="auto"/>
              <w:rPr>
                <w:color w:val="000000"/>
                <w:szCs w:val="22"/>
                <w:lang w:eastAsia="nl-NL"/>
              </w:rPr>
            </w:pPr>
            <w:r w:rsidRPr="00D77FD6">
              <w:rPr>
                <w:color w:val="000000"/>
                <w:szCs w:val="22"/>
                <w:lang w:eastAsia="nl-NL"/>
              </w:rPr>
              <w:t>Neurčená frekvence (nelze odhadnout z dostupných údajů)</w:t>
            </w:r>
          </w:p>
          <w:p w14:paraId="4DD20E52" w14:textId="3ADBA533" w:rsidR="00094A27" w:rsidRPr="00FE3244" w:rsidRDefault="00094A27" w:rsidP="00463B7C">
            <w:pPr>
              <w:spacing w:before="60" w:after="60"/>
              <w:rPr>
                <w:szCs w:val="22"/>
              </w:rPr>
            </w:pPr>
          </w:p>
        </w:tc>
        <w:tc>
          <w:tcPr>
            <w:tcW w:w="3043" w:type="pct"/>
            <w:hideMark/>
          </w:tcPr>
          <w:p w14:paraId="0E7C4A7E" w14:textId="2935AE71" w:rsidR="00094A27" w:rsidRPr="00FE3244" w:rsidRDefault="00094A27" w:rsidP="00463B7C">
            <w:pPr>
              <w:spacing w:before="60" w:after="60"/>
              <w:rPr>
                <w:iCs/>
                <w:szCs w:val="22"/>
              </w:rPr>
            </w:pPr>
            <w:r w:rsidRPr="00FE3244">
              <w:rPr>
                <w:iCs/>
                <w:szCs w:val="22"/>
              </w:rPr>
              <w:t>Hypersenzitivní reakce*</w:t>
            </w:r>
          </w:p>
        </w:tc>
      </w:tr>
    </w:tbl>
    <w:p w14:paraId="7BEBBAAE" w14:textId="36B5757A" w:rsidR="00094A27" w:rsidRPr="00FE3244" w:rsidRDefault="00094A27" w:rsidP="00094A27">
      <w:pPr>
        <w:tabs>
          <w:tab w:val="left" w:pos="142"/>
        </w:tabs>
        <w:spacing w:before="80" w:line="240" w:lineRule="auto"/>
        <w:rPr>
          <w:szCs w:val="22"/>
        </w:rPr>
      </w:pPr>
      <w:bookmarkStart w:id="1" w:name="_Hlk165291711"/>
      <w:bookmarkEnd w:id="0"/>
      <w:r w:rsidRPr="00FE3244">
        <w:rPr>
          <w:szCs w:val="22"/>
        </w:rPr>
        <w:t>*Mohou být příležitostně vážné.</w:t>
      </w:r>
    </w:p>
    <w:bookmarkEnd w:id="1"/>
    <w:p w14:paraId="6871F765" w14:textId="77777777" w:rsidR="00247A48" w:rsidRPr="00FE3244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29ED4CD" w14:textId="0B7F4F13" w:rsidR="00094A27" w:rsidRPr="00FE3244" w:rsidRDefault="00094A27" w:rsidP="00AD0710">
      <w:pPr>
        <w:tabs>
          <w:tab w:val="clear" w:pos="567"/>
        </w:tabs>
        <w:spacing w:line="240" w:lineRule="auto"/>
      </w:pPr>
      <w:r w:rsidRPr="00FE3244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 w:rsidR="003157B7" w:rsidRPr="00FE3244">
        <w:t xml:space="preserve"> </w:t>
      </w:r>
      <w:r w:rsidRPr="00FE3244">
        <w:t>nebo jeho místnímu zástupci, nebo příslušnému vnitrostátnímu orgánu prostřednictvím národního systému hlášení. Podrobné kontaktní údaje naleznete v příbalové informaci.</w:t>
      </w:r>
    </w:p>
    <w:p w14:paraId="401E0B05" w14:textId="77777777" w:rsidR="00094A27" w:rsidRPr="00FE3244" w:rsidRDefault="00094A27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FE3244" w:rsidRDefault="00C605FD" w:rsidP="00B13B6D">
      <w:pPr>
        <w:pStyle w:val="Style1"/>
      </w:pPr>
      <w:r w:rsidRPr="00FE3244">
        <w:t>3.7</w:t>
      </w:r>
      <w:r w:rsidRPr="00FE3244">
        <w:tab/>
        <w:t>Použití v průběhu březosti, laktace nebo snášky</w:t>
      </w:r>
    </w:p>
    <w:p w14:paraId="0DFBFADE" w14:textId="77777777" w:rsidR="00C114FF" w:rsidRPr="00FE32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75A0FDB1" w:rsidR="00C114FF" w:rsidRPr="00FE3244" w:rsidRDefault="00C605FD" w:rsidP="00E74050">
      <w:pPr>
        <w:tabs>
          <w:tab w:val="clear" w:pos="567"/>
        </w:tabs>
        <w:spacing w:line="240" w:lineRule="auto"/>
        <w:rPr>
          <w:szCs w:val="22"/>
        </w:rPr>
      </w:pPr>
      <w:r w:rsidRPr="00FE3244">
        <w:rPr>
          <w:u w:val="single"/>
        </w:rPr>
        <w:t>Březost</w:t>
      </w:r>
      <w:r w:rsidR="003E5236" w:rsidRPr="00FE3244">
        <w:rPr>
          <w:u w:val="single"/>
        </w:rPr>
        <w:t xml:space="preserve"> </w:t>
      </w:r>
      <w:r w:rsidRPr="00FE3244">
        <w:rPr>
          <w:szCs w:val="22"/>
          <w:u w:val="single"/>
        </w:rPr>
        <w:t>a laktace</w:t>
      </w:r>
      <w:r w:rsidRPr="00FE3244">
        <w:t>:</w:t>
      </w:r>
    </w:p>
    <w:p w14:paraId="37E9B8D2" w14:textId="77777777" w:rsidR="00282EA8" w:rsidRPr="00FE3244" w:rsidRDefault="00282EA8" w:rsidP="003E5236">
      <w:pPr>
        <w:tabs>
          <w:tab w:val="left" w:pos="-1440"/>
        </w:tabs>
        <w:spacing w:line="240" w:lineRule="auto"/>
        <w:jc w:val="both"/>
      </w:pPr>
    </w:p>
    <w:p w14:paraId="58FF3B17" w14:textId="4BE9A0B8" w:rsidR="002342B6" w:rsidRPr="00FE3244" w:rsidRDefault="002342B6" w:rsidP="003E5236">
      <w:pPr>
        <w:tabs>
          <w:tab w:val="left" w:pos="-1440"/>
        </w:tabs>
        <w:spacing w:line="240" w:lineRule="auto"/>
        <w:jc w:val="both"/>
      </w:pPr>
      <w:r w:rsidRPr="00FE3244">
        <w:t>Použít pouze po zvážení terapeutického prospěchu a rizika příslušným veterinárním lékařem.</w:t>
      </w:r>
    </w:p>
    <w:p w14:paraId="257EAF7C" w14:textId="6FA07968" w:rsidR="003E5236" w:rsidRPr="00FE3244" w:rsidRDefault="003E5236" w:rsidP="003E5236">
      <w:pPr>
        <w:tabs>
          <w:tab w:val="left" w:pos="-1440"/>
        </w:tabs>
        <w:spacing w:line="240" w:lineRule="auto"/>
        <w:jc w:val="both"/>
        <w:rPr>
          <w:szCs w:val="24"/>
        </w:rPr>
      </w:pPr>
      <w:r w:rsidRPr="00FE3244">
        <w:t xml:space="preserve">Laboratorní studie u potkanů nepodaly důkaz o teratogenním účinku. </w:t>
      </w:r>
    </w:p>
    <w:p w14:paraId="45A16993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FE3244" w:rsidRDefault="00C605FD" w:rsidP="00B13B6D">
      <w:pPr>
        <w:pStyle w:val="Style1"/>
      </w:pPr>
      <w:r w:rsidRPr="00FE3244">
        <w:t>3.8</w:t>
      </w:r>
      <w:r w:rsidRPr="00FE3244">
        <w:tab/>
        <w:t>Interakce s jinými léčivými přípravky a další formy interakce</w:t>
      </w:r>
    </w:p>
    <w:p w14:paraId="54454937" w14:textId="77777777" w:rsidR="00C114FF" w:rsidRPr="00FE32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A9D9F9" w14:textId="487BAFC1" w:rsidR="00025A23" w:rsidRPr="00FE3244" w:rsidRDefault="002342B6" w:rsidP="00025A23">
      <w:pPr>
        <w:spacing w:line="240" w:lineRule="auto"/>
        <w:jc w:val="both"/>
      </w:pPr>
      <w:r w:rsidRPr="00FE3244">
        <w:t xml:space="preserve">Veterinární léčivý přípravek </w:t>
      </w:r>
      <w:r w:rsidR="00025A23" w:rsidRPr="00FE3244">
        <w:t>by neměl být podáván s antibiotiky, která mají bakteriostatický účinek, jako jsou tetracykliny, makrolidy a sulfonamidy.</w:t>
      </w:r>
    </w:p>
    <w:p w14:paraId="281C058E" w14:textId="4C124FBC" w:rsidR="00025A23" w:rsidRPr="00FE3244" w:rsidRDefault="00025A23" w:rsidP="00025A23">
      <w:pPr>
        <w:spacing w:line="240" w:lineRule="auto"/>
        <w:jc w:val="both"/>
        <w:rPr>
          <w:szCs w:val="24"/>
        </w:rPr>
      </w:pPr>
      <w:r w:rsidRPr="00FE3244">
        <w:rPr>
          <w:szCs w:val="24"/>
        </w:rPr>
        <w:t xml:space="preserve">K synergii dochází u </w:t>
      </w:r>
      <w:r w:rsidR="00FE3244">
        <w:rPr>
          <w:szCs w:val="24"/>
        </w:rPr>
        <w:t>beta</w:t>
      </w:r>
      <w:r w:rsidRPr="00FE3244">
        <w:rPr>
          <w:szCs w:val="24"/>
        </w:rPr>
        <w:t>-</w:t>
      </w:r>
      <w:proofErr w:type="spellStart"/>
      <w:r w:rsidRPr="00FE3244">
        <w:rPr>
          <w:szCs w:val="24"/>
        </w:rPr>
        <w:t>laktamových</w:t>
      </w:r>
      <w:proofErr w:type="spellEnd"/>
      <w:r w:rsidRPr="00FE3244">
        <w:rPr>
          <w:szCs w:val="24"/>
        </w:rPr>
        <w:t xml:space="preserve"> antibiotik a aminoglykosidů.</w:t>
      </w:r>
    </w:p>
    <w:p w14:paraId="560DDD98" w14:textId="77777777" w:rsidR="00025A23" w:rsidRPr="00FE3244" w:rsidRDefault="00025A23" w:rsidP="00025A23">
      <w:pPr>
        <w:tabs>
          <w:tab w:val="left" w:pos="720"/>
        </w:tabs>
        <w:spacing w:line="240" w:lineRule="auto"/>
        <w:rPr>
          <w:szCs w:val="24"/>
        </w:rPr>
      </w:pPr>
    </w:p>
    <w:p w14:paraId="533DFD79" w14:textId="77777777" w:rsidR="00C114FF" w:rsidRPr="00FE3244" w:rsidRDefault="00C605FD" w:rsidP="00C81724">
      <w:pPr>
        <w:pStyle w:val="Style1"/>
        <w:keepNext/>
      </w:pPr>
      <w:r w:rsidRPr="00FE3244">
        <w:t>3.9</w:t>
      </w:r>
      <w:r w:rsidRPr="00FE3244">
        <w:tab/>
        <w:t>Cesty podání a dávkování</w:t>
      </w:r>
    </w:p>
    <w:p w14:paraId="0C31E074" w14:textId="77777777" w:rsidR="00145D34" w:rsidRPr="00FE3244" w:rsidRDefault="00145D34" w:rsidP="00C8172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3CD5CAF" w14:textId="7589CA37" w:rsidR="00025A23" w:rsidRPr="00FE3244" w:rsidRDefault="002342B6" w:rsidP="00025A23">
      <w:pPr>
        <w:pStyle w:val="BodytextAgency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24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25A23" w:rsidRPr="00FE3244">
        <w:rPr>
          <w:rFonts w:ascii="Times New Roman" w:hAnsi="Times New Roman" w:cs="Times New Roman"/>
          <w:color w:val="000000"/>
          <w:sz w:val="24"/>
          <w:szCs w:val="24"/>
        </w:rPr>
        <w:t xml:space="preserve">odání v pitné vodě. </w:t>
      </w:r>
    </w:p>
    <w:p w14:paraId="2661AF01" w14:textId="77777777" w:rsidR="00025A23" w:rsidRPr="00FE3244" w:rsidRDefault="00025A23" w:rsidP="00025A23">
      <w:pPr>
        <w:tabs>
          <w:tab w:val="left" w:pos="-1985"/>
        </w:tabs>
        <w:spacing w:line="240" w:lineRule="auto"/>
        <w:ind w:hanging="22"/>
        <w:rPr>
          <w:u w:val="single"/>
        </w:rPr>
      </w:pPr>
    </w:p>
    <w:p w14:paraId="28699837" w14:textId="7CF03657" w:rsidR="00025A23" w:rsidRPr="00FE3244" w:rsidRDefault="00025A23" w:rsidP="00025A23">
      <w:pPr>
        <w:tabs>
          <w:tab w:val="left" w:pos="-1985"/>
        </w:tabs>
        <w:spacing w:line="240" w:lineRule="auto"/>
        <w:ind w:hanging="22"/>
        <w:rPr>
          <w:u w:val="single"/>
        </w:rPr>
      </w:pPr>
      <w:r w:rsidRPr="00FE3244">
        <w:rPr>
          <w:u w:val="single"/>
        </w:rPr>
        <w:t>Kur domácí</w:t>
      </w:r>
    </w:p>
    <w:p w14:paraId="76014C85" w14:textId="421FA7E7" w:rsidR="00025A23" w:rsidRPr="00FE3244" w:rsidRDefault="00025A23" w:rsidP="00025A23">
      <w:pPr>
        <w:tabs>
          <w:tab w:val="left" w:pos="-1985"/>
        </w:tabs>
        <w:spacing w:line="240" w:lineRule="auto"/>
        <w:ind w:hanging="22"/>
      </w:pPr>
      <w:r w:rsidRPr="00FE3244">
        <w:t>Doporučená dávka je 13,1 mg amoxicilinu (ekvivalentní 18,8 mg veterinárního léčivého přípravku) na kilogram živé hmotnosti denně po</w:t>
      </w:r>
      <w:r w:rsidR="009775F9" w:rsidRPr="00FE3244">
        <w:t xml:space="preserve"> dobu</w:t>
      </w:r>
      <w:r w:rsidRPr="00FE3244">
        <w:t xml:space="preserve"> 3 po sobě jdoucí</w:t>
      </w:r>
      <w:r w:rsidR="00240047" w:rsidRPr="00FE3244">
        <w:t>ch</w:t>
      </w:r>
      <w:r w:rsidRPr="00FE3244">
        <w:t xml:space="preserve"> </w:t>
      </w:r>
      <w:r w:rsidR="00240047" w:rsidRPr="00FE3244">
        <w:t xml:space="preserve">dnů </w:t>
      </w:r>
      <w:r w:rsidRPr="00FE3244">
        <w:t>nebo v závažných případech po</w:t>
      </w:r>
      <w:r w:rsidR="00EF179D" w:rsidRPr="00FE3244">
        <w:t xml:space="preserve"> dobu</w:t>
      </w:r>
      <w:r w:rsidRPr="00FE3244">
        <w:t xml:space="preserve"> 5 po sobě jdoucích dnů.</w:t>
      </w:r>
    </w:p>
    <w:p w14:paraId="2AE182A7" w14:textId="77777777" w:rsidR="00025A23" w:rsidRPr="00FE3244" w:rsidRDefault="00025A23" w:rsidP="00025A23">
      <w:pPr>
        <w:tabs>
          <w:tab w:val="left" w:pos="-1985"/>
        </w:tabs>
        <w:spacing w:line="240" w:lineRule="auto"/>
        <w:ind w:hanging="22"/>
        <w:rPr>
          <w:u w:val="single"/>
        </w:rPr>
      </w:pPr>
    </w:p>
    <w:p w14:paraId="285E0FB8" w14:textId="77777777" w:rsidR="00025A23" w:rsidRPr="00FE3244" w:rsidRDefault="00025A23" w:rsidP="00025A23">
      <w:pPr>
        <w:tabs>
          <w:tab w:val="left" w:pos="-1985"/>
        </w:tabs>
        <w:spacing w:line="240" w:lineRule="auto"/>
        <w:ind w:hanging="22"/>
        <w:rPr>
          <w:u w:val="single"/>
        </w:rPr>
      </w:pPr>
      <w:r w:rsidRPr="00FE3244">
        <w:rPr>
          <w:u w:val="single"/>
        </w:rPr>
        <w:t>Kachny</w:t>
      </w:r>
    </w:p>
    <w:p w14:paraId="3B8DD186" w14:textId="53790F93" w:rsidR="00025A23" w:rsidRPr="00FE3244" w:rsidRDefault="00025A23" w:rsidP="00025A23">
      <w:pPr>
        <w:tabs>
          <w:tab w:val="left" w:pos="-1985"/>
        </w:tabs>
        <w:spacing w:line="240" w:lineRule="auto"/>
        <w:ind w:hanging="22"/>
      </w:pPr>
      <w:r w:rsidRPr="00FE3244">
        <w:t>Doporučená dávka je 17,4 mg amoxicilinu (ekvivalentní 25 mg veterinárního léčivého přípravku) na kilogram živé hmotnosti denně po</w:t>
      </w:r>
      <w:r w:rsidR="00240047" w:rsidRPr="00FE3244">
        <w:t xml:space="preserve"> dobu</w:t>
      </w:r>
      <w:r w:rsidRPr="00FE3244">
        <w:t xml:space="preserve"> 3 po sobě jdoucí</w:t>
      </w:r>
      <w:r w:rsidR="00240047" w:rsidRPr="00FE3244">
        <w:t>ch</w:t>
      </w:r>
      <w:r w:rsidRPr="00FE3244">
        <w:t xml:space="preserve"> </w:t>
      </w:r>
      <w:r w:rsidR="00240047" w:rsidRPr="00FE3244">
        <w:t>dnů</w:t>
      </w:r>
      <w:r w:rsidRPr="00FE3244">
        <w:t>.</w:t>
      </w:r>
    </w:p>
    <w:p w14:paraId="4AABC6B0" w14:textId="77777777" w:rsidR="00025A23" w:rsidRPr="00FE3244" w:rsidRDefault="00025A23" w:rsidP="00025A23">
      <w:pPr>
        <w:tabs>
          <w:tab w:val="left" w:pos="-1985"/>
        </w:tabs>
        <w:spacing w:line="240" w:lineRule="auto"/>
        <w:ind w:hanging="22"/>
        <w:rPr>
          <w:u w:val="single"/>
        </w:rPr>
      </w:pPr>
    </w:p>
    <w:p w14:paraId="3AF232F1" w14:textId="77777777" w:rsidR="00025A23" w:rsidRPr="00FE3244" w:rsidRDefault="00025A23" w:rsidP="00025A23">
      <w:pPr>
        <w:tabs>
          <w:tab w:val="left" w:pos="-1985"/>
        </w:tabs>
        <w:spacing w:line="240" w:lineRule="auto"/>
        <w:ind w:hanging="22"/>
        <w:rPr>
          <w:u w:val="single"/>
        </w:rPr>
      </w:pPr>
      <w:r w:rsidRPr="00FE3244">
        <w:rPr>
          <w:u w:val="single"/>
        </w:rPr>
        <w:t>Krůty</w:t>
      </w:r>
    </w:p>
    <w:p w14:paraId="78991BB1" w14:textId="66575F41" w:rsidR="00025A23" w:rsidRPr="00FE3244" w:rsidRDefault="00025A23" w:rsidP="00025A23">
      <w:pPr>
        <w:tabs>
          <w:tab w:val="left" w:pos="-1985"/>
        </w:tabs>
        <w:spacing w:line="240" w:lineRule="auto"/>
        <w:ind w:hanging="22"/>
      </w:pPr>
      <w:r w:rsidRPr="00FE3244">
        <w:t>Doporučená dávka je 13,1-17,4 mg amoxicilinu (ekvivalentní 18,8 až 25 mg veterinárního léčivého přípravku) na kilogram živé hmotnosti denně po</w:t>
      </w:r>
      <w:r w:rsidR="00240047" w:rsidRPr="00FE3244">
        <w:t xml:space="preserve"> dobu</w:t>
      </w:r>
      <w:r w:rsidRPr="00FE3244">
        <w:t xml:space="preserve"> 3 po sobě jdoucí</w:t>
      </w:r>
      <w:r w:rsidR="00240047" w:rsidRPr="00FE3244">
        <w:t>ch</w:t>
      </w:r>
      <w:r w:rsidRPr="00FE3244">
        <w:t xml:space="preserve"> </w:t>
      </w:r>
      <w:r w:rsidR="00240047" w:rsidRPr="00FE3244">
        <w:t xml:space="preserve">dnů </w:t>
      </w:r>
      <w:r w:rsidRPr="00FE3244">
        <w:t>nebo v závažných případech po</w:t>
      </w:r>
      <w:r w:rsidR="00240047" w:rsidRPr="00FE3244">
        <w:t xml:space="preserve"> dobu</w:t>
      </w:r>
      <w:r w:rsidRPr="00FE3244">
        <w:t xml:space="preserve"> 5 po sobě jdoucích dnů.</w:t>
      </w:r>
    </w:p>
    <w:p w14:paraId="24C854D5" w14:textId="77777777" w:rsidR="00025A23" w:rsidRPr="00FE3244" w:rsidRDefault="00025A23" w:rsidP="00025A23">
      <w:pPr>
        <w:tabs>
          <w:tab w:val="left" w:pos="-1985"/>
        </w:tabs>
        <w:spacing w:line="240" w:lineRule="auto"/>
        <w:ind w:hanging="22"/>
        <w:rPr>
          <w:u w:val="single"/>
        </w:rPr>
      </w:pPr>
    </w:p>
    <w:p w14:paraId="346B28DA" w14:textId="40EE2D2F" w:rsidR="00025A23" w:rsidRPr="00FE3244" w:rsidRDefault="00025A23" w:rsidP="00025A23">
      <w:pPr>
        <w:pStyle w:val="BodytextAgency"/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E3244">
        <w:rPr>
          <w:rFonts w:ascii="Times New Roman" w:hAnsi="Times New Roman" w:cs="Times New Roman"/>
          <w:color w:val="000000"/>
          <w:sz w:val="22"/>
          <w:szCs w:val="22"/>
        </w:rPr>
        <w:t xml:space="preserve">Roztok připravte z čerstvé pitné vody bezprostředně před podáním. Nespotřebovanou </w:t>
      </w:r>
      <w:proofErr w:type="spellStart"/>
      <w:r w:rsidRPr="00FE3244">
        <w:rPr>
          <w:rFonts w:ascii="Times New Roman" w:hAnsi="Times New Roman" w:cs="Times New Roman"/>
          <w:color w:val="000000"/>
          <w:sz w:val="22"/>
          <w:szCs w:val="22"/>
        </w:rPr>
        <w:t>medikovanou</w:t>
      </w:r>
      <w:proofErr w:type="spellEnd"/>
      <w:r w:rsidRPr="00FE3244">
        <w:rPr>
          <w:rFonts w:ascii="Times New Roman" w:hAnsi="Times New Roman" w:cs="Times New Roman"/>
          <w:color w:val="000000"/>
          <w:sz w:val="22"/>
          <w:szCs w:val="22"/>
        </w:rPr>
        <w:t xml:space="preserve"> vodu zlikvidujte po </w:t>
      </w:r>
      <w:proofErr w:type="gramStart"/>
      <w:r w:rsidRPr="00FE3244">
        <w:rPr>
          <w:rFonts w:ascii="Times New Roman" w:hAnsi="Times New Roman" w:cs="Times New Roman"/>
          <w:color w:val="000000"/>
          <w:sz w:val="22"/>
          <w:szCs w:val="22"/>
        </w:rPr>
        <w:t>12-ti</w:t>
      </w:r>
      <w:proofErr w:type="gramEnd"/>
      <w:r w:rsidRPr="00FE3244">
        <w:rPr>
          <w:rFonts w:ascii="Times New Roman" w:hAnsi="Times New Roman" w:cs="Times New Roman"/>
          <w:color w:val="000000"/>
          <w:sz w:val="22"/>
          <w:szCs w:val="22"/>
        </w:rPr>
        <w:t xml:space="preserve"> hodinách. Aby byl zajištěn příjem medikované vody, neměla by mít zvířata během léčby přístup k jiným zdrojům pitné vody. </w:t>
      </w:r>
      <w:r w:rsidR="002342B6" w:rsidRPr="00FE3244">
        <w:rPr>
          <w:rFonts w:ascii="Times New Roman" w:hAnsi="Times New Roman" w:cs="Times New Roman"/>
          <w:color w:val="000000"/>
          <w:sz w:val="22"/>
          <w:szCs w:val="22"/>
        </w:rPr>
        <w:t>Na základě doporučené dávky a počtu a hmotnosti zvířat, která je třeba ošetřit, se přesná denní koncentrace veterinárního léčivého přípravku vypočítá podle následujícího vzorce:</w:t>
      </w:r>
    </w:p>
    <w:p w14:paraId="47E7FA39" w14:textId="77777777" w:rsidR="00282EA8" w:rsidRPr="00FE3244" w:rsidRDefault="00282EA8" w:rsidP="00025A23">
      <w:pPr>
        <w:pStyle w:val="BodytextAgency"/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52"/>
        <w:gridCol w:w="552"/>
        <w:gridCol w:w="2958"/>
        <w:gridCol w:w="2591"/>
      </w:tblGrid>
      <w:tr w:rsidR="002342B6" w:rsidRPr="00FE3244" w14:paraId="0B0227EE" w14:textId="77777777" w:rsidTr="00437BA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0AF2E3" w14:textId="77ECF901" w:rsidR="00025A23" w:rsidRPr="00FE3244" w:rsidRDefault="00025A23" w:rsidP="00235A60">
            <w:pPr>
              <w:tabs>
                <w:tab w:val="left" w:pos="540"/>
              </w:tabs>
              <w:spacing w:line="240" w:lineRule="auto"/>
              <w:jc w:val="center"/>
              <w:rPr>
                <w:rFonts w:eastAsia="SimSun"/>
                <w:bCs/>
                <w:color w:val="000000"/>
                <w:szCs w:val="22"/>
              </w:rPr>
            </w:pPr>
            <w:r w:rsidRPr="00FE3244">
              <w:rPr>
                <w:rFonts w:eastAsia="SimSun"/>
                <w:b/>
                <w:color w:val="000000"/>
                <w:szCs w:val="22"/>
              </w:rPr>
              <w:t>…</w:t>
            </w:r>
            <w:r w:rsidRPr="00FE3244">
              <w:rPr>
                <w:rFonts w:eastAsia="SimSun"/>
                <w:color w:val="000000"/>
                <w:szCs w:val="22"/>
              </w:rPr>
              <w:t xml:space="preserve"> mg </w:t>
            </w:r>
            <w:r w:rsidR="002342B6" w:rsidRPr="00FE3244">
              <w:rPr>
                <w:rFonts w:eastAsia="SimSun"/>
                <w:color w:val="000000"/>
                <w:szCs w:val="22"/>
              </w:rPr>
              <w:t xml:space="preserve">veterinárního léčivého </w:t>
            </w:r>
            <w:r w:rsidRPr="00FE3244">
              <w:rPr>
                <w:rFonts w:eastAsia="SimSun"/>
                <w:color w:val="000000"/>
                <w:szCs w:val="22"/>
              </w:rPr>
              <w:t>přípravku</w:t>
            </w:r>
            <w:r w:rsidR="002342B6" w:rsidRPr="00FE3244">
              <w:rPr>
                <w:rFonts w:eastAsia="SimSun"/>
                <w:color w:val="000000"/>
                <w:szCs w:val="22"/>
              </w:rPr>
              <w:t>/</w:t>
            </w:r>
            <w:r w:rsidRPr="00FE3244">
              <w:rPr>
                <w:rFonts w:eastAsia="SimSun"/>
                <w:color w:val="000000"/>
                <w:szCs w:val="22"/>
              </w:rPr>
              <w:t>kg živé hmotnosti</w:t>
            </w:r>
            <w:r w:rsidR="00FE3244">
              <w:rPr>
                <w:rFonts w:eastAsia="SimSun"/>
                <w:color w:val="000000"/>
                <w:szCs w:val="22"/>
              </w:rPr>
              <w:t xml:space="preserve"> </w:t>
            </w:r>
            <w:r w:rsidR="00206FE4" w:rsidRPr="00FE3244">
              <w:rPr>
                <w:rFonts w:eastAsia="SimSun"/>
                <w:color w:val="000000"/>
                <w:szCs w:val="22"/>
              </w:rPr>
              <w:t>/</w:t>
            </w:r>
            <w:r w:rsidRPr="00FE3244">
              <w:rPr>
                <w:rFonts w:eastAsia="SimSun"/>
                <w:color w:val="000000"/>
                <w:szCs w:val="22"/>
              </w:rPr>
              <w:t>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14B113" w14:textId="77777777" w:rsidR="00025A23" w:rsidRPr="00FE3244" w:rsidRDefault="00025A23" w:rsidP="00437BAF">
            <w:pPr>
              <w:tabs>
                <w:tab w:val="left" w:pos="540"/>
              </w:tabs>
              <w:spacing w:line="240" w:lineRule="auto"/>
              <w:jc w:val="both"/>
              <w:rPr>
                <w:rFonts w:eastAsia="SimSun"/>
                <w:bCs/>
                <w:color w:val="000000"/>
                <w:szCs w:val="22"/>
              </w:rPr>
            </w:pPr>
          </w:p>
          <w:p w14:paraId="15DA121A" w14:textId="2451D12E" w:rsidR="00025A23" w:rsidRPr="00FE3244" w:rsidRDefault="00FE3244" w:rsidP="00437BAF">
            <w:pPr>
              <w:tabs>
                <w:tab w:val="left" w:pos="540"/>
              </w:tabs>
              <w:spacing w:line="240" w:lineRule="auto"/>
              <w:jc w:val="both"/>
              <w:rPr>
                <w:rFonts w:eastAsia="SimSun"/>
                <w:bCs/>
                <w:color w:val="000000"/>
                <w:szCs w:val="22"/>
              </w:rPr>
            </w:pPr>
            <w:r>
              <w:rPr>
                <w:rFonts w:eastAsia="SimSun"/>
                <w:color w:val="000000"/>
                <w:szCs w:val="22"/>
              </w:rPr>
              <w:t xml:space="preserve">   </w:t>
            </w:r>
            <w:r w:rsidR="00025A23" w:rsidRPr="00FE3244">
              <w:rPr>
                <w:rFonts w:eastAsia="SimSun"/>
                <w:color w:val="000000"/>
                <w:szCs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F52E02" w14:textId="77777777" w:rsidR="00025A23" w:rsidRPr="00FE3244" w:rsidRDefault="00025A23" w:rsidP="00235A60">
            <w:pPr>
              <w:tabs>
                <w:tab w:val="left" w:pos="540"/>
              </w:tabs>
              <w:spacing w:line="240" w:lineRule="auto"/>
              <w:jc w:val="center"/>
              <w:rPr>
                <w:rFonts w:eastAsia="SimSun"/>
                <w:bCs/>
                <w:color w:val="000000"/>
                <w:szCs w:val="22"/>
              </w:rPr>
            </w:pPr>
            <w:r w:rsidRPr="00FE3244">
              <w:rPr>
                <w:rFonts w:eastAsia="SimSun"/>
                <w:color w:val="000000"/>
                <w:szCs w:val="22"/>
              </w:rPr>
              <w:t>průměrná živá hmotnost (kg) zvířat, která se mají léčit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2F643" w14:textId="77777777" w:rsidR="00025A23" w:rsidRPr="00FE3244" w:rsidRDefault="00025A23" w:rsidP="00437BAF">
            <w:pPr>
              <w:tabs>
                <w:tab w:val="left" w:pos="540"/>
              </w:tabs>
              <w:spacing w:line="240" w:lineRule="auto"/>
              <w:jc w:val="center"/>
              <w:rPr>
                <w:rFonts w:eastAsia="SimSun"/>
                <w:bCs/>
                <w:color w:val="000000"/>
                <w:szCs w:val="22"/>
              </w:rPr>
            </w:pPr>
          </w:p>
          <w:p w14:paraId="6CDE6BFD" w14:textId="2752E8CD" w:rsidR="00025A23" w:rsidRPr="00FE3244" w:rsidRDefault="00025A23" w:rsidP="00235A60">
            <w:pPr>
              <w:tabs>
                <w:tab w:val="left" w:pos="540"/>
              </w:tabs>
              <w:spacing w:line="240" w:lineRule="auto"/>
              <w:rPr>
                <w:rFonts w:eastAsia="SimSun"/>
                <w:color w:val="000000"/>
                <w:szCs w:val="22"/>
              </w:rPr>
            </w:pPr>
            <w:r w:rsidRPr="00FE3244">
              <w:rPr>
                <w:rFonts w:eastAsia="SimSun"/>
                <w:color w:val="000000"/>
                <w:szCs w:val="22"/>
              </w:rPr>
              <w:t xml:space="preserve">= … mg </w:t>
            </w:r>
            <w:r w:rsidR="002342B6" w:rsidRPr="00FE3244">
              <w:rPr>
                <w:rFonts w:eastAsia="SimSun"/>
                <w:color w:val="000000"/>
                <w:szCs w:val="22"/>
              </w:rPr>
              <w:t xml:space="preserve">veterinárního léčivého </w:t>
            </w:r>
            <w:r w:rsidRPr="00FE3244">
              <w:rPr>
                <w:rFonts w:eastAsia="SimSun"/>
                <w:color w:val="000000"/>
                <w:szCs w:val="22"/>
              </w:rPr>
              <w:t>přípravku na litr</w:t>
            </w:r>
          </w:p>
          <w:p w14:paraId="2BE1A84C" w14:textId="77777777" w:rsidR="00025A23" w:rsidRPr="00FE3244" w:rsidRDefault="00025A23" w:rsidP="00437BAF">
            <w:pPr>
              <w:tabs>
                <w:tab w:val="left" w:pos="540"/>
              </w:tabs>
              <w:spacing w:line="240" w:lineRule="auto"/>
              <w:jc w:val="center"/>
              <w:rPr>
                <w:rFonts w:eastAsia="SimSun"/>
                <w:bCs/>
                <w:color w:val="000000"/>
                <w:szCs w:val="22"/>
              </w:rPr>
            </w:pPr>
            <w:r w:rsidRPr="00FE3244">
              <w:rPr>
                <w:rFonts w:eastAsia="SimSun"/>
                <w:color w:val="000000"/>
                <w:szCs w:val="22"/>
              </w:rPr>
              <w:t>pitné vody</w:t>
            </w:r>
          </w:p>
        </w:tc>
      </w:tr>
      <w:tr w:rsidR="00025A23" w:rsidRPr="00FE3244" w14:paraId="61CFFF08" w14:textId="77777777" w:rsidTr="00437BAF">
        <w:tc>
          <w:tcPr>
            <w:tcW w:w="666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C29167" w14:textId="59198430" w:rsidR="00025A23" w:rsidRPr="00FE3244" w:rsidRDefault="002342B6" w:rsidP="00437BAF">
            <w:pPr>
              <w:tabs>
                <w:tab w:val="left" w:pos="540"/>
              </w:tabs>
              <w:spacing w:line="240" w:lineRule="auto"/>
              <w:jc w:val="center"/>
              <w:rPr>
                <w:rFonts w:eastAsia="SimSun"/>
                <w:bCs/>
                <w:color w:val="000000"/>
                <w:szCs w:val="22"/>
              </w:rPr>
            </w:pPr>
            <w:r w:rsidRPr="00FE3244">
              <w:rPr>
                <w:rFonts w:eastAsia="SimSun"/>
                <w:color w:val="000000"/>
                <w:szCs w:val="22"/>
              </w:rPr>
              <w:t>průměrný denní příjem</w:t>
            </w:r>
            <w:r w:rsidR="00025A23" w:rsidRPr="00FE3244">
              <w:rPr>
                <w:rFonts w:eastAsia="SimSun"/>
                <w:color w:val="000000"/>
                <w:szCs w:val="22"/>
              </w:rPr>
              <w:t xml:space="preserve"> vody (l</w:t>
            </w:r>
            <w:r w:rsidRPr="00FE3244">
              <w:rPr>
                <w:rFonts w:eastAsia="SimSun"/>
                <w:color w:val="000000"/>
                <w:szCs w:val="22"/>
              </w:rPr>
              <w:t>/zvíře</w:t>
            </w:r>
            <w:r w:rsidR="00025A23" w:rsidRPr="00FE3244">
              <w:rPr>
                <w:rFonts w:eastAsia="SimSun"/>
                <w:color w:val="000000"/>
                <w:szCs w:val="22"/>
              </w:rPr>
              <w:t xml:space="preserve">)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1023E" w14:textId="77777777" w:rsidR="00025A23" w:rsidRPr="00FE3244" w:rsidRDefault="00025A23" w:rsidP="00437BAF">
            <w:pPr>
              <w:tabs>
                <w:tab w:val="left" w:pos="540"/>
              </w:tabs>
              <w:spacing w:line="240" w:lineRule="auto"/>
              <w:jc w:val="both"/>
              <w:rPr>
                <w:rFonts w:eastAsia="SimSun"/>
                <w:bCs/>
                <w:color w:val="000000"/>
                <w:szCs w:val="22"/>
              </w:rPr>
            </w:pPr>
          </w:p>
        </w:tc>
      </w:tr>
    </w:tbl>
    <w:p w14:paraId="5DD90601" w14:textId="77777777" w:rsidR="00282EA8" w:rsidRPr="00FE3244" w:rsidRDefault="00282EA8" w:rsidP="00025A23">
      <w:pPr>
        <w:spacing w:line="240" w:lineRule="auto"/>
        <w:jc w:val="both"/>
        <w:rPr>
          <w:rFonts w:eastAsia="Verdana"/>
          <w:color w:val="000000"/>
          <w:szCs w:val="24"/>
        </w:rPr>
      </w:pPr>
    </w:p>
    <w:p w14:paraId="0377AF26" w14:textId="332A90B5" w:rsidR="00025A23" w:rsidRPr="00FE3244" w:rsidRDefault="00025A23" w:rsidP="00025A23">
      <w:pPr>
        <w:spacing w:line="240" w:lineRule="auto"/>
        <w:jc w:val="both"/>
        <w:rPr>
          <w:rFonts w:eastAsia="Verdana"/>
          <w:color w:val="000000"/>
          <w:szCs w:val="24"/>
        </w:rPr>
      </w:pPr>
      <w:r w:rsidRPr="00FE3244">
        <w:rPr>
          <w:rFonts w:eastAsia="Verdana"/>
          <w:color w:val="000000"/>
          <w:szCs w:val="24"/>
        </w:rPr>
        <w:t xml:space="preserve">Pro zajištění správného dávkování je třeba </w:t>
      </w:r>
      <w:r w:rsidR="002342B6" w:rsidRPr="00FE3244">
        <w:rPr>
          <w:rFonts w:eastAsia="Verdana"/>
          <w:color w:val="000000"/>
          <w:szCs w:val="24"/>
        </w:rPr>
        <w:t xml:space="preserve">co nejpřesněji stanovit </w:t>
      </w:r>
      <w:r w:rsidRPr="00FE3244">
        <w:rPr>
          <w:rFonts w:eastAsia="Verdana"/>
          <w:color w:val="000000"/>
          <w:szCs w:val="24"/>
        </w:rPr>
        <w:t xml:space="preserve">živou hmotnost, aby se zabránilo </w:t>
      </w:r>
      <w:proofErr w:type="spellStart"/>
      <w:r w:rsidRPr="00FE3244">
        <w:rPr>
          <w:rFonts w:eastAsia="Verdana"/>
          <w:color w:val="000000"/>
          <w:szCs w:val="24"/>
        </w:rPr>
        <w:t>poddávkování</w:t>
      </w:r>
      <w:proofErr w:type="spellEnd"/>
      <w:r w:rsidRPr="00FE3244">
        <w:rPr>
          <w:rFonts w:eastAsia="Verdana"/>
          <w:color w:val="000000"/>
          <w:szCs w:val="24"/>
        </w:rPr>
        <w:t xml:space="preserve">. Příjem medikované vody závisí na klinickém stavu zvířat. Pro dosažení správného dávkování </w:t>
      </w:r>
      <w:r w:rsidR="002342B6" w:rsidRPr="00FE3244">
        <w:t>může být nutné odpovídajícím způsobem upravit koncentraci amoxicilinu</w:t>
      </w:r>
      <w:r w:rsidRPr="00FE3244">
        <w:rPr>
          <w:rFonts w:eastAsia="Verdana"/>
          <w:color w:val="000000"/>
          <w:szCs w:val="24"/>
        </w:rPr>
        <w:t xml:space="preserve">. Po ukončení medikace je nutné napájecí systém řádně vyčistit, aby se zabránilo příjmu </w:t>
      </w:r>
      <w:proofErr w:type="spellStart"/>
      <w:r w:rsidRPr="00FE3244">
        <w:rPr>
          <w:rFonts w:eastAsia="Verdana"/>
          <w:color w:val="000000"/>
          <w:szCs w:val="24"/>
        </w:rPr>
        <w:t>subterapeutického</w:t>
      </w:r>
      <w:proofErr w:type="spellEnd"/>
      <w:r w:rsidRPr="00FE3244">
        <w:rPr>
          <w:rFonts w:eastAsia="Verdana"/>
          <w:color w:val="000000"/>
          <w:szCs w:val="24"/>
        </w:rPr>
        <w:t xml:space="preserve"> množství léčivé látky. Maximální rozpustnost </w:t>
      </w:r>
      <w:r w:rsidR="002342B6" w:rsidRPr="00FE3244">
        <w:rPr>
          <w:rFonts w:eastAsia="Verdana"/>
          <w:color w:val="000000"/>
          <w:szCs w:val="24"/>
        </w:rPr>
        <w:t xml:space="preserve">veterinárního léčivého </w:t>
      </w:r>
      <w:r w:rsidRPr="00FE3244">
        <w:rPr>
          <w:rFonts w:eastAsia="Verdana"/>
          <w:color w:val="000000"/>
          <w:szCs w:val="24"/>
        </w:rPr>
        <w:t>přípravku ve vodě při nejméně 10 °C je přibližně 6 g/l během 10 minut. Při nižších teplotách (4 °C) je maximální rozpustnost přibližně 5 g/l během 10 minut.</w:t>
      </w:r>
    </w:p>
    <w:p w14:paraId="21870518" w14:textId="6DB97C26" w:rsidR="00025A23" w:rsidRPr="00FE3244" w:rsidRDefault="002342B6" w:rsidP="00025A23">
      <w:pPr>
        <w:tabs>
          <w:tab w:val="left" w:pos="-1985"/>
        </w:tabs>
        <w:spacing w:line="240" w:lineRule="auto"/>
        <w:ind w:hanging="22"/>
        <w:jc w:val="both"/>
      </w:pPr>
      <w:r w:rsidRPr="00FE3244">
        <w:t>Doporučuje se používat vhodně kalibrované měřicí prostředky</w:t>
      </w:r>
      <w:r w:rsidR="00025A23" w:rsidRPr="00FE3244">
        <w:t xml:space="preserve">. </w:t>
      </w:r>
    </w:p>
    <w:p w14:paraId="53DB3DB6" w14:textId="77777777" w:rsidR="00025A23" w:rsidRPr="00FE3244" w:rsidRDefault="00025A23" w:rsidP="00025A23">
      <w:pPr>
        <w:tabs>
          <w:tab w:val="left" w:pos="-1985"/>
        </w:tabs>
        <w:spacing w:line="240" w:lineRule="auto"/>
        <w:ind w:hanging="22"/>
        <w:jc w:val="both"/>
      </w:pPr>
      <w:r w:rsidRPr="00FE3244">
        <w:t>U zásobních roztoků a při použití dávkovače dávejte pozor, abyste nepřekročili maximální rozpustnost, kterou lze za daných podmínek dosáhnout. Upravte nastavení průtoku dávkovacího čerpadla podle koncentrace zásobního roztoku a příjmu vody zvířaty, která mají být léčena.</w:t>
      </w:r>
    </w:p>
    <w:p w14:paraId="13504C24" w14:textId="77777777" w:rsidR="00247A48" w:rsidRPr="00FE3244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FE3244" w:rsidRDefault="00C605FD" w:rsidP="00B13B6D">
      <w:pPr>
        <w:pStyle w:val="Style1"/>
      </w:pPr>
      <w:r w:rsidRPr="00FE3244">
        <w:t>3.10</w:t>
      </w:r>
      <w:r w:rsidRPr="00FE3244">
        <w:tab/>
        <w:t xml:space="preserve">Příznaky předávkování </w:t>
      </w:r>
      <w:r w:rsidR="00EC5045" w:rsidRPr="00FE3244">
        <w:t>(</w:t>
      </w:r>
      <w:r w:rsidRPr="00FE3244">
        <w:t xml:space="preserve">a </w:t>
      </w:r>
      <w:r w:rsidR="00202A85" w:rsidRPr="00FE3244">
        <w:t>kde</w:t>
      </w:r>
      <w:r w:rsidR="005E66FC" w:rsidRPr="00FE3244">
        <w:t xml:space="preserve"> </w:t>
      </w:r>
      <w:r w:rsidR="00202A85" w:rsidRPr="00FE3244">
        <w:t>je</w:t>
      </w:r>
      <w:r w:rsidR="005E66FC" w:rsidRPr="00FE3244">
        <w:t xml:space="preserve"> </w:t>
      </w:r>
      <w:r w:rsidR="00FB6F2F" w:rsidRPr="00FE3244">
        <w:t>relevantní</w:t>
      </w:r>
      <w:r w:rsidR="00202A85" w:rsidRPr="00FE3244">
        <w:t>, první pomoc</w:t>
      </w:r>
      <w:r w:rsidRPr="00FE3244">
        <w:t xml:space="preserve"> a </w:t>
      </w:r>
      <w:proofErr w:type="spellStart"/>
      <w:r w:rsidRPr="00FE3244">
        <w:t>antidota</w:t>
      </w:r>
      <w:proofErr w:type="spellEnd"/>
      <w:r w:rsidR="00202A85" w:rsidRPr="00FE3244">
        <w:t>)</w:t>
      </w:r>
      <w:r w:rsidRPr="00FE3244">
        <w:t xml:space="preserve"> </w:t>
      </w:r>
    </w:p>
    <w:p w14:paraId="45A34650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316B28" w14:textId="77777777" w:rsidR="00025A23" w:rsidRPr="00FE3244" w:rsidRDefault="00025A23" w:rsidP="00025A23">
      <w:pPr>
        <w:tabs>
          <w:tab w:val="left" w:pos="-1440"/>
          <w:tab w:val="left" w:pos="720"/>
        </w:tabs>
        <w:spacing w:line="240" w:lineRule="auto"/>
        <w:rPr>
          <w:szCs w:val="24"/>
        </w:rPr>
      </w:pPr>
      <w:r w:rsidRPr="00FE3244">
        <w:t>Nejsou známy.</w:t>
      </w:r>
    </w:p>
    <w:p w14:paraId="54C2FBB6" w14:textId="77777777" w:rsidR="006764C6" w:rsidRPr="00FE3244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FE3244" w:rsidRDefault="00C605FD" w:rsidP="00B13B6D">
      <w:pPr>
        <w:pStyle w:val="Style1"/>
      </w:pPr>
      <w:r w:rsidRPr="00FE3244">
        <w:t>3.11</w:t>
      </w:r>
      <w:r w:rsidRPr="00FE3244">
        <w:tab/>
        <w:t>Zvláštní omezení pro použití a zvláštní podmínky pro použití, včetně omezení používání antimikrob</w:t>
      </w:r>
      <w:r w:rsidR="00202A85" w:rsidRPr="00FE3244">
        <w:t>ních</w:t>
      </w:r>
      <w:r w:rsidRPr="00FE3244">
        <w:t xml:space="preserve"> a </w:t>
      </w:r>
      <w:proofErr w:type="spellStart"/>
      <w:r w:rsidRPr="00FE3244">
        <w:t>antiparazitárních</w:t>
      </w:r>
      <w:proofErr w:type="spellEnd"/>
      <w:r w:rsidRPr="00FE3244">
        <w:t xml:space="preserve"> veterinárních léčivých přípravků, za účelem snížení rizika rozvoje rezistence</w:t>
      </w:r>
    </w:p>
    <w:p w14:paraId="1204C42F" w14:textId="77777777" w:rsidR="009A6509" w:rsidRPr="00FE3244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77777777" w:rsidR="009A6509" w:rsidRPr="00FE3244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FE3244" w:rsidRDefault="00C605FD" w:rsidP="00B13B6D">
      <w:pPr>
        <w:pStyle w:val="Style1"/>
      </w:pPr>
      <w:r w:rsidRPr="00FE3244">
        <w:t>3.12</w:t>
      </w:r>
      <w:r w:rsidRPr="00FE3244">
        <w:tab/>
        <w:t>Ochranné lhůty</w:t>
      </w:r>
    </w:p>
    <w:p w14:paraId="2DC95067" w14:textId="77777777" w:rsidR="00C114FF" w:rsidRPr="00FE32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FB6E7C" w14:textId="77777777" w:rsidR="00025A23" w:rsidRPr="00FE3244" w:rsidRDefault="00025A23" w:rsidP="00025A23">
      <w:pPr>
        <w:tabs>
          <w:tab w:val="left" w:pos="720"/>
          <w:tab w:val="right" w:pos="4253"/>
        </w:tabs>
        <w:spacing w:line="240" w:lineRule="auto"/>
        <w:rPr>
          <w:szCs w:val="24"/>
        </w:rPr>
      </w:pPr>
      <w:r w:rsidRPr="00FE3244">
        <w:t xml:space="preserve">Kur domácí (maso): </w:t>
      </w:r>
      <w:r w:rsidRPr="00FE3244">
        <w:tab/>
        <w:t>1 den</w:t>
      </w:r>
    </w:p>
    <w:p w14:paraId="5BCA68B5" w14:textId="77777777" w:rsidR="00025A23" w:rsidRPr="00FE3244" w:rsidRDefault="00025A23" w:rsidP="00025A23">
      <w:pPr>
        <w:tabs>
          <w:tab w:val="left" w:pos="720"/>
          <w:tab w:val="right" w:pos="4253"/>
        </w:tabs>
        <w:spacing w:line="240" w:lineRule="auto"/>
        <w:rPr>
          <w:szCs w:val="24"/>
        </w:rPr>
      </w:pPr>
      <w:r w:rsidRPr="00FE3244">
        <w:t>Kachny (maso):</w:t>
      </w:r>
      <w:r w:rsidRPr="00FE3244">
        <w:tab/>
        <w:t>9 dnů</w:t>
      </w:r>
    </w:p>
    <w:p w14:paraId="7F1FC38A" w14:textId="77777777" w:rsidR="00025A23" w:rsidRPr="00FE3244" w:rsidRDefault="00025A23" w:rsidP="00025A23">
      <w:pPr>
        <w:tabs>
          <w:tab w:val="left" w:pos="720"/>
          <w:tab w:val="right" w:pos="4253"/>
        </w:tabs>
        <w:spacing w:line="240" w:lineRule="auto"/>
        <w:rPr>
          <w:szCs w:val="24"/>
        </w:rPr>
      </w:pPr>
      <w:r w:rsidRPr="00FE3244">
        <w:t>Krůty (maso):</w:t>
      </w:r>
      <w:r w:rsidRPr="00FE3244">
        <w:tab/>
        <w:t>5 dnů</w:t>
      </w:r>
    </w:p>
    <w:p w14:paraId="1076EFA2" w14:textId="77777777" w:rsidR="00697F9C" w:rsidRPr="00FE3244" w:rsidRDefault="00697F9C" w:rsidP="00025A23">
      <w:pPr>
        <w:tabs>
          <w:tab w:val="left" w:pos="-1985"/>
        </w:tabs>
        <w:spacing w:line="240" w:lineRule="auto"/>
        <w:ind w:hanging="22"/>
      </w:pPr>
    </w:p>
    <w:p w14:paraId="66EBE8B4" w14:textId="77777777" w:rsidR="00697F9C" w:rsidRPr="00FE3244" w:rsidRDefault="00697F9C" w:rsidP="00025A23">
      <w:pPr>
        <w:tabs>
          <w:tab w:val="left" w:pos="-1985"/>
        </w:tabs>
        <w:spacing w:line="240" w:lineRule="auto"/>
        <w:ind w:hanging="22"/>
      </w:pPr>
      <w:r w:rsidRPr="00FE3244">
        <w:t>Nepoužívat během 3 týdnů před počátkem snášky.</w:t>
      </w:r>
    </w:p>
    <w:p w14:paraId="009D7288" w14:textId="6EE24EF9" w:rsidR="00025A23" w:rsidRPr="00FE3244" w:rsidRDefault="00025A23" w:rsidP="00025A23">
      <w:pPr>
        <w:tabs>
          <w:tab w:val="left" w:pos="-1985"/>
        </w:tabs>
        <w:spacing w:line="240" w:lineRule="auto"/>
        <w:ind w:hanging="22"/>
      </w:pPr>
      <w:r w:rsidRPr="00FE3244">
        <w:t xml:space="preserve">Nepoužívat u </w:t>
      </w:r>
      <w:r w:rsidR="00290BC2" w:rsidRPr="00FE3244">
        <w:t xml:space="preserve">ptáků </w:t>
      </w:r>
      <w:r w:rsidRPr="00FE3244">
        <w:t xml:space="preserve">snášejících </w:t>
      </w:r>
      <w:r w:rsidR="00697F9C" w:rsidRPr="00FE3244">
        <w:t xml:space="preserve">vejce </w:t>
      </w:r>
      <w:r w:rsidRPr="00FE3244">
        <w:t>pro lidskou spotřebu.</w:t>
      </w:r>
    </w:p>
    <w:p w14:paraId="333F8660" w14:textId="503EAC16" w:rsidR="00025A23" w:rsidRPr="00FE3244" w:rsidRDefault="00025A23" w:rsidP="00025A23">
      <w:pPr>
        <w:tabs>
          <w:tab w:val="left" w:pos="720"/>
        </w:tabs>
        <w:spacing w:line="240" w:lineRule="auto"/>
      </w:pPr>
    </w:p>
    <w:p w14:paraId="753F8915" w14:textId="77777777" w:rsidR="006764C6" w:rsidRPr="00FE3244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BB8EB25" w:rsidR="00C114FF" w:rsidRPr="00FE3244" w:rsidRDefault="00C605FD" w:rsidP="00C81724">
      <w:pPr>
        <w:pStyle w:val="Style1"/>
        <w:keepNext/>
      </w:pPr>
      <w:r w:rsidRPr="00FE3244">
        <w:lastRenderedPageBreak/>
        <w:t>4.</w:t>
      </w:r>
      <w:r w:rsidRPr="00FE3244">
        <w:tab/>
        <w:t>FARMAKOLOGICKÉ INFORMACE</w:t>
      </w:r>
    </w:p>
    <w:p w14:paraId="36A9E58C" w14:textId="77777777" w:rsidR="00025A23" w:rsidRPr="00FE3244" w:rsidRDefault="00025A23" w:rsidP="00C81724">
      <w:pPr>
        <w:keepNext/>
        <w:spacing w:line="240" w:lineRule="auto"/>
      </w:pPr>
    </w:p>
    <w:p w14:paraId="6DBE6E8E" w14:textId="50E65B31" w:rsidR="005B04A8" w:rsidRPr="00FE3244" w:rsidRDefault="00C605FD" w:rsidP="00B13B6D">
      <w:pPr>
        <w:pStyle w:val="Style1"/>
      </w:pPr>
      <w:r w:rsidRPr="00FE3244">
        <w:t>4.1</w:t>
      </w:r>
      <w:r w:rsidRPr="00FE3244">
        <w:tab/>
      </w:r>
      <w:proofErr w:type="spellStart"/>
      <w:r w:rsidRPr="00FE3244">
        <w:t>ATCvet</w:t>
      </w:r>
      <w:proofErr w:type="spellEnd"/>
      <w:r w:rsidRPr="00FE3244">
        <w:t xml:space="preserve"> kód:</w:t>
      </w:r>
      <w:r w:rsidR="003E5236" w:rsidRPr="00FE3244">
        <w:t xml:space="preserve"> </w:t>
      </w:r>
      <w:r w:rsidR="003E5236" w:rsidRPr="00FE3244">
        <w:rPr>
          <w:b w:val="0"/>
          <w:bCs/>
        </w:rPr>
        <w:t>QJ01CA04</w:t>
      </w:r>
    </w:p>
    <w:p w14:paraId="5C965196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48333686" w:rsidR="00C114FF" w:rsidRPr="00FE3244" w:rsidRDefault="00C605FD" w:rsidP="00B13B6D">
      <w:pPr>
        <w:pStyle w:val="Style1"/>
      </w:pPr>
      <w:r w:rsidRPr="00FE3244">
        <w:t>4.2</w:t>
      </w:r>
      <w:r w:rsidRPr="00FE3244">
        <w:tab/>
        <w:t>Farmakodynamika</w:t>
      </w:r>
    </w:p>
    <w:p w14:paraId="50FA42E3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4ABD00" w14:textId="6D3D94B2" w:rsidR="003E5236" w:rsidRPr="00FE3244" w:rsidRDefault="003E5236" w:rsidP="003E5236">
      <w:pPr>
        <w:spacing w:line="240" w:lineRule="auto"/>
        <w:jc w:val="both"/>
        <w:rPr>
          <w:szCs w:val="24"/>
        </w:rPr>
      </w:pPr>
      <w:r w:rsidRPr="00FE3244">
        <w:rPr>
          <w:szCs w:val="24"/>
        </w:rPr>
        <w:t>Amoxicilin je antibiotikum s</w:t>
      </w:r>
      <w:r w:rsidR="00FE3244">
        <w:rPr>
          <w:szCs w:val="24"/>
        </w:rPr>
        <w:t> časově závislým</w:t>
      </w:r>
      <w:r w:rsidRPr="00FE3244">
        <w:rPr>
          <w:szCs w:val="24"/>
        </w:rPr>
        <w:t xml:space="preserve"> baktericidním účinkem, které působí tím, že inhibuje syntézu buněčných stěn bakterií během bakteriální replikace. Inhibuje tvorbu síťovité struktury mezi řetězci lineárních polymerů, které tvoří </w:t>
      </w:r>
      <w:proofErr w:type="spellStart"/>
      <w:r w:rsidRPr="00FE3244">
        <w:rPr>
          <w:szCs w:val="24"/>
        </w:rPr>
        <w:t>peptidoglykanovou</w:t>
      </w:r>
      <w:proofErr w:type="spellEnd"/>
      <w:r w:rsidRPr="00FE3244">
        <w:rPr>
          <w:szCs w:val="24"/>
        </w:rPr>
        <w:t xml:space="preserve"> buněčnou stěnu </w:t>
      </w:r>
      <w:proofErr w:type="spellStart"/>
      <w:r w:rsidRPr="00FE3244">
        <w:rPr>
          <w:szCs w:val="24"/>
        </w:rPr>
        <w:t>grampozitivních</w:t>
      </w:r>
      <w:proofErr w:type="spellEnd"/>
      <w:r w:rsidRPr="00FE3244">
        <w:rPr>
          <w:szCs w:val="24"/>
        </w:rPr>
        <w:t xml:space="preserve"> bakterií.</w:t>
      </w:r>
    </w:p>
    <w:p w14:paraId="40F1A36E" w14:textId="77777777" w:rsidR="00282EA8" w:rsidRPr="00FE3244" w:rsidRDefault="00282EA8" w:rsidP="003E5236">
      <w:pPr>
        <w:spacing w:line="240" w:lineRule="auto"/>
        <w:jc w:val="both"/>
        <w:rPr>
          <w:szCs w:val="24"/>
        </w:rPr>
      </w:pPr>
    </w:p>
    <w:p w14:paraId="214191E7" w14:textId="77777777" w:rsidR="003E5236" w:rsidRPr="00FE3244" w:rsidRDefault="003E5236" w:rsidP="003E5236">
      <w:pPr>
        <w:spacing w:line="240" w:lineRule="auto"/>
        <w:jc w:val="both"/>
        <w:rPr>
          <w:szCs w:val="24"/>
        </w:rPr>
      </w:pPr>
      <w:r w:rsidRPr="00FE3244">
        <w:rPr>
          <w:szCs w:val="24"/>
        </w:rPr>
        <w:t xml:space="preserve">Amoxicilin je širokospektrý penicilin. Je rovněž účinný proti omezenému spektru gramnegativních bakterií, u nichž je vnější vrstva bakteriální buněčné stěny složena z lipopolysacharidů a proteinů. </w:t>
      </w:r>
    </w:p>
    <w:p w14:paraId="51EB6A57" w14:textId="77777777" w:rsidR="00282EA8" w:rsidRPr="00FE3244" w:rsidRDefault="00282EA8" w:rsidP="003E5236">
      <w:pPr>
        <w:spacing w:line="240" w:lineRule="auto"/>
        <w:jc w:val="both"/>
        <w:rPr>
          <w:szCs w:val="24"/>
        </w:rPr>
      </w:pPr>
    </w:p>
    <w:p w14:paraId="6B8709C8" w14:textId="5FAAAC3D" w:rsidR="003E5236" w:rsidRPr="00FE3244" w:rsidRDefault="003E5236" w:rsidP="003E5236">
      <w:pPr>
        <w:spacing w:line="240" w:lineRule="auto"/>
        <w:jc w:val="both"/>
        <w:rPr>
          <w:szCs w:val="24"/>
        </w:rPr>
      </w:pPr>
      <w:r w:rsidRPr="00FE3244">
        <w:rPr>
          <w:szCs w:val="24"/>
        </w:rPr>
        <w:t>Existují tři hlavní mechanismy rezistence k beta-laktamům: tvorba beta-laktamázy, pozměněná exprese a/nebo modifikace penicilin vázajících proteinů (PBP) a snížen</w:t>
      </w:r>
      <w:r w:rsidR="005662FE" w:rsidRPr="00FE3244">
        <w:rPr>
          <w:szCs w:val="24"/>
        </w:rPr>
        <w:t xml:space="preserve">á penetrace </w:t>
      </w:r>
      <w:r w:rsidRPr="00FE3244">
        <w:rPr>
          <w:szCs w:val="24"/>
        </w:rPr>
        <w:t xml:space="preserve">vnější membránou. Jedním z nejdůležitějších </w:t>
      </w:r>
      <w:r w:rsidR="00C963BE" w:rsidRPr="00FE3244">
        <w:rPr>
          <w:szCs w:val="24"/>
        </w:rPr>
        <w:t xml:space="preserve">mechanismů </w:t>
      </w:r>
      <w:r w:rsidRPr="00FE3244">
        <w:rPr>
          <w:szCs w:val="24"/>
        </w:rPr>
        <w:t>je inaktivace penicilinu beta-</w:t>
      </w:r>
      <w:proofErr w:type="spellStart"/>
      <w:proofErr w:type="gramStart"/>
      <w:r w:rsidRPr="00FE3244">
        <w:rPr>
          <w:szCs w:val="24"/>
        </w:rPr>
        <w:t>laktamáz</w:t>
      </w:r>
      <w:r w:rsidR="00FE3244">
        <w:rPr>
          <w:szCs w:val="24"/>
        </w:rPr>
        <w:t>ami</w:t>
      </w:r>
      <w:proofErr w:type="spellEnd"/>
      <w:r w:rsidR="00FE3244">
        <w:rPr>
          <w:szCs w:val="24"/>
        </w:rPr>
        <w:t xml:space="preserve"> - enzymy</w:t>
      </w:r>
      <w:proofErr w:type="gramEnd"/>
      <w:r w:rsidRPr="00FE3244">
        <w:rPr>
          <w:szCs w:val="24"/>
        </w:rPr>
        <w:t xml:space="preserve"> produkovanými určitými bakteriemi. Tyto enzymy jsou schopny štěpit beta-laktamový kruh penicilinů a způsobit tak jejich inaktivaci. Beta-</w:t>
      </w:r>
      <w:proofErr w:type="spellStart"/>
      <w:r w:rsidRPr="00FE3244">
        <w:rPr>
          <w:szCs w:val="24"/>
        </w:rPr>
        <w:t>laktamáza</w:t>
      </w:r>
      <w:proofErr w:type="spellEnd"/>
      <w:r w:rsidRPr="00FE3244">
        <w:rPr>
          <w:szCs w:val="24"/>
        </w:rPr>
        <w:t xml:space="preserve"> může být kódována gen</w:t>
      </w:r>
      <w:r w:rsidR="00504499">
        <w:rPr>
          <w:szCs w:val="24"/>
        </w:rPr>
        <w:t>y nesenými</w:t>
      </w:r>
      <w:r w:rsidRPr="00FE3244">
        <w:rPr>
          <w:szCs w:val="24"/>
        </w:rPr>
        <w:t xml:space="preserve"> chromozom</w:t>
      </w:r>
      <w:r w:rsidR="00504499">
        <w:rPr>
          <w:szCs w:val="24"/>
        </w:rPr>
        <w:t>y</w:t>
      </w:r>
      <w:r w:rsidRPr="00FE3244">
        <w:rPr>
          <w:szCs w:val="24"/>
        </w:rPr>
        <w:t xml:space="preserve"> nebo </w:t>
      </w:r>
      <w:proofErr w:type="spellStart"/>
      <w:r w:rsidRPr="00FE3244">
        <w:rPr>
          <w:szCs w:val="24"/>
        </w:rPr>
        <w:t>plazmid</w:t>
      </w:r>
      <w:r w:rsidR="00504499">
        <w:rPr>
          <w:szCs w:val="24"/>
        </w:rPr>
        <w:t>y</w:t>
      </w:r>
      <w:proofErr w:type="spellEnd"/>
      <w:r w:rsidRPr="00FE3244">
        <w:rPr>
          <w:szCs w:val="24"/>
        </w:rPr>
        <w:t>.</w:t>
      </w:r>
    </w:p>
    <w:p w14:paraId="7FB17F32" w14:textId="77777777" w:rsidR="00282EA8" w:rsidRPr="00FE3244" w:rsidRDefault="00282EA8" w:rsidP="003E5236">
      <w:pPr>
        <w:spacing w:line="240" w:lineRule="auto"/>
        <w:jc w:val="both"/>
        <w:rPr>
          <w:szCs w:val="24"/>
        </w:rPr>
      </w:pPr>
    </w:p>
    <w:p w14:paraId="368F26B5" w14:textId="77777777" w:rsidR="003E5236" w:rsidRPr="00FE3244" w:rsidRDefault="003E5236" w:rsidP="003E5236">
      <w:pPr>
        <w:spacing w:line="240" w:lineRule="auto"/>
        <w:jc w:val="both"/>
        <w:rPr>
          <w:szCs w:val="24"/>
        </w:rPr>
      </w:pPr>
      <w:r w:rsidRPr="00FE3244">
        <w:rPr>
          <w:szCs w:val="24"/>
        </w:rPr>
        <w:t xml:space="preserve">Mezi amoxicilinem a jinými peniciliny, zvláště </w:t>
      </w:r>
      <w:proofErr w:type="spellStart"/>
      <w:r w:rsidRPr="00FE3244">
        <w:rPr>
          <w:szCs w:val="24"/>
        </w:rPr>
        <w:t>aminopeniciliny</w:t>
      </w:r>
      <w:proofErr w:type="spellEnd"/>
      <w:r w:rsidRPr="00FE3244">
        <w:rPr>
          <w:szCs w:val="24"/>
        </w:rPr>
        <w:t xml:space="preserve"> byla pozorována zkřížená rezistence.</w:t>
      </w:r>
    </w:p>
    <w:p w14:paraId="1FF26C98" w14:textId="77777777" w:rsidR="00936728" w:rsidRPr="00FE3244" w:rsidRDefault="00936728" w:rsidP="003E5236">
      <w:pPr>
        <w:spacing w:line="240" w:lineRule="auto"/>
        <w:jc w:val="both"/>
        <w:rPr>
          <w:szCs w:val="24"/>
        </w:rPr>
      </w:pPr>
    </w:p>
    <w:p w14:paraId="2CCCBAB5" w14:textId="5C20A406" w:rsidR="003E5236" w:rsidRPr="00FE3244" w:rsidRDefault="003E5236" w:rsidP="003E5236">
      <w:pPr>
        <w:spacing w:line="240" w:lineRule="auto"/>
        <w:jc w:val="both"/>
        <w:rPr>
          <w:szCs w:val="24"/>
          <w:u w:val="single"/>
        </w:rPr>
      </w:pPr>
      <w:r w:rsidRPr="00FE3244">
        <w:rPr>
          <w:szCs w:val="24"/>
        </w:rPr>
        <w:t>Použití beta</w:t>
      </w:r>
      <w:r w:rsidR="00CC06FD">
        <w:rPr>
          <w:szCs w:val="24"/>
        </w:rPr>
        <w:t>-</w:t>
      </w:r>
      <w:proofErr w:type="spellStart"/>
      <w:r w:rsidRPr="00FE3244">
        <w:rPr>
          <w:szCs w:val="24"/>
        </w:rPr>
        <w:t>laktamových</w:t>
      </w:r>
      <w:proofErr w:type="spellEnd"/>
      <w:r w:rsidRPr="00FE3244">
        <w:rPr>
          <w:szCs w:val="24"/>
        </w:rPr>
        <w:t xml:space="preserve"> léčivých přípravků s rozšířeným spektrem (např. </w:t>
      </w:r>
      <w:proofErr w:type="spellStart"/>
      <w:r w:rsidRPr="00FE3244">
        <w:rPr>
          <w:szCs w:val="24"/>
        </w:rPr>
        <w:t>aminopeniciliny</w:t>
      </w:r>
      <w:proofErr w:type="spellEnd"/>
      <w:r w:rsidRPr="00FE3244">
        <w:rPr>
          <w:szCs w:val="24"/>
        </w:rPr>
        <w:t>) by mohlo vést k selekci multirezistentních bakteriálních fenotypů (např. fenotypů produkujících beta</w:t>
      </w:r>
      <w:r w:rsidR="00CC06FD">
        <w:rPr>
          <w:szCs w:val="24"/>
        </w:rPr>
        <w:t>-</w:t>
      </w:r>
      <w:r w:rsidRPr="00FE3244">
        <w:rPr>
          <w:szCs w:val="24"/>
        </w:rPr>
        <w:t>laktamázy s rozšířeným spektrem (ESBL).</w:t>
      </w:r>
    </w:p>
    <w:p w14:paraId="13278CA1" w14:textId="77777777" w:rsidR="003E5236" w:rsidRPr="00FE3244" w:rsidRDefault="003E523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6FBF9A4E" w:rsidR="00C114FF" w:rsidRPr="00FE3244" w:rsidRDefault="00C605FD" w:rsidP="00B13B6D">
      <w:pPr>
        <w:pStyle w:val="Style1"/>
      </w:pPr>
      <w:r w:rsidRPr="00FE3244">
        <w:t>4.3</w:t>
      </w:r>
      <w:r w:rsidRPr="00FE3244">
        <w:tab/>
        <w:t>Farmakokinetika</w:t>
      </w:r>
    </w:p>
    <w:p w14:paraId="041767DA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CDA955" w14:textId="77777777" w:rsidR="003E5236" w:rsidRPr="00FE3244" w:rsidRDefault="003E5236" w:rsidP="003E5236">
      <w:pPr>
        <w:spacing w:line="240" w:lineRule="auto"/>
        <w:jc w:val="both"/>
        <w:rPr>
          <w:szCs w:val="24"/>
        </w:rPr>
      </w:pPr>
      <w:r w:rsidRPr="00FE3244">
        <w:t>Amoxicilin se dobře absorbuje po perorálním podání a je stabilní za přítomnosti žaludečních kyselin. Vylučování amoxicilinu probíhá převážně v nezměněné formě ledvinami, což způsobuje vysokou koncentraci ve tkáni ledvin a v moči. Amoxicilin je dobře distribuován v tělních tekutinách.</w:t>
      </w:r>
    </w:p>
    <w:p w14:paraId="5BE605AF" w14:textId="77777777" w:rsidR="003E5236" w:rsidRPr="00FE3244" w:rsidRDefault="003E5236" w:rsidP="003E5236">
      <w:pPr>
        <w:spacing w:line="240" w:lineRule="auto"/>
        <w:jc w:val="both"/>
        <w:rPr>
          <w:szCs w:val="24"/>
        </w:rPr>
      </w:pPr>
    </w:p>
    <w:p w14:paraId="2274E251" w14:textId="319E8264" w:rsidR="003E5236" w:rsidRPr="00FE3244" w:rsidRDefault="00C963BE" w:rsidP="003E5236">
      <w:pPr>
        <w:spacing w:line="240" w:lineRule="auto"/>
        <w:jc w:val="both"/>
        <w:rPr>
          <w:szCs w:val="24"/>
        </w:rPr>
      </w:pPr>
      <w:r w:rsidRPr="00FE3244">
        <w:t xml:space="preserve">Studie u ptáků prokázaly, že distribuce a eliminace amoxicilinu probíhá rychleji než u savců. </w:t>
      </w:r>
      <w:r w:rsidR="003E5236" w:rsidRPr="00FE3244">
        <w:t>Zdá se, že biotransformace je důležitější cestou eliminace u ptáků než u savců.</w:t>
      </w:r>
    </w:p>
    <w:p w14:paraId="791B0BCC" w14:textId="77777777" w:rsidR="003E5236" w:rsidRPr="00FE3244" w:rsidRDefault="003E5236" w:rsidP="003E5236">
      <w:pPr>
        <w:spacing w:line="240" w:lineRule="auto"/>
        <w:rPr>
          <w:szCs w:val="24"/>
        </w:rPr>
      </w:pPr>
    </w:p>
    <w:p w14:paraId="44B643E5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FE3244" w:rsidRDefault="00C605FD" w:rsidP="00B13B6D">
      <w:pPr>
        <w:pStyle w:val="Style1"/>
      </w:pPr>
      <w:r w:rsidRPr="00FE3244">
        <w:t>5.</w:t>
      </w:r>
      <w:r w:rsidRPr="00FE3244">
        <w:tab/>
        <w:t>FARMACEUTICKÉ ÚDAJE</w:t>
      </w:r>
    </w:p>
    <w:p w14:paraId="7BC53755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FE3244" w:rsidRDefault="00C605FD" w:rsidP="00B13B6D">
      <w:pPr>
        <w:pStyle w:val="Style1"/>
      </w:pPr>
      <w:r w:rsidRPr="00FE3244">
        <w:t>5.1</w:t>
      </w:r>
      <w:r w:rsidRPr="00FE3244">
        <w:tab/>
        <w:t>Hlavní inkompatibility</w:t>
      </w:r>
    </w:p>
    <w:p w14:paraId="15C29130" w14:textId="77777777" w:rsidR="00C114FF" w:rsidRPr="00FE32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7B26694" w14:textId="77777777" w:rsidR="003E5236" w:rsidRPr="00FE3244" w:rsidRDefault="003E5236" w:rsidP="003E5236">
      <w:pPr>
        <w:tabs>
          <w:tab w:val="left" w:pos="-1440"/>
        </w:tabs>
        <w:spacing w:line="240" w:lineRule="auto"/>
        <w:rPr>
          <w:szCs w:val="24"/>
        </w:rPr>
      </w:pPr>
      <w:r w:rsidRPr="00FE3244">
        <w:t>Studie kompatibility nejsou k dispozici, a proto tento veterinární léčivý přípravek nesmí být mísen s žádnými dalšími veterinárními léčivými přípravky.</w:t>
      </w:r>
    </w:p>
    <w:p w14:paraId="288F0D5C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FE3244" w:rsidRDefault="00C605FD" w:rsidP="00B13B6D">
      <w:pPr>
        <w:pStyle w:val="Style1"/>
      </w:pPr>
      <w:r w:rsidRPr="00FE3244">
        <w:t>5.2</w:t>
      </w:r>
      <w:r w:rsidRPr="00FE3244">
        <w:tab/>
        <w:t>Doba použitelnosti</w:t>
      </w:r>
    </w:p>
    <w:p w14:paraId="100B6613" w14:textId="77777777" w:rsidR="00C114FF" w:rsidRPr="00FE32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DE600B2" w14:textId="77777777" w:rsidR="003E5236" w:rsidRPr="00FE3244" w:rsidRDefault="003E5236" w:rsidP="003E5236">
      <w:pPr>
        <w:tabs>
          <w:tab w:val="clear" w:pos="567"/>
        </w:tabs>
        <w:spacing w:line="240" w:lineRule="auto"/>
        <w:rPr>
          <w:szCs w:val="22"/>
        </w:rPr>
      </w:pPr>
      <w:r w:rsidRPr="00FE3244">
        <w:rPr>
          <w:szCs w:val="22"/>
        </w:rPr>
        <w:t>Doba použitelnosti veterinárního léčivého přípravku v neporušeném obalu: 3 roky.</w:t>
      </w:r>
    </w:p>
    <w:p w14:paraId="5BB585C1" w14:textId="77777777" w:rsidR="003E5236" w:rsidRPr="00FE3244" w:rsidRDefault="003E5236" w:rsidP="003E5236">
      <w:pPr>
        <w:tabs>
          <w:tab w:val="clear" w:pos="567"/>
        </w:tabs>
        <w:spacing w:line="240" w:lineRule="auto"/>
        <w:rPr>
          <w:szCs w:val="22"/>
        </w:rPr>
      </w:pPr>
      <w:r w:rsidRPr="00FE3244">
        <w:rPr>
          <w:szCs w:val="22"/>
        </w:rPr>
        <w:t>Doba použitelnosti po prvním otevření vnitřního obalu: 3 měsíce.</w:t>
      </w:r>
    </w:p>
    <w:p w14:paraId="4CD9C987" w14:textId="28FD1530" w:rsidR="00C114FF" w:rsidRPr="00FE3244" w:rsidRDefault="003E5236" w:rsidP="003E5236">
      <w:pPr>
        <w:tabs>
          <w:tab w:val="clear" w:pos="567"/>
        </w:tabs>
        <w:spacing w:line="240" w:lineRule="auto"/>
        <w:rPr>
          <w:szCs w:val="22"/>
        </w:rPr>
      </w:pPr>
      <w:r w:rsidRPr="00FE3244">
        <w:rPr>
          <w:szCs w:val="22"/>
        </w:rPr>
        <w:t>Doba použitelnosti po rozpuštění podle návodu: 12 hodin.</w:t>
      </w:r>
    </w:p>
    <w:p w14:paraId="6EFC9B79" w14:textId="77777777" w:rsidR="003E5236" w:rsidRPr="00FE3244" w:rsidRDefault="003E5236" w:rsidP="003E5236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FE3244" w:rsidRDefault="00C605FD" w:rsidP="00B13B6D">
      <w:pPr>
        <w:pStyle w:val="Style1"/>
      </w:pPr>
      <w:r w:rsidRPr="00FE3244">
        <w:t>5.3</w:t>
      </w:r>
      <w:r w:rsidRPr="00FE3244">
        <w:tab/>
        <w:t>Zvláštní opatření pro uchovávání</w:t>
      </w:r>
    </w:p>
    <w:p w14:paraId="7826F268" w14:textId="77777777" w:rsidR="00C114FF" w:rsidRPr="00FE32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CBA9BF8" w14:textId="3D291F07" w:rsidR="003E5236" w:rsidRPr="00FE3244" w:rsidRDefault="003E5236" w:rsidP="003E5236">
      <w:pPr>
        <w:tabs>
          <w:tab w:val="left" w:pos="-1440"/>
        </w:tabs>
        <w:spacing w:line="240" w:lineRule="auto"/>
      </w:pPr>
      <w:r w:rsidRPr="00FE3244">
        <w:t xml:space="preserve">Tento </w:t>
      </w:r>
      <w:r w:rsidR="00697F9C" w:rsidRPr="00FE3244">
        <w:t xml:space="preserve">neotevřený </w:t>
      </w:r>
      <w:r w:rsidRPr="00FE3244">
        <w:t>veterinární léčivý přípravek nevyžaduje žádné zvláštní podmínky uchovávání.</w:t>
      </w:r>
    </w:p>
    <w:p w14:paraId="3DFE2D05" w14:textId="1CF8B450" w:rsidR="003E5236" w:rsidRPr="00FE3244" w:rsidRDefault="003E5236" w:rsidP="003E5236">
      <w:pPr>
        <w:tabs>
          <w:tab w:val="left" w:pos="-1440"/>
        </w:tabs>
        <w:spacing w:line="240" w:lineRule="auto"/>
        <w:rPr>
          <w:szCs w:val="24"/>
        </w:rPr>
      </w:pPr>
      <w:r w:rsidRPr="00FE3244">
        <w:t xml:space="preserve">Po prvním otevření uchovávejte </w:t>
      </w:r>
      <w:r w:rsidR="00697F9C" w:rsidRPr="00FE3244">
        <w:t>v dobře uzavřeném sáčku</w:t>
      </w:r>
      <w:r w:rsidRPr="00FE3244">
        <w:t>, aby byl</w:t>
      </w:r>
      <w:r w:rsidR="00471277" w:rsidRPr="00FE3244">
        <w:t xml:space="preserve"> přípravek</w:t>
      </w:r>
      <w:r w:rsidRPr="00FE3244">
        <w:t xml:space="preserve"> chráněn před vlhkostí.</w:t>
      </w:r>
    </w:p>
    <w:p w14:paraId="205A4A8C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FE3244" w:rsidRDefault="00C605FD" w:rsidP="001E31F1">
      <w:pPr>
        <w:pStyle w:val="Style1"/>
        <w:keepNext/>
      </w:pPr>
      <w:r w:rsidRPr="00FE3244">
        <w:t>5.4</w:t>
      </w:r>
      <w:r w:rsidRPr="00FE3244">
        <w:tab/>
        <w:t>Druh a složení vnitřního obalu</w:t>
      </w:r>
    </w:p>
    <w:p w14:paraId="3EB26241" w14:textId="77777777" w:rsidR="00C114FF" w:rsidRPr="00FE3244" w:rsidRDefault="00C114FF" w:rsidP="005E66FC">
      <w:pPr>
        <w:pStyle w:val="Style1"/>
      </w:pPr>
    </w:p>
    <w:p w14:paraId="651D730F" w14:textId="0C2A2207" w:rsidR="003E5236" w:rsidRPr="00FE3244" w:rsidRDefault="003E5236" w:rsidP="003E5236">
      <w:pPr>
        <w:tabs>
          <w:tab w:val="left" w:pos="720"/>
        </w:tabs>
        <w:spacing w:line="240" w:lineRule="auto"/>
        <w:rPr>
          <w:szCs w:val="24"/>
        </w:rPr>
      </w:pPr>
      <w:r w:rsidRPr="00FE3244">
        <w:t xml:space="preserve">Sáček s vrstvami </w:t>
      </w:r>
      <w:proofErr w:type="spellStart"/>
      <w:r w:rsidRPr="00FE3244">
        <w:t>polyethylentereftalátu</w:t>
      </w:r>
      <w:proofErr w:type="spellEnd"/>
      <w:r w:rsidRPr="00FE3244">
        <w:t xml:space="preserve">, </w:t>
      </w:r>
      <w:proofErr w:type="spellStart"/>
      <w:r w:rsidRPr="00FE3244">
        <w:t>polyethylenu</w:t>
      </w:r>
      <w:proofErr w:type="spellEnd"/>
      <w:r w:rsidRPr="00FE3244">
        <w:t xml:space="preserve">, hliníku a </w:t>
      </w:r>
      <w:proofErr w:type="spellStart"/>
      <w:r w:rsidRPr="00FE3244">
        <w:t>polyethylenu</w:t>
      </w:r>
      <w:proofErr w:type="spellEnd"/>
      <w:r w:rsidRPr="00FE3244">
        <w:t xml:space="preserve"> (PET/PE/ALU/PE) ve směru od vnější vrstvy k vnitřní.</w:t>
      </w:r>
    </w:p>
    <w:p w14:paraId="35D3ECE1" w14:textId="77777777" w:rsidR="003E5236" w:rsidRPr="00FE3244" w:rsidRDefault="003E5236" w:rsidP="003E5236">
      <w:pPr>
        <w:tabs>
          <w:tab w:val="left" w:pos="720"/>
        </w:tabs>
        <w:spacing w:line="240" w:lineRule="auto"/>
        <w:rPr>
          <w:szCs w:val="24"/>
        </w:rPr>
      </w:pPr>
    </w:p>
    <w:p w14:paraId="1E3332D5" w14:textId="47682C87" w:rsidR="003E5236" w:rsidRPr="00FE3244" w:rsidRDefault="003E5236" w:rsidP="003E5236">
      <w:pPr>
        <w:tabs>
          <w:tab w:val="left" w:pos="720"/>
        </w:tabs>
        <w:spacing w:line="240" w:lineRule="auto"/>
        <w:rPr>
          <w:szCs w:val="24"/>
        </w:rPr>
      </w:pPr>
      <w:r w:rsidRPr="00FE3244">
        <w:t xml:space="preserve">Sáček s vrstvami </w:t>
      </w:r>
      <w:proofErr w:type="spellStart"/>
      <w:r w:rsidRPr="00FE3244">
        <w:t>polyethylentereftalátu</w:t>
      </w:r>
      <w:proofErr w:type="spellEnd"/>
      <w:r w:rsidRPr="00FE3244">
        <w:t xml:space="preserve">, hliníku, polyamidu a </w:t>
      </w:r>
      <w:proofErr w:type="spellStart"/>
      <w:r w:rsidRPr="00FE3244">
        <w:t>polyethylenu</w:t>
      </w:r>
      <w:proofErr w:type="spellEnd"/>
      <w:r w:rsidRPr="00FE3244">
        <w:t xml:space="preserve"> (PET/ALU/PA/PE) ve směru od vnější vrstvy k vnitřní.</w:t>
      </w:r>
    </w:p>
    <w:p w14:paraId="2D31C69C" w14:textId="77777777" w:rsidR="003E5236" w:rsidRPr="00FE3244" w:rsidRDefault="003E5236" w:rsidP="003E5236">
      <w:pPr>
        <w:tabs>
          <w:tab w:val="left" w:pos="720"/>
        </w:tabs>
        <w:spacing w:line="240" w:lineRule="auto"/>
        <w:rPr>
          <w:szCs w:val="24"/>
        </w:rPr>
      </w:pPr>
    </w:p>
    <w:p w14:paraId="427353C1" w14:textId="1B5BBC5B" w:rsidR="00697F9C" w:rsidRPr="00FE3244" w:rsidRDefault="00697F9C" w:rsidP="003E5236">
      <w:pPr>
        <w:tabs>
          <w:tab w:val="left" w:pos="720"/>
        </w:tabs>
        <w:spacing w:line="240" w:lineRule="auto"/>
        <w:rPr>
          <w:szCs w:val="24"/>
        </w:rPr>
      </w:pPr>
      <w:r w:rsidRPr="00FE3244">
        <w:rPr>
          <w:szCs w:val="24"/>
        </w:rPr>
        <w:t>Velikosti balení: 100 g, 250 g, 500 g a 1 kg.</w:t>
      </w:r>
    </w:p>
    <w:p w14:paraId="699D0F1C" w14:textId="77777777" w:rsidR="003E5236" w:rsidRPr="00FE3244" w:rsidRDefault="003E5236" w:rsidP="003E5236">
      <w:pPr>
        <w:tabs>
          <w:tab w:val="left" w:pos="720"/>
        </w:tabs>
        <w:spacing w:line="240" w:lineRule="auto"/>
        <w:rPr>
          <w:szCs w:val="24"/>
        </w:rPr>
      </w:pPr>
      <w:r w:rsidRPr="00FE3244">
        <w:t>Na trhu nemusí být všechny velikosti balení.</w:t>
      </w:r>
    </w:p>
    <w:p w14:paraId="584B339F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FE3244" w:rsidRDefault="00C605FD" w:rsidP="00C81724">
      <w:pPr>
        <w:pStyle w:val="Style1"/>
        <w:keepNext/>
        <w:jc w:val="both"/>
      </w:pPr>
      <w:r w:rsidRPr="00FE3244">
        <w:t>5.5</w:t>
      </w:r>
      <w:r w:rsidRPr="00FE3244">
        <w:tab/>
        <w:t xml:space="preserve">Zvláštní opatření pro </w:t>
      </w:r>
      <w:r w:rsidR="00CF069C" w:rsidRPr="00FE3244">
        <w:t xml:space="preserve">likvidaci </w:t>
      </w:r>
      <w:r w:rsidRPr="00FE3244">
        <w:t>nepoužit</w:t>
      </w:r>
      <w:r w:rsidR="002F64C6" w:rsidRPr="00FE3244">
        <w:t>ých</w:t>
      </w:r>
      <w:r w:rsidR="00905CAB" w:rsidRPr="00FE3244">
        <w:t xml:space="preserve"> </w:t>
      </w:r>
      <w:r w:rsidRPr="00FE3244">
        <w:t>veterinární</w:t>
      </w:r>
      <w:r w:rsidR="002F64C6" w:rsidRPr="00FE3244">
        <w:t>ch</w:t>
      </w:r>
      <w:r w:rsidRPr="00FE3244">
        <w:t xml:space="preserve"> léčiv</w:t>
      </w:r>
      <w:r w:rsidR="002F64C6" w:rsidRPr="00FE3244">
        <w:t>ých</w:t>
      </w:r>
      <w:r w:rsidRPr="00FE3244">
        <w:t xml:space="preserve"> přípravk</w:t>
      </w:r>
      <w:r w:rsidR="002F64C6" w:rsidRPr="00FE3244">
        <w:t>ů</w:t>
      </w:r>
      <w:r w:rsidRPr="00FE3244">
        <w:t xml:space="preserve"> nebo odpad</w:t>
      </w:r>
      <w:r w:rsidR="00F84AED" w:rsidRPr="00FE3244">
        <w:t>ů</w:t>
      </w:r>
      <w:r w:rsidR="00B36E65" w:rsidRPr="00FE3244">
        <w:t>, kter</w:t>
      </w:r>
      <w:r w:rsidR="00F84AED" w:rsidRPr="00FE3244">
        <w:t>é</w:t>
      </w:r>
      <w:r w:rsidRPr="00FE3244">
        <w:t xml:space="preserve"> pocház</w:t>
      </w:r>
      <w:r w:rsidR="00B36E65" w:rsidRPr="00FE3244">
        <w:t>í</w:t>
      </w:r>
      <w:r w:rsidRPr="00FE3244">
        <w:t xml:space="preserve"> z</w:t>
      </w:r>
      <w:r w:rsidR="002F64C6" w:rsidRPr="00FE3244">
        <w:t> </w:t>
      </w:r>
      <w:r w:rsidRPr="00FE3244">
        <w:t>t</w:t>
      </w:r>
      <w:r w:rsidR="002F64C6" w:rsidRPr="00FE3244">
        <w:t xml:space="preserve">ěchto </w:t>
      </w:r>
      <w:r w:rsidRPr="00FE3244">
        <w:t>přípravk</w:t>
      </w:r>
      <w:r w:rsidR="002F64C6" w:rsidRPr="00FE3244">
        <w:t>ů</w:t>
      </w:r>
    </w:p>
    <w:p w14:paraId="4E04C78C" w14:textId="77777777" w:rsidR="00C114FF" w:rsidRPr="00FE3244" w:rsidRDefault="00C114FF" w:rsidP="00C8172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6683E2D" w14:textId="6FCA65F0" w:rsidR="00697F9C" w:rsidRPr="00FE3244" w:rsidRDefault="00697F9C" w:rsidP="00C81724">
      <w:pPr>
        <w:spacing w:line="240" w:lineRule="auto"/>
        <w:jc w:val="both"/>
        <w:rPr>
          <w:szCs w:val="22"/>
        </w:rPr>
      </w:pPr>
      <w:r w:rsidRPr="00FE3244">
        <w:t>Léčivé přípravky se nesmí likvidovat prostřednictvím odpadní vody či domovního odpadu.</w:t>
      </w:r>
    </w:p>
    <w:p w14:paraId="28262169" w14:textId="77777777" w:rsidR="00697F9C" w:rsidRPr="00FE3244" w:rsidRDefault="00697F9C" w:rsidP="00C8172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E2CB42" w14:textId="77777777" w:rsidR="00697F9C" w:rsidRPr="00FE3244" w:rsidRDefault="00697F9C" w:rsidP="00C8172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E3244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11C1F911" w14:textId="77777777" w:rsidR="003E5236" w:rsidRPr="00FE3244" w:rsidRDefault="003E523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DD9FD5" w14:textId="77777777" w:rsidR="003E5236" w:rsidRPr="00FE3244" w:rsidRDefault="003E523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FE3244" w:rsidRDefault="00C605FD" w:rsidP="00B13B6D">
      <w:pPr>
        <w:pStyle w:val="Style1"/>
      </w:pPr>
      <w:r w:rsidRPr="00FE3244">
        <w:t>6.</w:t>
      </w:r>
      <w:r w:rsidRPr="00FE3244">
        <w:tab/>
        <w:t>JMÉNO DRŽITELE ROZHODNUTÍ O REGISTRACI</w:t>
      </w:r>
    </w:p>
    <w:p w14:paraId="2E652F1A" w14:textId="77777777" w:rsidR="00C114FF" w:rsidRPr="00FE32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1E7D1C" w14:textId="6F1972EC" w:rsidR="001E31F1" w:rsidRPr="00FE3244" w:rsidRDefault="00664363" w:rsidP="0066436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FE3244">
        <w:rPr>
          <w:szCs w:val="22"/>
        </w:rPr>
        <w:t>Eurovet</w:t>
      </w:r>
      <w:proofErr w:type="spellEnd"/>
      <w:r w:rsidRPr="00FE3244">
        <w:rPr>
          <w:szCs w:val="22"/>
        </w:rPr>
        <w:t xml:space="preserve"> Animal </w:t>
      </w:r>
      <w:proofErr w:type="spellStart"/>
      <w:r w:rsidRPr="00FE3244">
        <w:rPr>
          <w:szCs w:val="22"/>
        </w:rPr>
        <w:t>Health</w:t>
      </w:r>
      <w:proofErr w:type="spellEnd"/>
      <w:r w:rsidRPr="00FE3244">
        <w:rPr>
          <w:szCs w:val="22"/>
        </w:rPr>
        <w:t xml:space="preserve"> B</w:t>
      </w:r>
      <w:r w:rsidR="00206FE4" w:rsidRPr="00FE3244">
        <w:rPr>
          <w:szCs w:val="22"/>
        </w:rPr>
        <w:t>.</w:t>
      </w:r>
      <w:r w:rsidRPr="00FE3244">
        <w:rPr>
          <w:szCs w:val="22"/>
        </w:rPr>
        <w:t>V</w:t>
      </w:r>
      <w:r w:rsidR="00206FE4" w:rsidRPr="00FE3244">
        <w:rPr>
          <w:szCs w:val="22"/>
        </w:rPr>
        <w:t>.</w:t>
      </w:r>
    </w:p>
    <w:p w14:paraId="4CEE6FD5" w14:textId="77777777" w:rsidR="001E31F1" w:rsidRPr="00FE3244" w:rsidRDefault="001E31F1" w:rsidP="00664363">
      <w:pPr>
        <w:tabs>
          <w:tab w:val="clear" w:pos="567"/>
        </w:tabs>
        <w:spacing w:line="240" w:lineRule="auto"/>
        <w:rPr>
          <w:szCs w:val="22"/>
        </w:rPr>
      </w:pPr>
    </w:p>
    <w:p w14:paraId="0F378C84" w14:textId="77777777" w:rsidR="003E5236" w:rsidRPr="00FE3244" w:rsidRDefault="003E523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FE3244" w:rsidRDefault="00C605FD" w:rsidP="00B13B6D">
      <w:pPr>
        <w:pStyle w:val="Style1"/>
      </w:pPr>
      <w:r w:rsidRPr="00FE3244">
        <w:t>7.</w:t>
      </w:r>
      <w:r w:rsidRPr="00FE3244">
        <w:tab/>
        <w:t>REGISTRAČNÍ ČÍSLO(A)</w:t>
      </w:r>
    </w:p>
    <w:p w14:paraId="1FA2C56F" w14:textId="77777777" w:rsidR="00C114FF" w:rsidRPr="00FE324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0D112D" w14:textId="77777777" w:rsidR="003E5236" w:rsidRPr="00FE3244" w:rsidRDefault="003E5236" w:rsidP="003E5236">
      <w:pPr>
        <w:tabs>
          <w:tab w:val="left" w:pos="720"/>
        </w:tabs>
        <w:spacing w:line="240" w:lineRule="auto"/>
        <w:rPr>
          <w:szCs w:val="24"/>
        </w:rPr>
      </w:pPr>
      <w:r w:rsidRPr="00FE3244">
        <w:rPr>
          <w:szCs w:val="24"/>
        </w:rPr>
        <w:t>96/048/</w:t>
      </w:r>
      <w:proofErr w:type="gramStart"/>
      <w:r w:rsidRPr="00FE3244">
        <w:rPr>
          <w:szCs w:val="24"/>
        </w:rPr>
        <w:t>16-C</w:t>
      </w:r>
      <w:proofErr w:type="gramEnd"/>
    </w:p>
    <w:p w14:paraId="42EDA87C" w14:textId="77777777" w:rsidR="006764C6" w:rsidRPr="00FE3244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608950" w14:textId="77777777" w:rsidR="003E5236" w:rsidRPr="00FE3244" w:rsidRDefault="003E523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FE3244" w:rsidRDefault="00C605FD" w:rsidP="00B13B6D">
      <w:pPr>
        <w:pStyle w:val="Style1"/>
      </w:pPr>
      <w:r w:rsidRPr="00FE3244">
        <w:t>8.</w:t>
      </w:r>
      <w:r w:rsidRPr="00FE3244">
        <w:tab/>
        <w:t>DATUM PRVNÍ REGISTRACE</w:t>
      </w:r>
    </w:p>
    <w:p w14:paraId="35CBF67C" w14:textId="77777777" w:rsidR="003E5236" w:rsidRPr="00FE3244" w:rsidRDefault="003E5236" w:rsidP="003E5236">
      <w:pPr>
        <w:tabs>
          <w:tab w:val="left" w:pos="720"/>
        </w:tabs>
        <w:spacing w:line="240" w:lineRule="auto"/>
        <w:rPr>
          <w:szCs w:val="24"/>
        </w:rPr>
      </w:pPr>
    </w:p>
    <w:p w14:paraId="056F334C" w14:textId="05F8F587" w:rsidR="003E5236" w:rsidRPr="00FE3244" w:rsidRDefault="003E5236" w:rsidP="003E5236">
      <w:pPr>
        <w:tabs>
          <w:tab w:val="left" w:pos="720"/>
        </w:tabs>
        <w:spacing w:line="240" w:lineRule="auto"/>
        <w:rPr>
          <w:szCs w:val="24"/>
        </w:rPr>
      </w:pPr>
      <w:r w:rsidRPr="00FE3244">
        <w:rPr>
          <w:szCs w:val="24"/>
        </w:rPr>
        <w:t xml:space="preserve">Datum </w:t>
      </w:r>
      <w:r w:rsidR="00697F9C" w:rsidRPr="00FE3244">
        <w:rPr>
          <w:szCs w:val="24"/>
        </w:rPr>
        <w:t xml:space="preserve">první </w:t>
      </w:r>
      <w:r w:rsidRPr="00FE3244">
        <w:rPr>
          <w:szCs w:val="24"/>
        </w:rPr>
        <w:t>registrace: 10. 6. 2016</w:t>
      </w:r>
    </w:p>
    <w:p w14:paraId="669AE9C0" w14:textId="77777777" w:rsidR="00D65777" w:rsidRPr="00FE3244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FD6322" w14:textId="77777777" w:rsidR="003E5236" w:rsidRPr="00FE3244" w:rsidRDefault="003E523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FE3244" w:rsidRDefault="00C605FD" w:rsidP="00B13B6D">
      <w:pPr>
        <w:pStyle w:val="Style1"/>
      </w:pPr>
      <w:r w:rsidRPr="00FE3244">
        <w:t>9.</w:t>
      </w:r>
      <w:r w:rsidRPr="00FE3244">
        <w:tab/>
        <w:t>DATUM POSLEDNÍ AKTUALIZACE SOUHRNU ÚDAJŮ O PŘÍPRAVKU</w:t>
      </w:r>
    </w:p>
    <w:p w14:paraId="30326986" w14:textId="77777777" w:rsidR="00C114FF" w:rsidRPr="00FE3244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C60129" w14:textId="290CE30B" w:rsidR="00C114FF" w:rsidRPr="00FE3244" w:rsidRDefault="0016761D" w:rsidP="00A9226B">
      <w:pPr>
        <w:tabs>
          <w:tab w:val="clear" w:pos="567"/>
        </w:tabs>
        <w:spacing w:line="240" w:lineRule="auto"/>
        <w:rPr>
          <w:szCs w:val="22"/>
        </w:rPr>
      </w:pPr>
      <w:r w:rsidRPr="00FE3244">
        <w:rPr>
          <w:szCs w:val="24"/>
        </w:rPr>
        <w:t xml:space="preserve"> 0</w:t>
      </w:r>
      <w:r w:rsidR="00D77FD6">
        <w:rPr>
          <w:szCs w:val="24"/>
        </w:rPr>
        <w:t>9</w:t>
      </w:r>
      <w:r w:rsidRPr="00FE3244">
        <w:rPr>
          <w:szCs w:val="24"/>
        </w:rPr>
        <w:t>/2025</w:t>
      </w:r>
    </w:p>
    <w:p w14:paraId="2DB0E157" w14:textId="77777777" w:rsidR="00B113B9" w:rsidRPr="00FE3244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FE3244" w:rsidRDefault="00C605FD" w:rsidP="00B13B6D">
      <w:pPr>
        <w:pStyle w:val="Style1"/>
      </w:pPr>
      <w:r w:rsidRPr="00FE3244">
        <w:t>10.</w:t>
      </w:r>
      <w:r w:rsidRPr="00FE3244">
        <w:tab/>
        <w:t>KLASIFIKACE VETERINÁRNÍCH LÉČIVÝCH PŘÍPRAVKŮ</w:t>
      </w:r>
    </w:p>
    <w:p w14:paraId="1F12B426" w14:textId="77777777" w:rsidR="0078538F" w:rsidRPr="00FE3244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20225E" w14:textId="77777777" w:rsidR="003E5236" w:rsidRPr="00FE3244" w:rsidRDefault="003E5236" w:rsidP="003E5236">
      <w:pPr>
        <w:tabs>
          <w:tab w:val="left" w:pos="720"/>
        </w:tabs>
        <w:spacing w:line="240" w:lineRule="auto"/>
        <w:rPr>
          <w:szCs w:val="24"/>
        </w:rPr>
      </w:pPr>
      <w:r w:rsidRPr="00FE3244">
        <w:t>Veterinární léčivý přípravek je vydáván pouze na předpis.</w:t>
      </w:r>
    </w:p>
    <w:p w14:paraId="351AF1F3" w14:textId="77777777" w:rsidR="00697F9C" w:rsidRPr="00FE3244" w:rsidRDefault="00697F9C" w:rsidP="00A9226B">
      <w:pPr>
        <w:tabs>
          <w:tab w:val="clear" w:pos="567"/>
        </w:tabs>
        <w:spacing w:line="240" w:lineRule="auto"/>
      </w:pPr>
    </w:p>
    <w:p w14:paraId="65C0D10A" w14:textId="77777777" w:rsidR="00697F9C" w:rsidRPr="00FE3244" w:rsidRDefault="00697F9C" w:rsidP="00D77FD6">
      <w:pPr>
        <w:ind w:right="-1"/>
        <w:rPr>
          <w:szCs w:val="22"/>
        </w:rPr>
      </w:pPr>
      <w:bookmarkStart w:id="2" w:name="_Hlk73467306"/>
      <w:r w:rsidRPr="00FE3244">
        <w:t xml:space="preserve">Podrobné informace o tomto veterinárním léčivém přípravku jsou k dispozici v databázi přípravků Unie </w:t>
      </w:r>
      <w:r w:rsidRPr="00FE3244">
        <w:rPr>
          <w:szCs w:val="22"/>
        </w:rPr>
        <w:t>(</w:t>
      </w:r>
      <w:hyperlink r:id="rId8" w:history="1">
        <w:r w:rsidRPr="00FE3244">
          <w:rPr>
            <w:rStyle w:val="Hypertextovodkaz"/>
            <w:szCs w:val="22"/>
          </w:rPr>
          <w:t>https://medicines.health.europa.eu/veterinary</w:t>
        </w:r>
      </w:hyperlink>
      <w:r w:rsidRPr="00FE3244">
        <w:rPr>
          <w:szCs w:val="22"/>
        </w:rPr>
        <w:t>)</w:t>
      </w:r>
      <w:r w:rsidRPr="00FE3244">
        <w:rPr>
          <w:i/>
          <w:szCs w:val="22"/>
        </w:rPr>
        <w:t>.</w:t>
      </w:r>
    </w:p>
    <w:bookmarkEnd w:id="2"/>
    <w:p w14:paraId="12BEFDC5" w14:textId="77777777" w:rsidR="00697F9C" w:rsidRPr="00FE3244" w:rsidRDefault="00697F9C" w:rsidP="00A9226B">
      <w:pPr>
        <w:tabs>
          <w:tab w:val="clear" w:pos="567"/>
        </w:tabs>
        <w:spacing w:line="240" w:lineRule="auto"/>
      </w:pPr>
    </w:p>
    <w:p w14:paraId="3239BED4" w14:textId="7D0996F5" w:rsidR="00D77FD6" w:rsidRDefault="0016761D" w:rsidP="006D075E">
      <w:pPr>
        <w:tabs>
          <w:tab w:val="clear" w:pos="567"/>
        </w:tabs>
        <w:spacing w:line="240" w:lineRule="auto"/>
      </w:pPr>
      <w:r w:rsidRPr="00FE3244">
        <w:t>Podrobné informace o tomto veterinárním léčivém přípravku naleznete také v národní databázi (</w:t>
      </w:r>
      <w:hyperlink r:id="rId9" w:history="1">
        <w:r w:rsidR="00D77FD6" w:rsidRPr="007F55B3">
          <w:rPr>
            <w:rStyle w:val="Hypertextovodkaz"/>
          </w:rPr>
          <w:t>https://www.uskvbl.cz</w:t>
        </w:r>
      </w:hyperlink>
      <w:r w:rsidR="00D77FD6">
        <w:t>).</w:t>
      </w:r>
      <w:bookmarkStart w:id="3" w:name="_GoBack"/>
      <w:bookmarkEnd w:id="3"/>
    </w:p>
    <w:p w14:paraId="64795D6B" w14:textId="1E9A8794" w:rsidR="00F12A3F" w:rsidRPr="00FE3244" w:rsidRDefault="00F12A3F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F12A3F" w:rsidRPr="00FE3244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CF5D" w14:textId="77777777" w:rsidR="00CB2E3A" w:rsidRDefault="00CB2E3A">
      <w:pPr>
        <w:spacing w:line="240" w:lineRule="auto"/>
      </w:pPr>
      <w:r>
        <w:separator/>
      </w:r>
    </w:p>
  </w:endnote>
  <w:endnote w:type="continuationSeparator" w:id="0">
    <w:p w14:paraId="4101ED02" w14:textId="77777777" w:rsidR="00CB2E3A" w:rsidRDefault="00CB2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10D5F" w14:textId="77777777" w:rsidR="00CB2E3A" w:rsidRDefault="00CB2E3A">
      <w:pPr>
        <w:spacing w:line="240" w:lineRule="auto"/>
      </w:pPr>
      <w:r>
        <w:separator/>
      </w:r>
    </w:p>
  </w:footnote>
  <w:footnote w:type="continuationSeparator" w:id="0">
    <w:p w14:paraId="25B6AFED" w14:textId="77777777" w:rsidR="00CB2E3A" w:rsidRDefault="00CB2E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EC0"/>
    <w:rsid w:val="00020AB9"/>
    <w:rsid w:val="00021B82"/>
    <w:rsid w:val="00024777"/>
    <w:rsid w:val="00024E21"/>
    <w:rsid w:val="00025A23"/>
    <w:rsid w:val="00027100"/>
    <w:rsid w:val="000349AA"/>
    <w:rsid w:val="000359D0"/>
    <w:rsid w:val="00036C50"/>
    <w:rsid w:val="000450B1"/>
    <w:rsid w:val="00052D2B"/>
    <w:rsid w:val="00054F55"/>
    <w:rsid w:val="00056EE7"/>
    <w:rsid w:val="00062945"/>
    <w:rsid w:val="00063946"/>
    <w:rsid w:val="00072BCF"/>
    <w:rsid w:val="00073E95"/>
    <w:rsid w:val="00080453"/>
    <w:rsid w:val="0008169A"/>
    <w:rsid w:val="00082200"/>
    <w:rsid w:val="000838BB"/>
    <w:rsid w:val="000860CE"/>
    <w:rsid w:val="00092A37"/>
    <w:rsid w:val="000938A6"/>
    <w:rsid w:val="00094A27"/>
    <w:rsid w:val="00096E78"/>
    <w:rsid w:val="00097C1E"/>
    <w:rsid w:val="000A1DF5"/>
    <w:rsid w:val="000B7873"/>
    <w:rsid w:val="000C02A1"/>
    <w:rsid w:val="000C1D4F"/>
    <w:rsid w:val="000C3ED7"/>
    <w:rsid w:val="000C53F4"/>
    <w:rsid w:val="000C55E6"/>
    <w:rsid w:val="000C687A"/>
    <w:rsid w:val="000D67D0"/>
    <w:rsid w:val="000E115E"/>
    <w:rsid w:val="000E195C"/>
    <w:rsid w:val="000E3602"/>
    <w:rsid w:val="000E6D68"/>
    <w:rsid w:val="000E705A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47148"/>
    <w:rsid w:val="0015098E"/>
    <w:rsid w:val="00153B3A"/>
    <w:rsid w:val="0015447B"/>
    <w:rsid w:val="00154CBB"/>
    <w:rsid w:val="00164543"/>
    <w:rsid w:val="00164C48"/>
    <w:rsid w:val="001674D3"/>
    <w:rsid w:val="0016761D"/>
    <w:rsid w:val="00174721"/>
    <w:rsid w:val="00175264"/>
    <w:rsid w:val="001803D2"/>
    <w:rsid w:val="0018116E"/>
    <w:rsid w:val="0018228B"/>
    <w:rsid w:val="001846B7"/>
    <w:rsid w:val="00185A99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621E"/>
    <w:rsid w:val="001A6612"/>
    <w:rsid w:val="001B1C77"/>
    <w:rsid w:val="001B26EB"/>
    <w:rsid w:val="001B6F4A"/>
    <w:rsid w:val="001B7B38"/>
    <w:rsid w:val="001C5288"/>
    <w:rsid w:val="001C5B03"/>
    <w:rsid w:val="001D1481"/>
    <w:rsid w:val="001D4CE4"/>
    <w:rsid w:val="001D6052"/>
    <w:rsid w:val="001D6D96"/>
    <w:rsid w:val="001E31F1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6FE4"/>
    <w:rsid w:val="002100FC"/>
    <w:rsid w:val="00213890"/>
    <w:rsid w:val="00214E52"/>
    <w:rsid w:val="002207C0"/>
    <w:rsid w:val="00220F0D"/>
    <w:rsid w:val="0022380D"/>
    <w:rsid w:val="00223BA0"/>
    <w:rsid w:val="00224B93"/>
    <w:rsid w:val="00226630"/>
    <w:rsid w:val="002342B6"/>
    <w:rsid w:val="00235A60"/>
    <w:rsid w:val="0023676E"/>
    <w:rsid w:val="002374EF"/>
    <w:rsid w:val="00240047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0A4F"/>
    <w:rsid w:val="00282E7B"/>
    <w:rsid w:val="00282EA8"/>
    <w:rsid w:val="002838C8"/>
    <w:rsid w:val="00290805"/>
    <w:rsid w:val="00290BC2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1F35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57B7"/>
    <w:rsid w:val="00316E87"/>
    <w:rsid w:val="0032260F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308A"/>
    <w:rsid w:val="00353401"/>
    <w:rsid w:val="003535E0"/>
    <w:rsid w:val="003543AC"/>
    <w:rsid w:val="00355AB8"/>
    <w:rsid w:val="00355D02"/>
    <w:rsid w:val="00360AA3"/>
    <w:rsid w:val="00361607"/>
    <w:rsid w:val="00365C0D"/>
    <w:rsid w:val="00366F56"/>
    <w:rsid w:val="00370844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4C8E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187B"/>
    <w:rsid w:val="003D378C"/>
    <w:rsid w:val="003D3893"/>
    <w:rsid w:val="003D4BB7"/>
    <w:rsid w:val="003E0116"/>
    <w:rsid w:val="003E10EE"/>
    <w:rsid w:val="003E26C3"/>
    <w:rsid w:val="003E5236"/>
    <w:rsid w:val="003E5F70"/>
    <w:rsid w:val="003E6225"/>
    <w:rsid w:val="003E6F0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27178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1277"/>
    <w:rsid w:val="00474C50"/>
    <w:rsid w:val="004768DB"/>
    <w:rsid w:val="004771F9"/>
    <w:rsid w:val="00486006"/>
    <w:rsid w:val="00486BAD"/>
    <w:rsid w:val="00486BBE"/>
    <w:rsid w:val="00487123"/>
    <w:rsid w:val="004927A2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8F0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4499"/>
    <w:rsid w:val="00506AAE"/>
    <w:rsid w:val="00517756"/>
    <w:rsid w:val="005202C6"/>
    <w:rsid w:val="00523C53"/>
    <w:rsid w:val="00526F09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62FE"/>
    <w:rsid w:val="0057436C"/>
    <w:rsid w:val="00575DE3"/>
    <w:rsid w:val="00580B08"/>
    <w:rsid w:val="00582578"/>
    <w:rsid w:val="00585D66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0567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6A9E"/>
    <w:rsid w:val="005F6B46"/>
    <w:rsid w:val="00602D3B"/>
    <w:rsid w:val="0060326F"/>
    <w:rsid w:val="00606EA1"/>
    <w:rsid w:val="006128F0"/>
    <w:rsid w:val="006149BB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849"/>
    <w:rsid w:val="00654E13"/>
    <w:rsid w:val="00657B1F"/>
    <w:rsid w:val="0066203F"/>
    <w:rsid w:val="00664363"/>
    <w:rsid w:val="00667489"/>
    <w:rsid w:val="006677A4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9637F"/>
    <w:rsid w:val="00697F9C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00B0"/>
    <w:rsid w:val="006E15A2"/>
    <w:rsid w:val="006E2F95"/>
    <w:rsid w:val="006F148B"/>
    <w:rsid w:val="006F3CAE"/>
    <w:rsid w:val="00705EAF"/>
    <w:rsid w:val="0070773E"/>
    <w:rsid w:val="007101CC"/>
    <w:rsid w:val="00715C55"/>
    <w:rsid w:val="00724E3B"/>
    <w:rsid w:val="00725EEA"/>
    <w:rsid w:val="007276B6"/>
    <w:rsid w:val="00730687"/>
    <w:rsid w:val="00730908"/>
    <w:rsid w:val="00730CE9"/>
    <w:rsid w:val="0073373D"/>
    <w:rsid w:val="00736B1E"/>
    <w:rsid w:val="007439DB"/>
    <w:rsid w:val="007464DA"/>
    <w:rsid w:val="007568D8"/>
    <w:rsid w:val="007616B4"/>
    <w:rsid w:val="00761F62"/>
    <w:rsid w:val="00765316"/>
    <w:rsid w:val="007708C8"/>
    <w:rsid w:val="0077719D"/>
    <w:rsid w:val="00780DF0"/>
    <w:rsid w:val="007810B7"/>
    <w:rsid w:val="00782F0F"/>
    <w:rsid w:val="0078538F"/>
    <w:rsid w:val="00787482"/>
    <w:rsid w:val="00792F34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42B7"/>
    <w:rsid w:val="007C72C5"/>
    <w:rsid w:val="007C796D"/>
    <w:rsid w:val="007D38C4"/>
    <w:rsid w:val="007D3AAE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5BA5"/>
    <w:rsid w:val="008066AD"/>
    <w:rsid w:val="00812CD8"/>
    <w:rsid w:val="008145D9"/>
    <w:rsid w:val="00814AF1"/>
    <w:rsid w:val="0081517F"/>
    <w:rsid w:val="008151E0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46F71"/>
    <w:rsid w:val="00850794"/>
    <w:rsid w:val="00850FD3"/>
    <w:rsid w:val="00852FF2"/>
    <w:rsid w:val="008530E7"/>
    <w:rsid w:val="00856BDB"/>
    <w:rsid w:val="00857675"/>
    <w:rsid w:val="00861F86"/>
    <w:rsid w:val="00862180"/>
    <w:rsid w:val="00865E02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97421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C7F41"/>
    <w:rsid w:val="008D2261"/>
    <w:rsid w:val="008D4C28"/>
    <w:rsid w:val="008D577B"/>
    <w:rsid w:val="008D7A98"/>
    <w:rsid w:val="008E17C4"/>
    <w:rsid w:val="008E219E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2D3F"/>
    <w:rsid w:val="00913885"/>
    <w:rsid w:val="00915ABF"/>
    <w:rsid w:val="00921CAD"/>
    <w:rsid w:val="009311ED"/>
    <w:rsid w:val="00931D41"/>
    <w:rsid w:val="00933D18"/>
    <w:rsid w:val="0093672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775F9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50A2"/>
    <w:rsid w:val="009B5728"/>
    <w:rsid w:val="009B6DBD"/>
    <w:rsid w:val="009C108A"/>
    <w:rsid w:val="009C2E47"/>
    <w:rsid w:val="009C6BFB"/>
    <w:rsid w:val="009D0C05"/>
    <w:rsid w:val="009D6AA7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152"/>
    <w:rsid w:val="00A9575C"/>
    <w:rsid w:val="00A95B56"/>
    <w:rsid w:val="00A95E81"/>
    <w:rsid w:val="00A969AF"/>
    <w:rsid w:val="00AB1658"/>
    <w:rsid w:val="00AB1A2E"/>
    <w:rsid w:val="00AB328A"/>
    <w:rsid w:val="00AB4918"/>
    <w:rsid w:val="00AB4BC8"/>
    <w:rsid w:val="00AB680F"/>
    <w:rsid w:val="00AB6BA7"/>
    <w:rsid w:val="00AB7BE8"/>
    <w:rsid w:val="00AD0710"/>
    <w:rsid w:val="00AD0A16"/>
    <w:rsid w:val="00AD4DB9"/>
    <w:rsid w:val="00AD63C0"/>
    <w:rsid w:val="00AE35B2"/>
    <w:rsid w:val="00AE6AA0"/>
    <w:rsid w:val="00AF22E5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2BAB"/>
    <w:rsid w:val="00B93E4C"/>
    <w:rsid w:val="00B94A1B"/>
    <w:rsid w:val="00B956CC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25DE"/>
    <w:rsid w:val="00BE3261"/>
    <w:rsid w:val="00BF00EF"/>
    <w:rsid w:val="00BF58FC"/>
    <w:rsid w:val="00BF60EA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2F56"/>
    <w:rsid w:val="00C237E9"/>
    <w:rsid w:val="00C32989"/>
    <w:rsid w:val="00C32BD1"/>
    <w:rsid w:val="00C341E6"/>
    <w:rsid w:val="00C34260"/>
    <w:rsid w:val="00C35598"/>
    <w:rsid w:val="00C36883"/>
    <w:rsid w:val="00C40928"/>
    <w:rsid w:val="00C40CFF"/>
    <w:rsid w:val="00C42697"/>
    <w:rsid w:val="00C43F01"/>
    <w:rsid w:val="00C44818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724"/>
    <w:rsid w:val="00C81C97"/>
    <w:rsid w:val="00C828CF"/>
    <w:rsid w:val="00C840C2"/>
    <w:rsid w:val="00C84101"/>
    <w:rsid w:val="00C8535F"/>
    <w:rsid w:val="00C90EDA"/>
    <w:rsid w:val="00C94728"/>
    <w:rsid w:val="00C959E7"/>
    <w:rsid w:val="00C963BE"/>
    <w:rsid w:val="00C96690"/>
    <w:rsid w:val="00CA28D8"/>
    <w:rsid w:val="00CB2E3A"/>
    <w:rsid w:val="00CC06FD"/>
    <w:rsid w:val="00CC1E65"/>
    <w:rsid w:val="00CC567A"/>
    <w:rsid w:val="00CC6C03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767B8"/>
    <w:rsid w:val="00D77FD6"/>
    <w:rsid w:val="00D804AA"/>
    <w:rsid w:val="00D83661"/>
    <w:rsid w:val="00D90E86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388B"/>
    <w:rsid w:val="00DE424A"/>
    <w:rsid w:val="00DE4419"/>
    <w:rsid w:val="00DE4F11"/>
    <w:rsid w:val="00DE67C4"/>
    <w:rsid w:val="00DE6C4C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3076B"/>
    <w:rsid w:val="00E30FA1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F66"/>
    <w:rsid w:val="00E86CEE"/>
    <w:rsid w:val="00E935AF"/>
    <w:rsid w:val="00E95E63"/>
    <w:rsid w:val="00EB0E20"/>
    <w:rsid w:val="00EB1682"/>
    <w:rsid w:val="00EB1A80"/>
    <w:rsid w:val="00EB457B"/>
    <w:rsid w:val="00EB736F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179D"/>
    <w:rsid w:val="00EF2247"/>
    <w:rsid w:val="00EF3110"/>
    <w:rsid w:val="00EF3A8A"/>
    <w:rsid w:val="00EF3C9F"/>
    <w:rsid w:val="00F0054D"/>
    <w:rsid w:val="00F02467"/>
    <w:rsid w:val="00F04D0E"/>
    <w:rsid w:val="00F12214"/>
    <w:rsid w:val="00F12565"/>
    <w:rsid w:val="00F12A3F"/>
    <w:rsid w:val="00F144BE"/>
    <w:rsid w:val="00F14ACA"/>
    <w:rsid w:val="00F17A0C"/>
    <w:rsid w:val="00F23927"/>
    <w:rsid w:val="00F26545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3494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244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rmlnweb">
    <w:name w:val="Normal (Web)"/>
    <w:basedOn w:val="Normln"/>
    <w:uiPriority w:val="99"/>
    <w:unhideWhenUsed/>
    <w:rsid w:val="00025A23"/>
    <w:pPr>
      <w:widowControl w:val="0"/>
      <w:tabs>
        <w:tab w:val="clear" w:pos="567"/>
      </w:tabs>
      <w:adjustRightInd w:val="0"/>
      <w:spacing w:before="100" w:beforeAutospacing="1" w:after="100" w:afterAutospacing="1" w:line="240" w:lineRule="auto"/>
      <w:jc w:val="both"/>
      <w:textAlignment w:val="baseline"/>
    </w:pPr>
    <w:rPr>
      <w:rFonts w:eastAsia="Calibri"/>
      <w:sz w:val="24"/>
      <w:szCs w:val="24"/>
      <w:lang w:eastAsia="cs-CZ" w:bidi="cs-CZ"/>
    </w:rPr>
  </w:style>
  <w:style w:type="character" w:styleId="Nevyeenzmnka">
    <w:name w:val="Unresolved Mention"/>
    <w:basedOn w:val="Standardnpsmoodstavce"/>
    <w:rsid w:val="00D77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800F-BCC4-45F0-8E7B-37DEB593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1631</Words>
  <Characters>9628</Characters>
  <Application>Microsoft Office Word</Application>
  <DocSecurity>0</DocSecurity>
  <Lines>80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25</cp:revision>
  <cp:lastPrinted>2025-09-08T12:22:00Z</cp:lastPrinted>
  <dcterms:created xsi:type="dcterms:W3CDTF">2024-10-29T13:59:00Z</dcterms:created>
  <dcterms:modified xsi:type="dcterms:W3CDTF">2025-09-08T12:22:00Z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