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D2762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D2762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D2762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3470F818" w:rsidR="00C114FF" w:rsidRPr="00B41D57" w:rsidRDefault="005D3DA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D3DAA">
        <w:t>Espacox</w:t>
      </w:r>
      <w:proofErr w:type="spellEnd"/>
      <w:r w:rsidRPr="005D3DAA">
        <w:t xml:space="preserve"> 50 mg/ml perorální suspenze pro prasata</w:t>
      </w:r>
      <w:r w:rsidR="00467BD4">
        <w:t xml:space="preserve"> 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D2762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167BC" w14:textId="2CC40B1F" w:rsidR="0074635E" w:rsidRPr="007A234D" w:rsidRDefault="00FF78A5" w:rsidP="0074635E">
      <w:pPr>
        <w:jc w:val="both"/>
        <w:rPr>
          <w:color w:val="000000"/>
          <w:szCs w:val="22"/>
        </w:rPr>
      </w:pPr>
      <w:r>
        <w:rPr>
          <w:color w:val="000000"/>
        </w:rPr>
        <w:t xml:space="preserve">Každý </w:t>
      </w:r>
      <w:r w:rsidR="0074635E">
        <w:rPr>
          <w:color w:val="000000"/>
        </w:rPr>
        <w:t>ml obsahuje:</w:t>
      </w:r>
    </w:p>
    <w:p w14:paraId="272593E8" w14:textId="77777777" w:rsidR="0074635E" w:rsidRPr="007A234D" w:rsidRDefault="0074635E" w:rsidP="0074635E">
      <w:pPr>
        <w:jc w:val="both"/>
        <w:rPr>
          <w:color w:val="000000"/>
          <w:szCs w:val="22"/>
        </w:rPr>
      </w:pPr>
      <w:r>
        <w:tab/>
      </w:r>
    </w:p>
    <w:p w14:paraId="67A7E174" w14:textId="77777777" w:rsidR="0074635E" w:rsidRPr="007A234D" w:rsidRDefault="0074635E" w:rsidP="0074635E">
      <w:pPr>
        <w:jc w:val="both"/>
        <w:rPr>
          <w:b/>
          <w:color w:val="000000"/>
          <w:szCs w:val="22"/>
        </w:rPr>
      </w:pPr>
      <w:r>
        <w:rPr>
          <w:b/>
          <w:color w:val="000000"/>
        </w:rPr>
        <w:t>Léčivá látka:</w:t>
      </w:r>
      <w:r>
        <w:tab/>
      </w:r>
    </w:p>
    <w:p w14:paraId="2E81057E" w14:textId="0DB834F3" w:rsidR="0074635E" w:rsidRPr="007A234D" w:rsidRDefault="0074635E" w:rsidP="0074635E">
      <w:pPr>
        <w:jc w:val="both"/>
        <w:rPr>
          <w:color w:val="000000"/>
          <w:szCs w:val="22"/>
        </w:rPr>
      </w:pPr>
      <w:proofErr w:type="spellStart"/>
      <w:r>
        <w:rPr>
          <w:color w:val="000000"/>
        </w:rPr>
        <w:t>Toltrazurilum</w:t>
      </w:r>
      <w:proofErr w:type="spellEnd"/>
      <w:r>
        <w:tab/>
      </w:r>
      <w:r>
        <w:tab/>
      </w:r>
      <w:r>
        <w:tab/>
      </w:r>
      <w:r>
        <w:rPr>
          <w:color w:val="000000"/>
        </w:rPr>
        <w:t>50 m</w:t>
      </w:r>
      <w:r w:rsidR="00C55C07">
        <w:rPr>
          <w:color w:val="000000"/>
        </w:rPr>
        <w:t>g</w:t>
      </w:r>
    </w:p>
    <w:p w14:paraId="26BC9143" w14:textId="77777777" w:rsidR="0074635E" w:rsidRPr="007A234D" w:rsidRDefault="0074635E" w:rsidP="0074635E">
      <w:pPr>
        <w:jc w:val="both"/>
        <w:rPr>
          <w:color w:val="000000"/>
          <w:szCs w:val="22"/>
        </w:rPr>
      </w:pPr>
      <w:r>
        <w:tab/>
      </w:r>
    </w:p>
    <w:p w14:paraId="2B1D6CB1" w14:textId="77777777" w:rsidR="0074635E" w:rsidRPr="007A234D" w:rsidRDefault="0074635E" w:rsidP="0074635E">
      <w:pPr>
        <w:jc w:val="both"/>
        <w:rPr>
          <w:b/>
          <w:color w:val="000000"/>
          <w:szCs w:val="22"/>
        </w:rPr>
      </w:pPr>
      <w:r>
        <w:rPr>
          <w:b/>
          <w:color w:val="000000"/>
        </w:rPr>
        <w:t>Pomocné látky:</w:t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74635E" w14:paraId="47671FBF" w14:textId="77777777" w:rsidTr="00761E25">
        <w:tc>
          <w:tcPr>
            <w:tcW w:w="4643" w:type="dxa"/>
            <w:shd w:val="clear" w:color="auto" w:fill="auto"/>
            <w:vAlign w:val="center"/>
          </w:tcPr>
          <w:p w14:paraId="1EC44E61" w14:textId="77777777" w:rsidR="0074635E" w:rsidRPr="00B41D57" w:rsidRDefault="0074635E" w:rsidP="00761E2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FF9795" w14:textId="77777777" w:rsidR="0074635E" w:rsidRPr="00B41D57" w:rsidRDefault="0074635E" w:rsidP="00761E2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4635E" w14:paraId="177FCFFA" w14:textId="77777777" w:rsidTr="00761E25">
        <w:tc>
          <w:tcPr>
            <w:tcW w:w="4643" w:type="dxa"/>
            <w:shd w:val="clear" w:color="auto" w:fill="auto"/>
            <w:vAlign w:val="center"/>
          </w:tcPr>
          <w:p w14:paraId="5A39BC86" w14:textId="0FF14A03" w:rsidR="0074635E" w:rsidRPr="00B41D57" w:rsidRDefault="0074635E" w:rsidP="00761E25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color w:val="000000"/>
              </w:rPr>
              <w:t>Natrium-benzoát (E</w:t>
            </w:r>
            <w:r w:rsidR="00FF78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024E39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2,1 mg</w:t>
            </w:r>
          </w:p>
        </w:tc>
      </w:tr>
      <w:tr w:rsidR="0074635E" w14:paraId="04554438" w14:textId="77777777" w:rsidTr="00761E25">
        <w:tc>
          <w:tcPr>
            <w:tcW w:w="4643" w:type="dxa"/>
            <w:shd w:val="clear" w:color="auto" w:fill="auto"/>
            <w:vAlign w:val="center"/>
          </w:tcPr>
          <w:p w14:paraId="1D5A799F" w14:textId="36B11382" w:rsidR="0074635E" w:rsidRPr="00B41D57" w:rsidRDefault="0074635E" w:rsidP="00761E25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color w:val="000000"/>
              </w:rPr>
              <w:t>Natrium-propionát (E</w:t>
            </w:r>
            <w:r w:rsidR="00FF78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F88D66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2,1 mg</w:t>
            </w:r>
          </w:p>
        </w:tc>
      </w:tr>
      <w:tr w:rsidR="0074635E" w14:paraId="032EEF01" w14:textId="77777777" w:rsidTr="00761E25">
        <w:tc>
          <w:tcPr>
            <w:tcW w:w="4643" w:type="dxa"/>
            <w:shd w:val="clear" w:color="auto" w:fill="auto"/>
            <w:vAlign w:val="center"/>
          </w:tcPr>
          <w:p w14:paraId="5626DABB" w14:textId="77777777" w:rsidR="0074635E" w:rsidRPr="00B41D57" w:rsidRDefault="0074635E" w:rsidP="00761E25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color w:val="000000"/>
              </w:rPr>
              <w:t xml:space="preserve">Sodná sůl </w:t>
            </w:r>
            <w:proofErr w:type="spellStart"/>
            <w:r>
              <w:rPr>
                <w:color w:val="000000"/>
              </w:rPr>
              <w:t>dokusátu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BA20F3A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</w:p>
        </w:tc>
      </w:tr>
      <w:tr w:rsidR="0074635E" w14:paraId="3F2EF7CE" w14:textId="77777777" w:rsidTr="00761E25">
        <w:tc>
          <w:tcPr>
            <w:tcW w:w="4643" w:type="dxa"/>
            <w:shd w:val="clear" w:color="auto" w:fill="auto"/>
            <w:vAlign w:val="center"/>
          </w:tcPr>
          <w:p w14:paraId="3A939F0E" w14:textId="77777777" w:rsidR="0074635E" w:rsidRPr="00B41D57" w:rsidRDefault="0074635E" w:rsidP="00761E25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color w:val="000000"/>
              </w:rPr>
              <w:t>Bentonit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499D93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</w:p>
        </w:tc>
      </w:tr>
      <w:tr w:rsidR="0074635E" w14:paraId="0726F384" w14:textId="77777777" w:rsidTr="00761E25">
        <w:tc>
          <w:tcPr>
            <w:tcW w:w="4643" w:type="dxa"/>
            <w:shd w:val="clear" w:color="auto" w:fill="auto"/>
            <w:vAlign w:val="center"/>
          </w:tcPr>
          <w:p w14:paraId="07E566CB" w14:textId="77777777" w:rsidR="0074635E" w:rsidRPr="00B41D57" w:rsidRDefault="0074635E" w:rsidP="00761E25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color w:val="000000"/>
              </w:rPr>
              <w:t>Xanthanová</w:t>
            </w:r>
            <w:proofErr w:type="spellEnd"/>
            <w:r>
              <w:rPr>
                <w:color w:val="000000"/>
              </w:rPr>
              <w:t xml:space="preserve"> klovatina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A51BC4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</w:p>
        </w:tc>
      </w:tr>
      <w:tr w:rsidR="0074635E" w14:paraId="159C2456" w14:textId="77777777" w:rsidTr="00761E25">
        <w:tc>
          <w:tcPr>
            <w:tcW w:w="4643" w:type="dxa"/>
            <w:shd w:val="clear" w:color="auto" w:fill="auto"/>
            <w:vAlign w:val="center"/>
          </w:tcPr>
          <w:p w14:paraId="7C58C31A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color w:val="000000"/>
              </w:rPr>
              <w:t>Propylenglykol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7441A677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</w:p>
        </w:tc>
      </w:tr>
      <w:tr w:rsidR="0074635E" w14:paraId="3C3FD118" w14:textId="77777777" w:rsidTr="00761E25">
        <w:tc>
          <w:tcPr>
            <w:tcW w:w="4643" w:type="dxa"/>
            <w:shd w:val="clear" w:color="auto" w:fill="auto"/>
            <w:vAlign w:val="center"/>
          </w:tcPr>
          <w:p w14:paraId="222AA985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</w:rPr>
              <w:t xml:space="preserve">Kyselina citronová </w:t>
            </w:r>
            <w:r w:rsidRPr="003341C3">
              <w:rPr>
                <w:color w:val="000000"/>
              </w:rPr>
              <w:t>(</w:t>
            </w:r>
            <w:r w:rsidRPr="00F85F5B">
              <w:rPr>
                <w:color w:val="000000"/>
              </w:rPr>
              <w:t>pro úpravu pH</w:t>
            </w:r>
            <w:r w:rsidRPr="003341C3">
              <w:rPr>
                <w:color w:val="000000"/>
              </w:rPr>
              <w:t>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B62895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</w:p>
        </w:tc>
      </w:tr>
      <w:tr w:rsidR="0074635E" w14:paraId="0EE6F2EC" w14:textId="77777777" w:rsidTr="00761E25">
        <w:tc>
          <w:tcPr>
            <w:tcW w:w="4643" w:type="dxa"/>
            <w:shd w:val="clear" w:color="auto" w:fill="auto"/>
            <w:vAlign w:val="center"/>
          </w:tcPr>
          <w:p w14:paraId="77454DF2" w14:textId="77777777" w:rsidR="0074635E" w:rsidRPr="00B41D57" w:rsidRDefault="0074635E" w:rsidP="00761E2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rPr>
                <w:color w:val="000000"/>
              </w:rPr>
              <w:t>Simetikonová</w:t>
            </w:r>
            <w:proofErr w:type="spellEnd"/>
            <w:r>
              <w:rPr>
                <w:color w:val="000000"/>
              </w:rPr>
              <w:t xml:space="preserve"> emulze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CC4103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</w:p>
        </w:tc>
      </w:tr>
      <w:tr w:rsidR="0074635E" w14:paraId="0A615596" w14:textId="77777777" w:rsidTr="00761E25">
        <w:tc>
          <w:tcPr>
            <w:tcW w:w="4643" w:type="dxa"/>
            <w:shd w:val="clear" w:color="auto" w:fill="auto"/>
            <w:vAlign w:val="center"/>
          </w:tcPr>
          <w:p w14:paraId="4D02119D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</w:rPr>
              <w:t>Čištěná voda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6A919E" w14:textId="77777777" w:rsidR="0074635E" w:rsidRPr="00B41D57" w:rsidRDefault="0074635E" w:rsidP="00761E25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5AED569" w14:textId="77777777" w:rsidR="0074635E" w:rsidRPr="007A234D" w:rsidRDefault="0074635E" w:rsidP="0074635E">
      <w:pPr>
        <w:jc w:val="both"/>
        <w:rPr>
          <w:color w:val="000000"/>
          <w:szCs w:val="22"/>
        </w:rPr>
      </w:pPr>
    </w:p>
    <w:p w14:paraId="387FCF85" w14:textId="390D1EB3" w:rsidR="0074635E" w:rsidRPr="00022183" w:rsidRDefault="0074635E" w:rsidP="0074635E">
      <w:pPr>
        <w:spacing w:after="120"/>
        <w:jc w:val="both"/>
        <w:rPr>
          <w:color w:val="000000"/>
          <w:szCs w:val="22"/>
        </w:rPr>
      </w:pPr>
      <w:r>
        <w:rPr>
          <w:color w:val="000000"/>
        </w:rPr>
        <w:t>Bílá nebo nažloutlá suspenze</w:t>
      </w:r>
      <w:r w:rsidR="0050221C">
        <w:rPr>
          <w:color w:val="000000"/>
        </w:rPr>
        <w:t>.</w:t>
      </w:r>
    </w:p>
    <w:p w14:paraId="310735B4" w14:textId="77777777" w:rsidR="0074635E" w:rsidRDefault="0074635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8BC19A3" w14:textId="77777777" w:rsidR="00C114FF" w:rsidRPr="00B41D57" w:rsidRDefault="00D2762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D2762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0A423" w14:textId="4A2A6123" w:rsidR="00A93F9C" w:rsidRDefault="00A93F9C" w:rsidP="00A93F9C">
      <w:pPr>
        <w:jc w:val="both"/>
        <w:rPr>
          <w:color w:val="000000"/>
          <w:szCs w:val="22"/>
        </w:rPr>
      </w:pPr>
      <w:r>
        <w:rPr>
          <w:color w:val="000000"/>
        </w:rPr>
        <w:t xml:space="preserve">Prasata (selata ve </w:t>
      </w:r>
      <w:r w:rsidR="00154DB6">
        <w:rPr>
          <w:color w:val="000000"/>
        </w:rPr>
        <w:t xml:space="preserve">věku </w:t>
      </w:r>
      <w:r>
        <w:rPr>
          <w:color w:val="000000"/>
        </w:rPr>
        <w:t>3-5 dní).</w:t>
      </w:r>
    </w:p>
    <w:p w14:paraId="476FEBAA" w14:textId="77777777" w:rsidR="00A93F9C" w:rsidRPr="00B41D57" w:rsidRDefault="00A93F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D2762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6ED588" w14:textId="1ECF7CCC" w:rsidR="00A93F9C" w:rsidRPr="00022183" w:rsidRDefault="00A93F9C" w:rsidP="00A93F9C">
      <w:pPr>
        <w:jc w:val="both"/>
        <w:rPr>
          <w:color w:val="000000"/>
          <w:szCs w:val="22"/>
        </w:rPr>
      </w:pPr>
      <w:r>
        <w:rPr>
          <w:color w:val="000000"/>
        </w:rPr>
        <w:t>Prevence klinických příznaků kokcidiózy u novorozených selat (</w:t>
      </w:r>
      <w:r w:rsidR="007F0A20">
        <w:rPr>
          <w:color w:val="000000"/>
        </w:rPr>
        <w:t xml:space="preserve">ve věku </w:t>
      </w:r>
      <w:r>
        <w:rPr>
          <w:color w:val="000000"/>
        </w:rPr>
        <w:t xml:space="preserve">3-5 dní) na farmách s dřívějším výskytem kokcidiózy způsobené druhem </w:t>
      </w:r>
      <w:proofErr w:type="spellStart"/>
      <w:r w:rsidRPr="003341C3">
        <w:rPr>
          <w:i/>
          <w:color w:val="000000"/>
        </w:rPr>
        <w:t>Cystoisospora</w:t>
      </w:r>
      <w:proofErr w:type="spellEnd"/>
      <w:r w:rsidRPr="003341C3">
        <w:rPr>
          <w:i/>
          <w:color w:val="000000"/>
        </w:rPr>
        <w:t xml:space="preserve"> </w:t>
      </w:r>
      <w:proofErr w:type="spellStart"/>
      <w:r w:rsidRPr="003341C3">
        <w:rPr>
          <w:i/>
          <w:color w:val="000000"/>
        </w:rPr>
        <w:t>suis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color w:val="000000"/>
        </w:rPr>
        <w:t>Isospora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suis</w:t>
      </w:r>
      <w:proofErr w:type="spellEnd"/>
      <w:r>
        <w:rPr>
          <w:color w:val="000000"/>
        </w:rPr>
        <w:t>).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D2762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324C59" w14:textId="77777777" w:rsidR="00A93F9C" w:rsidRPr="00022183" w:rsidRDefault="00A93F9C" w:rsidP="00A93F9C">
      <w:pPr>
        <w:jc w:val="both"/>
        <w:rPr>
          <w:color w:val="000000"/>
          <w:szCs w:val="22"/>
        </w:rPr>
      </w:pPr>
      <w:r w:rsidRPr="003341C3">
        <w:rPr>
          <w:color w:val="000000"/>
        </w:rPr>
        <w:t xml:space="preserve">Nepoužívat v případech přecitlivělosti na </w:t>
      </w:r>
      <w:r>
        <w:rPr>
          <w:color w:val="000000"/>
        </w:rPr>
        <w:t>léčivou látku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D27629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407E237B" w14:textId="77777777" w:rsidR="00A93F9C" w:rsidRPr="0092594E" w:rsidRDefault="00A93F9C" w:rsidP="00A93F9C">
      <w:pPr>
        <w:jc w:val="both"/>
        <w:rPr>
          <w:szCs w:val="22"/>
        </w:rPr>
      </w:pPr>
    </w:p>
    <w:p w14:paraId="4224012C" w14:textId="77777777" w:rsidR="00A93F9C" w:rsidRDefault="00A93F9C" w:rsidP="00A93F9C">
      <w:pPr>
        <w:autoSpaceDE w:val="0"/>
        <w:autoSpaceDN w:val="0"/>
        <w:adjustRightInd w:val="0"/>
        <w:rPr>
          <w:color w:val="000000"/>
        </w:rPr>
      </w:pPr>
      <w:r w:rsidRPr="003341C3">
        <w:rPr>
          <w:color w:val="000000"/>
        </w:rPr>
        <w:t>Stejně jako u jiných antiparazitik může časté a dlouhodobé užívání antiprotozoik ze stejné skupiny jako léčivá látka, tak</w:t>
      </w:r>
      <w:r>
        <w:rPr>
          <w:color w:val="000000"/>
        </w:rPr>
        <w:t xml:space="preserve"> i</w:t>
      </w:r>
      <w:r w:rsidRPr="003341C3">
        <w:rPr>
          <w:color w:val="000000"/>
        </w:rPr>
        <w:t xml:space="preserve"> poddávkování z důvodu nesprávného odhadu živé hmotnosti, vést k rozvoji rezistence.</w:t>
      </w:r>
    </w:p>
    <w:p w14:paraId="7A4DC681" w14:textId="18F36FA3" w:rsidR="00A93F9C" w:rsidRPr="00B35154" w:rsidRDefault="00244688" w:rsidP="00A93F9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</w:rPr>
        <w:t>Veterinární léčivý p</w:t>
      </w:r>
      <w:r w:rsidR="00A93F9C" w:rsidRPr="003341C3">
        <w:rPr>
          <w:color w:val="000000"/>
        </w:rPr>
        <w:t xml:space="preserve">řípravek se doporučuje podávat </w:t>
      </w:r>
      <w:r w:rsidR="00A93F9C">
        <w:rPr>
          <w:color w:val="000000"/>
        </w:rPr>
        <w:t>všem selatům</w:t>
      </w:r>
      <w:r w:rsidR="00A93F9C" w:rsidRPr="003341C3">
        <w:rPr>
          <w:color w:val="000000"/>
        </w:rPr>
        <w:t xml:space="preserve"> ve vrhu</w:t>
      </w:r>
      <w:r w:rsidR="00A93F9C">
        <w:rPr>
          <w:color w:val="000000"/>
        </w:rPr>
        <w:t>.</w:t>
      </w:r>
    </w:p>
    <w:p w14:paraId="14C534AF" w14:textId="77777777" w:rsidR="00A93F9C" w:rsidRDefault="00A93F9C" w:rsidP="00A93F9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Riziko kokcidiózy lze snížit pomocí hygienických opatření. Proto se doporučuje současně zlepšit hygienické podmínky v chovu, zejména zajistit sucho a čistotu.</w:t>
      </w:r>
    </w:p>
    <w:p w14:paraId="6C82CDC0" w14:textId="77777777" w:rsidR="00A93F9C" w:rsidRDefault="00A93F9C" w:rsidP="00A93F9C">
      <w:pPr>
        <w:autoSpaceDE w:val="0"/>
        <w:autoSpaceDN w:val="0"/>
        <w:adjustRightInd w:val="0"/>
        <w:rPr>
          <w:color w:val="000000"/>
          <w:szCs w:val="22"/>
        </w:rPr>
      </w:pPr>
      <w:r w:rsidRPr="003341C3">
        <w:rPr>
          <w:color w:val="000000"/>
          <w:szCs w:val="22"/>
        </w:rPr>
        <w:lastRenderedPageBreak/>
        <w:t>K získání maximálního užitku by zvířata měla být léčena před očekávaným nástupem klinických příznaků, tedy v prepatentním období.</w:t>
      </w:r>
    </w:p>
    <w:p w14:paraId="711C3715" w14:textId="4E0E7C4F" w:rsidR="00A93F9C" w:rsidRPr="005230C1" w:rsidRDefault="00EA49E0" w:rsidP="00A93F9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K ovlivnění průběhu již vzniklé klinické kokcidiové infekce u jednotlivých zvířat, která již vykazují příznaky průjmu, může být zapotřebí další podpůrná léčba.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D2762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67A0CC" w14:textId="1CC3B01A" w:rsidR="00A93F9C" w:rsidRDefault="00A93F9C" w:rsidP="00A93F9C">
      <w:pPr>
        <w:jc w:val="both"/>
        <w:rPr>
          <w:u w:val="single"/>
        </w:rPr>
      </w:pPr>
      <w:r>
        <w:rPr>
          <w:u w:val="single"/>
        </w:rPr>
        <w:t xml:space="preserve">Zvláštní opatření pro </w:t>
      </w:r>
      <w:r w:rsidRPr="00B41D57">
        <w:rPr>
          <w:szCs w:val="22"/>
          <w:u w:val="single"/>
        </w:rPr>
        <w:t>bezpečné použití u cílových druhů zvířat</w:t>
      </w:r>
      <w:r>
        <w:rPr>
          <w:u w:val="single"/>
        </w:rPr>
        <w:t>:</w:t>
      </w:r>
    </w:p>
    <w:p w14:paraId="44907578" w14:textId="77777777" w:rsidR="00A93F9C" w:rsidRPr="003341C3" w:rsidRDefault="00A93F9C" w:rsidP="00A93F9C">
      <w:pPr>
        <w:jc w:val="both"/>
      </w:pPr>
      <w:r w:rsidRPr="003341C3">
        <w:t>Neuplatňuje se.</w:t>
      </w:r>
    </w:p>
    <w:p w14:paraId="5EA9A9E4" w14:textId="33AFD56B" w:rsidR="00C114FF" w:rsidRPr="00B41D57" w:rsidRDefault="00C114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F86656E" w14:textId="4902CD60" w:rsidR="00A93F9C" w:rsidRPr="00CF4176" w:rsidRDefault="00A93F9C" w:rsidP="00A93F9C">
      <w:pPr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>
        <w:rPr>
          <w:u w:val="single"/>
        </w:rPr>
        <w:t>:</w:t>
      </w:r>
    </w:p>
    <w:p w14:paraId="108753D4" w14:textId="77777777" w:rsidR="00A93F9C" w:rsidRDefault="00A93F9C" w:rsidP="00A93F9C">
      <w:pPr>
        <w:jc w:val="both"/>
        <w:rPr>
          <w:color w:val="000000"/>
        </w:rPr>
      </w:pPr>
      <w:r>
        <w:rPr>
          <w:color w:val="000000"/>
        </w:rPr>
        <w:t>Lidé se známou přecitlivělostí na toltrazuril nebo některou z pomocných látek by se měli vyhnout kontaktu s veterinárním léčivým přípravkem.</w:t>
      </w:r>
    </w:p>
    <w:p w14:paraId="6DC3E041" w14:textId="205DF816" w:rsidR="00A93F9C" w:rsidRPr="00022183" w:rsidRDefault="00A93F9C" w:rsidP="00A93F9C">
      <w:pPr>
        <w:jc w:val="both"/>
        <w:rPr>
          <w:szCs w:val="22"/>
        </w:rPr>
      </w:pPr>
      <w:r>
        <w:t>V případě náhodného po</w:t>
      </w:r>
      <w:r w:rsidR="00352900">
        <w:t>žití</w:t>
      </w:r>
      <w:r>
        <w:t xml:space="preserve"> vyhledejte ihned lékařskou pomoc a ukažte příbalovou informaci nebo etiketu praktickému lékaři.  </w:t>
      </w:r>
      <w:r>
        <w:tab/>
      </w:r>
    </w:p>
    <w:p w14:paraId="3A9F8F97" w14:textId="77777777" w:rsidR="00A93F9C" w:rsidRPr="00B730A7" w:rsidRDefault="00A93F9C" w:rsidP="00A93F9C">
      <w:pPr>
        <w:jc w:val="both"/>
        <w:rPr>
          <w:color w:val="000000"/>
          <w:szCs w:val="22"/>
        </w:rPr>
      </w:pPr>
      <w:r w:rsidRPr="003341C3">
        <w:rPr>
          <w:color w:val="000000"/>
          <w:szCs w:val="22"/>
        </w:rPr>
        <w:t>Přípravek může způsobit podráždění při kontaktu s kůží nebo očima.</w:t>
      </w:r>
    </w:p>
    <w:p w14:paraId="1654745E" w14:textId="77777777" w:rsidR="00A93F9C" w:rsidRPr="00B730A7" w:rsidRDefault="00A93F9C" w:rsidP="00A93F9C">
      <w:pPr>
        <w:jc w:val="both"/>
        <w:rPr>
          <w:color w:val="000000"/>
          <w:szCs w:val="22"/>
        </w:rPr>
      </w:pPr>
      <w:r>
        <w:rPr>
          <w:color w:val="000000"/>
        </w:rPr>
        <w:t xml:space="preserve">Zabraňte kontaktu přípravku s kůží a očima. </w:t>
      </w:r>
    </w:p>
    <w:p w14:paraId="4100EBD3" w14:textId="77777777" w:rsidR="00A93F9C" w:rsidRDefault="00A93F9C" w:rsidP="00A93F9C">
      <w:pPr>
        <w:jc w:val="both"/>
        <w:rPr>
          <w:color w:val="000000"/>
        </w:rPr>
      </w:pPr>
      <w:r w:rsidRPr="003341C3">
        <w:rPr>
          <w:color w:val="000000"/>
        </w:rPr>
        <w:t>V případě náhodného kontaktu zasaženou kůži nebo oči ihned omyjte vodou.</w:t>
      </w:r>
    </w:p>
    <w:p w14:paraId="5B63E7E6" w14:textId="77777777" w:rsidR="00A93F9C" w:rsidRDefault="00A93F9C" w:rsidP="00A93F9C">
      <w:pPr>
        <w:jc w:val="both"/>
        <w:rPr>
          <w:color w:val="000000"/>
        </w:rPr>
      </w:pPr>
      <w:r w:rsidRPr="003341C3">
        <w:rPr>
          <w:color w:val="000000"/>
        </w:rPr>
        <w:t xml:space="preserve">Po použití si umyjte ruce a </w:t>
      </w:r>
      <w:r>
        <w:rPr>
          <w:color w:val="000000"/>
        </w:rPr>
        <w:t>exponovanou</w:t>
      </w:r>
      <w:r w:rsidRPr="003341C3">
        <w:rPr>
          <w:color w:val="000000"/>
        </w:rPr>
        <w:t xml:space="preserve"> kůži.</w:t>
      </w:r>
    </w:p>
    <w:p w14:paraId="22C45220" w14:textId="55E34DFF" w:rsidR="00A93F9C" w:rsidRPr="00B730A7" w:rsidRDefault="00A93F9C" w:rsidP="00A93F9C">
      <w:pPr>
        <w:jc w:val="both"/>
        <w:rPr>
          <w:color w:val="000000"/>
          <w:szCs w:val="22"/>
        </w:rPr>
      </w:pPr>
      <w:r>
        <w:rPr>
          <w:color w:val="000000"/>
        </w:rPr>
        <w:t xml:space="preserve">Při </w:t>
      </w:r>
      <w:r w:rsidR="00352900">
        <w:rPr>
          <w:color w:val="000000"/>
        </w:rPr>
        <w:t xml:space="preserve">používání </w:t>
      </w:r>
      <w:r>
        <w:rPr>
          <w:color w:val="000000"/>
        </w:rPr>
        <w:t>přípravk</w:t>
      </w:r>
      <w:r w:rsidR="00352900">
        <w:rPr>
          <w:color w:val="000000"/>
        </w:rPr>
        <w:t>u</w:t>
      </w:r>
      <w:r>
        <w:rPr>
          <w:color w:val="000000"/>
        </w:rPr>
        <w:t xml:space="preserve"> nejezte, nepijte ani nekuřte.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061A01" w14:textId="77777777" w:rsidR="00A93F9C" w:rsidRPr="00B41D57" w:rsidRDefault="00A93F9C" w:rsidP="00A93F9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6C204C36" w14:textId="77777777" w:rsidR="00A93F9C" w:rsidRPr="00B41D57" w:rsidRDefault="00A93F9C" w:rsidP="00A93F9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D2762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1F2C255" w14:textId="77777777" w:rsidR="00A93F9C" w:rsidRPr="00022183" w:rsidRDefault="00A93F9C" w:rsidP="00A93F9C">
      <w:pPr>
        <w:jc w:val="both"/>
        <w:rPr>
          <w:szCs w:val="22"/>
        </w:rPr>
      </w:pPr>
      <w:bookmarkStart w:id="0" w:name="_Hlk66891708"/>
      <w:r>
        <w:t>Nejsou známy.</w:t>
      </w:r>
    </w:p>
    <w:p w14:paraId="5108E9FC" w14:textId="77777777" w:rsidR="00A93F9C" w:rsidRDefault="00A93F9C" w:rsidP="00247A48"/>
    <w:bookmarkEnd w:id="0"/>
    <w:p w14:paraId="451E9ACC" w14:textId="77777777" w:rsidR="00A93F9C" w:rsidRDefault="00A93F9C" w:rsidP="00A93F9C">
      <w:pPr>
        <w:jc w:val="both"/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i.</w:t>
      </w:r>
    </w:p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D2762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F28A98" w14:textId="77777777" w:rsidR="005D085F" w:rsidRPr="00032388" w:rsidRDefault="005D085F" w:rsidP="005D085F">
      <w:pPr>
        <w:jc w:val="both"/>
        <w:rPr>
          <w:szCs w:val="22"/>
        </w:rPr>
      </w:pPr>
      <w:r w:rsidRPr="00032388">
        <w:rPr>
          <w:szCs w:val="22"/>
        </w:rPr>
        <w:t>Neuplatňuje se</w:t>
      </w:r>
      <w:r>
        <w:rPr>
          <w:szCs w:val="22"/>
        </w:rPr>
        <w:t>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D2762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FFE62D" w14:textId="77777777" w:rsidR="005D085F" w:rsidRDefault="005D085F" w:rsidP="005D085F">
      <w:pPr>
        <w:jc w:val="both"/>
        <w:rPr>
          <w:color w:val="000000"/>
          <w:szCs w:val="22"/>
        </w:rPr>
      </w:pPr>
      <w:r>
        <w:rPr>
          <w:color w:val="000000"/>
        </w:rPr>
        <w:t>Nejsou známy.</w:t>
      </w:r>
    </w:p>
    <w:p w14:paraId="4C2E17F3" w14:textId="0C34207B" w:rsidR="005D085F" w:rsidRPr="00022183" w:rsidRDefault="0016787D" w:rsidP="005D085F">
      <w:pPr>
        <w:jc w:val="both"/>
        <w:rPr>
          <w:szCs w:val="22"/>
        </w:rPr>
      </w:pPr>
      <w:r>
        <w:rPr>
          <w:color w:val="000000"/>
        </w:rPr>
        <w:t>Veterinární léčivý p</w:t>
      </w:r>
      <w:r w:rsidR="005D085F">
        <w:rPr>
          <w:color w:val="000000"/>
        </w:rPr>
        <w:t>řípravek nemá interakce s doplňkovými přípravky železa.</w:t>
      </w:r>
    </w:p>
    <w:p w14:paraId="5D61C054" w14:textId="77777777" w:rsidR="005D085F" w:rsidRDefault="005D085F" w:rsidP="00B13B6D">
      <w:pPr>
        <w:pStyle w:val="Style1"/>
      </w:pPr>
    </w:p>
    <w:p w14:paraId="533DFD79" w14:textId="1EBD408A" w:rsidR="00C114FF" w:rsidRPr="00B41D57" w:rsidRDefault="00D2762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159F41" w14:textId="77777777" w:rsidR="005D085F" w:rsidRDefault="005D085F" w:rsidP="005D085F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</w:rPr>
        <w:t>Perorální podání.</w:t>
      </w:r>
    </w:p>
    <w:p w14:paraId="0E8B4879" w14:textId="77777777" w:rsidR="005D085F" w:rsidRDefault="005D085F" w:rsidP="005D085F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</w:rPr>
        <w:t>Individuální léčba jednotlivých zvířat.</w:t>
      </w:r>
    </w:p>
    <w:p w14:paraId="106804DB" w14:textId="24282FB6" w:rsidR="005D085F" w:rsidRDefault="005D085F" w:rsidP="005D085F">
      <w:pPr>
        <w:autoSpaceDE w:val="0"/>
        <w:autoSpaceDN w:val="0"/>
        <w:adjustRightInd w:val="0"/>
        <w:jc w:val="both"/>
        <w:rPr>
          <w:color w:val="000000"/>
        </w:rPr>
      </w:pPr>
      <w:r w:rsidRPr="003341C3">
        <w:rPr>
          <w:color w:val="000000"/>
        </w:rPr>
        <w:t>Každé</w:t>
      </w:r>
      <w:r w:rsidR="00EA49E0">
        <w:rPr>
          <w:color w:val="000000"/>
        </w:rPr>
        <w:t>mu</w:t>
      </w:r>
      <w:r w:rsidRPr="003341C3">
        <w:rPr>
          <w:color w:val="000000"/>
        </w:rPr>
        <w:t xml:space="preserve"> sele</w:t>
      </w:r>
      <w:r w:rsidR="00EA49E0">
        <w:rPr>
          <w:color w:val="000000"/>
        </w:rPr>
        <w:t>ti věku 3-5 dní podat</w:t>
      </w:r>
      <w:r w:rsidRPr="003341C3">
        <w:rPr>
          <w:color w:val="000000"/>
        </w:rPr>
        <w:t xml:space="preserve"> perorálně jednu dávku 20 mg </w:t>
      </w:r>
      <w:proofErr w:type="spellStart"/>
      <w:r w:rsidRPr="003341C3">
        <w:rPr>
          <w:color w:val="000000"/>
        </w:rPr>
        <w:t>toltrazurilu</w:t>
      </w:r>
      <w:proofErr w:type="spellEnd"/>
      <w:r w:rsidRPr="003341C3">
        <w:rPr>
          <w:color w:val="000000"/>
        </w:rPr>
        <w:t>/kg ž</w:t>
      </w:r>
      <w:r w:rsidR="00EA49E0">
        <w:rPr>
          <w:color w:val="000000"/>
        </w:rPr>
        <w:t>ivé hmotnosti</w:t>
      </w:r>
      <w:r w:rsidRPr="003341C3">
        <w:rPr>
          <w:color w:val="000000"/>
        </w:rPr>
        <w:t>, (tj. 0,4 ml veterinárního léčivého přípravku</w:t>
      </w:r>
      <w:r w:rsidR="00EA49E0">
        <w:rPr>
          <w:color w:val="000000"/>
        </w:rPr>
        <w:t>/</w:t>
      </w:r>
      <w:r w:rsidRPr="003341C3">
        <w:rPr>
          <w:color w:val="000000"/>
        </w:rPr>
        <w:t xml:space="preserve">kg živé hmotnosti). </w:t>
      </w:r>
    </w:p>
    <w:p w14:paraId="018EF032" w14:textId="77777777" w:rsidR="005D085F" w:rsidRDefault="005D085F" w:rsidP="005D085F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</w:rPr>
        <w:t xml:space="preserve">Vzhledem k malým objemům dávek pro každé sele se doporučuje použít dávkovací zařízení s přesností na 0,1 ml. </w:t>
      </w:r>
    </w:p>
    <w:p w14:paraId="3EACC3E3" w14:textId="77777777" w:rsidR="0016787D" w:rsidRDefault="005D085F" w:rsidP="005D085F">
      <w:pPr>
        <w:autoSpaceDE w:val="0"/>
        <w:autoSpaceDN w:val="0"/>
        <w:adjustRightInd w:val="0"/>
        <w:jc w:val="both"/>
        <w:rPr>
          <w:color w:val="000000"/>
        </w:rPr>
      </w:pPr>
      <w:r w:rsidRPr="00B41D57">
        <w:t>Pro zajištění správného dávkování je třeba co nejpřesněji stanovit živou hmotnost</w:t>
      </w:r>
      <w:r w:rsidR="0016787D">
        <w:t>.</w:t>
      </w:r>
      <w:r>
        <w:rPr>
          <w:color w:val="000000"/>
        </w:rPr>
        <w:t xml:space="preserve"> </w:t>
      </w:r>
    </w:p>
    <w:p w14:paraId="63A16F33" w14:textId="51582C6A" w:rsidR="005D085F" w:rsidRDefault="005D085F" w:rsidP="005D085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Perorální suspenzi je třeba před použitím protřepat.</w:t>
      </w:r>
    </w:p>
    <w:p w14:paraId="4333EAD8" w14:textId="34BB118A" w:rsidR="005D085F" w:rsidRPr="00F96F2A" w:rsidRDefault="00EA49E0" w:rsidP="005D085F">
      <w:pPr>
        <w:rPr>
          <w:color w:val="000000"/>
        </w:rPr>
      </w:pPr>
      <w:r>
        <w:rPr>
          <w:color w:val="000000"/>
        </w:rPr>
        <w:t>Léčba během propuknutí nákazy bude mít pro sele jen omezený přínos</w:t>
      </w:r>
      <w:r w:rsidR="005D085F" w:rsidRPr="00F96F2A">
        <w:rPr>
          <w:color w:val="000000"/>
        </w:rPr>
        <w:t>, protože již došlo k poškození tenkého střeva.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507BF963" w:rsidR="00C114FF" w:rsidRDefault="00D27629" w:rsidP="00D461E0">
      <w:pPr>
        <w:pStyle w:val="Style1"/>
        <w:keepNext/>
      </w:pPr>
      <w:r w:rsidRPr="00B41D57">
        <w:lastRenderedPageBreak/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3F1B312B" w14:textId="77777777" w:rsidR="00D461E0" w:rsidRPr="00B41D57" w:rsidRDefault="00D461E0" w:rsidP="00D461E0">
      <w:pPr>
        <w:pStyle w:val="Style1"/>
        <w:keepNext/>
      </w:pPr>
    </w:p>
    <w:p w14:paraId="7CD1A7C7" w14:textId="77777777" w:rsidR="005D085F" w:rsidRPr="00022183" w:rsidRDefault="005D085F" w:rsidP="005D085F">
      <w:pPr>
        <w:jc w:val="both"/>
        <w:rPr>
          <w:color w:val="000000"/>
          <w:szCs w:val="22"/>
        </w:rPr>
      </w:pPr>
      <w:r>
        <w:rPr>
          <w:color w:val="000000"/>
        </w:rPr>
        <w:t>U selat nebyly pozorovány žádné známky intolerance až do trojnásobku doporučených dávek.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D2762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44B660" w14:textId="208CF501" w:rsidR="005D085F" w:rsidRPr="00EB629D" w:rsidRDefault="0019610D" w:rsidP="005D085F">
      <w:pPr>
        <w:tabs>
          <w:tab w:val="clear" w:pos="567"/>
        </w:tabs>
        <w:spacing w:line="240" w:lineRule="auto"/>
        <w:rPr>
          <w:szCs w:val="22"/>
        </w:rPr>
      </w:pPr>
      <w:r w:rsidRPr="00EB629D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D2762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6DC9E3" w14:textId="77777777" w:rsidR="005D085F" w:rsidRDefault="005D085F" w:rsidP="005D085F">
      <w:pPr>
        <w:jc w:val="both"/>
        <w:rPr>
          <w:color w:val="000000"/>
          <w:szCs w:val="22"/>
        </w:rPr>
      </w:pPr>
      <w:r>
        <w:rPr>
          <w:color w:val="000000"/>
        </w:rPr>
        <w:t>Maso: 73 dní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03795" w14:textId="77777777" w:rsidR="005D085F" w:rsidRPr="00B41D57" w:rsidRDefault="005D08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3924525" w:rsidR="00C114FF" w:rsidRPr="00B41D57" w:rsidRDefault="00D27629" w:rsidP="00D461E0">
      <w:pPr>
        <w:pStyle w:val="Style1"/>
        <w:keepNext/>
      </w:pPr>
      <w:r w:rsidRPr="00B41D57">
        <w:t>4.</w:t>
      </w:r>
      <w:r w:rsidRPr="00B41D57">
        <w:tab/>
        <w:t>FARMAKOLOGICKÉ</w:t>
      </w:r>
      <w:r w:rsidR="005D085F" w:rsidRPr="00B41D57" w:rsidDel="005D085F">
        <w:t xml:space="preserve"> </w:t>
      </w:r>
      <w:r w:rsidRPr="00B41D57">
        <w:t>INFORMACE</w:t>
      </w:r>
    </w:p>
    <w:p w14:paraId="2C2A4C50" w14:textId="77777777" w:rsidR="00C114FF" w:rsidRPr="00B41D57" w:rsidRDefault="00C114FF" w:rsidP="00D461E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49CE8C" w14:textId="10207246" w:rsidR="005D085F" w:rsidRPr="00AB198F" w:rsidRDefault="00D27629" w:rsidP="00EB629D">
      <w:pPr>
        <w:pStyle w:val="Style1"/>
        <w:keepNext/>
        <w:rPr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5D085F" w:rsidRPr="00EB629D">
        <w:rPr>
          <w:b w:val="0"/>
          <w:bCs/>
        </w:rPr>
        <w:t>QP51</w:t>
      </w:r>
      <w:r w:rsidR="005D085F">
        <w:rPr>
          <w:b w:val="0"/>
          <w:bCs/>
        </w:rPr>
        <w:t>BC</w:t>
      </w:r>
      <w:r w:rsidR="005D085F" w:rsidRPr="00EB629D">
        <w:rPr>
          <w:b w:val="0"/>
          <w:bCs/>
        </w:rPr>
        <w:t>01</w:t>
      </w:r>
    </w:p>
    <w:p w14:paraId="5C965196" w14:textId="77777777" w:rsidR="00C114FF" w:rsidRPr="00B41D57" w:rsidRDefault="00C114FF" w:rsidP="00D461E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D8F0A7A" w:rsidR="00C114FF" w:rsidRPr="00B41D57" w:rsidRDefault="00D27629" w:rsidP="00D461E0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D461E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7DAE721" w14:textId="77777777" w:rsidR="005D085F" w:rsidRPr="00022183" w:rsidRDefault="005D085F" w:rsidP="005D085F">
      <w:pPr>
        <w:jc w:val="both"/>
        <w:rPr>
          <w:snapToGrid w:val="0"/>
          <w:color w:val="000000"/>
          <w:szCs w:val="22"/>
        </w:rPr>
      </w:pPr>
      <w:proofErr w:type="spellStart"/>
      <w:r>
        <w:rPr>
          <w:color w:val="000000"/>
        </w:rPr>
        <w:t>Toltrazuril</w:t>
      </w:r>
      <w:proofErr w:type="spellEnd"/>
      <w:r>
        <w:rPr>
          <w:color w:val="000000"/>
        </w:rPr>
        <w:t xml:space="preserve"> je derivát </w:t>
      </w:r>
      <w:proofErr w:type="spellStart"/>
      <w:r>
        <w:rPr>
          <w:color w:val="000000"/>
        </w:rPr>
        <w:t>triazinonu</w:t>
      </w:r>
      <w:proofErr w:type="spellEnd"/>
      <w:r>
        <w:rPr>
          <w:color w:val="000000"/>
        </w:rPr>
        <w:t xml:space="preserve">. Působí proti kokcidiím rodu </w:t>
      </w:r>
      <w:proofErr w:type="spellStart"/>
      <w:r>
        <w:rPr>
          <w:i/>
          <w:color w:val="000000"/>
        </w:rPr>
        <w:t>Isospora</w:t>
      </w:r>
      <w:proofErr w:type="spellEnd"/>
      <w:r>
        <w:rPr>
          <w:color w:val="000000"/>
        </w:rPr>
        <w:t xml:space="preserve">. </w:t>
      </w:r>
      <w:r>
        <w:rPr>
          <w:snapToGrid w:val="0"/>
          <w:color w:val="000000"/>
        </w:rPr>
        <w:t>Je účinný proti všem intracelulárním vývojovým stadiím kokcidií ve fázi nepohlavního (</w:t>
      </w:r>
      <w:proofErr w:type="spellStart"/>
      <w:r>
        <w:rPr>
          <w:snapToGrid w:val="0"/>
          <w:color w:val="000000"/>
        </w:rPr>
        <w:t>merogonie</w:t>
      </w:r>
      <w:proofErr w:type="spellEnd"/>
      <w:r>
        <w:rPr>
          <w:snapToGrid w:val="0"/>
          <w:color w:val="000000"/>
        </w:rPr>
        <w:t>) i pohlavního množení (</w:t>
      </w:r>
      <w:proofErr w:type="spellStart"/>
      <w:r>
        <w:rPr>
          <w:snapToGrid w:val="0"/>
          <w:color w:val="000000"/>
        </w:rPr>
        <w:t>gametogonie</w:t>
      </w:r>
      <w:proofErr w:type="spellEnd"/>
      <w:r>
        <w:rPr>
          <w:snapToGrid w:val="0"/>
          <w:color w:val="000000"/>
        </w:rPr>
        <w:t>).</w:t>
      </w:r>
      <w:r>
        <w:rPr>
          <w:color w:val="000000"/>
        </w:rPr>
        <w:t xml:space="preserve"> Přípravek ničí kokcidie ve všech stádiích, působí tedy </w:t>
      </w:r>
      <w:proofErr w:type="spellStart"/>
      <w:r>
        <w:rPr>
          <w:color w:val="000000"/>
        </w:rPr>
        <w:t>kokcidiocidně</w:t>
      </w:r>
      <w:proofErr w:type="spellEnd"/>
      <w:r>
        <w:rPr>
          <w:color w:val="000000"/>
        </w:rPr>
        <w:t>.</w:t>
      </w:r>
    </w:p>
    <w:p w14:paraId="683206CF" w14:textId="77777777" w:rsidR="005D085F" w:rsidRPr="00B41D57" w:rsidRDefault="005D08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81C14D5" w:rsidR="00C114FF" w:rsidRPr="00B41D57" w:rsidRDefault="00D27629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0F7B5D1" w14:textId="3ED0A21B" w:rsidR="00C114FF" w:rsidRPr="00B41D57" w:rsidRDefault="00C114FF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2411319B" w14:textId="31AFFA19" w:rsidR="005D085F" w:rsidRPr="00022183" w:rsidRDefault="005D085F" w:rsidP="005D085F">
      <w:pPr>
        <w:jc w:val="both"/>
        <w:rPr>
          <w:color w:val="000000"/>
          <w:szCs w:val="22"/>
        </w:rPr>
      </w:pPr>
      <w:r>
        <w:rPr>
          <w:snapToGrid w:val="0"/>
          <w:color w:val="000000"/>
        </w:rPr>
        <w:t xml:space="preserve">Po perorálním podání je toltrazuril pomalu absorbován, biologická dostupnost je </w:t>
      </w:r>
      <w:r w:rsidRPr="00022183">
        <w:rPr>
          <w:snapToGrid w:val="0"/>
          <w:color w:val="000000"/>
          <w:szCs w:val="22"/>
        </w:rPr>
        <w:sym w:font="Symbol" w:char="F0B3"/>
      </w:r>
      <w:r>
        <w:rPr>
          <w:snapToGrid w:val="0"/>
          <w:color w:val="000000"/>
        </w:rPr>
        <w:t>70 %. Maximální koncentrace (</w:t>
      </w:r>
      <w:proofErr w:type="spellStart"/>
      <w:r>
        <w:rPr>
          <w:snapToGrid w:val="0"/>
          <w:color w:val="000000"/>
        </w:rPr>
        <w:t>Cmax</w:t>
      </w:r>
      <w:proofErr w:type="spellEnd"/>
      <w:r>
        <w:rPr>
          <w:snapToGrid w:val="0"/>
          <w:color w:val="000000"/>
        </w:rPr>
        <w:t xml:space="preserve">) </w:t>
      </w:r>
      <w:proofErr w:type="spellStart"/>
      <w:r>
        <w:rPr>
          <w:snapToGrid w:val="0"/>
          <w:color w:val="000000"/>
        </w:rPr>
        <w:t>toltrazurilu</w:t>
      </w:r>
      <w:proofErr w:type="spellEnd"/>
      <w:r>
        <w:rPr>
          <w:snapToGrid w:val="0"/>
          <w:color w:val="000000"/>
        </w:rPr>
        <w:t xml:space="preserve"> </w:t>
      </w:r>
      <w:r w:rsidR="00EA49E0">
        <w:rPr>
          <w:snapToGrid w:val="0"/>
          <w:color w:val="000000"/>
        </w:rPr>
        <w:t>je</w:t>
      </w:r>
      <w:r>
        <w:rPr>
          <w:snapToGrid w:val="0"/>
          <w:color w:val="000000"/>
        </w:rPr>
        <w:t xml:space="preserve"> 15,1 µg/ml a je jí dosaženo přibližně po 24 hodinách. Hlavním metabolitem je sulfon toltrazurilu. Eliminace toltrazurilu je pomalá, poločas eliminace </w:t>
      </w:r>
      <w:r w:rsidR="00AC63DF">
        <w:rPr>
          <w:snapToGrid w:val="0"/>
          <w:color w:val="000000"/>
        </w:rPr>
        <w:t>je</w:t>
      </w:r>
      <w:r>
        <w:rPr>
          <w:snapToGrid w:val="0"/>
          <w:color w:val="000000"/>
        </w:rPr>
        <w:t xml:space="preserve"> asi 3 dny. Hlavní cestou vylučování j</w:t>
      </w:r>
      <w:r w:rsidR="00AC63DF">
        <w:rPr>
          <w:snapToGrid w:val="0"/>
          <w:color w:val="000000"/>
        </w:rPr>
        <w:t>e</w:t>
      </w:r>
      <w:r>
        <w:rPr>
          <w:snapToGrid w:val="0"/>
          <w:color w:val="000000"/>
        </w:rPr>
        <w:t xml:space="preserve"> </w:t>
      </w:r>
      <w:r w:rsidR="00AC63DF">
        <w:rPr>
          <w:snapToGrid w:val="0"/>
          <w:color w:val="000000"/>
        </w:rPr>
        <w:t>trus</w:t>
      </w:r>
      <w:r>
        <w:rPr>
          <w:snapToGrid w:val="0"/>
          <w:color w:val="000000"/>
        </w:rPr>
        <w:t xml:space="preserve">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D2762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D2762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39E21E" w14:textId="77777777" w:rsidR="005D085F" w:rsidRPr="00022183" w:rsidRDefault="005D085F" w:rsidP="005D085F">
      <w:pPr>
        <w:jc w:val="both"/>
        <w:rPr>
          <w:szCs w:val="22"/>
        </w:rPr>
      </w:pPr>
      <w:r>
        <w:t>Studie kompatibility nejsou k dispozici, a proto tento veterinární léčivý přípravek nesmí být mísen s 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D2762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105D77" w14:textId="77777777" w:rsidR="005D085F" w:rsidRPr="00CF16BF" w:rsidRDefault="005D085F" w:rsidP="005D085F">
      <w:pPr>
        <w:widowControl w:val="0"/>
        <w:jc w:val="both"/>
        <w:rPr>
          <w:szCs w:val="22"/>
        </w:rPr>
      </w:pPr>
      <w:r>
        <w:t>Doba použitelnosti veterinárního léčivého přípravku v neporušeném obalu: 2 roky.</w:t>
      </w:r>
    </w:p>
    <w:p w14:paraId="61DE9DD5" w14:textId="77777777" w:rsidR="005D085F" w:rsidRPr="00022183" w:rsidRDefault="005D085F" w:rsidP="005D085F">
      <w:pPr>
        <w:widowControl w:val="0"/>
        <w:jc w:val="both"/>
        <w:rPr>
          <w:szCs w:val="22"/>
        </w:rPr>
      </w:pPr>
      <w:r>
        <w:t>Doba použitelnosti po prvním otevření vnitřního obalu: 6 měsíců.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D2762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70B5CF" w14:textId="77777777" w:rsidR="005D085F" w:rsidRPr="00022183" w:rsidRDefault="005D085F" w:rsidP="005D085F">
      <w:pPr>
        <w:jc w:val="both"/>
        <w:rPr>
          <w:color w:val="000000"/>
          <w:szCs w:val="22"/>
        </w:rPr>
      </w:pPr>
      <w:r>
        <w:rPr>
          <w:color w:val="000000"/>
        </w:rPr>
        <w:t>Tento veterinární léčivý přípravek nevyžaduje žádné zvláštní podmínky uchovávání.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D2762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06A34F68" w14:textId="4E56416E" w:rsidR="005D085F" w:rsidRDefault="005D085F" w:rsidP="005D085F">
      <w:pPr>
        <w:jc w:val="both"/>
        <w:rPr>
          <w:color w:val="000000"/>
        </w:rPr>
      </w:pPr>
      <w:r>
        <w:rPr>
          <w:color w:val="000000"/>
        </w:rPr>
        <w:t>Lahev z </w:t>
      </w:r>
      <w:proofErr w:type="spellStart"/>
      <w:r>
        <w:rPr>
          <w:color w:val="000000"/>
        </w:rPr>
        <w:t>vysokohustotního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polyethylenu</w:t>
      </w:r>
      <w:proofErr w:type="spellEnd"/>
      <w:r>
        <w:rPr>
          <w:color w:val="000000"/>
        </w:rPr>
        <w:t xml:space="preserve"> (HDPE). Lahve jsou tepelně zatavené polyethylenovou (PE) fólií a uzavřené šroubovacím uzávěrem z HDPE vybaveným pojistkou zajišťující vzduchotěsnost. </w:t>
      </w:r>
    </w:p>
    <w:p w14:paraId="422A0C4B" w14:textId="77777777" w:rsidR="005D085F" w:rsidRDefault="005D085F" w:rsidP="005D085F">
      <w:pPr>
        <w:jc w:val="both"/>
        <w:rPr>
          <w:color w:val="000000"/>
        </w:rPr>
      </w:pPr>
    </w:p>
    <w:p w14:paraId="622665F9" w14:textId="77777777" w:rsidR="005D085F" w:rsidRPr="006F0009" w:rsidRDefault="005D085F" w:rsidP="005D085F">
      <w:pPr>
        <w:jc w:val="both"/>
        <w:rPr>
          <w:color w:val="000000"/>
          <w:szCs w:val="22"/>
          <w:u w:val="single"/>
        </w:rPr>
      </w:pPr>
      <w:r w:rsidRPr="006F0009">
        <w:rPr>
          <w:color w:val="000000"/>
          <w:szCs w:val="22"/>
          <w:u w:val="single"/>
        </w:rPr>
        <w:t>Velikosti balení</w:t>
      </w:r>
      <w:r>
        <w:rPr>
          <w:color w:val="000000"/>
          <w:szCs w:val="22"/>
          <w:u w:val="single"/>
        </w:rPr>
        <w:t>:</w:t>
      </w:r>
    </w:p>
    <w:p w14:paraId="7622DB4B" w14:textId="77777777" w:rsidR="005D085F" w:rsidRPr="006F0009" w:rsidRDefault="005D085F" w:rsidP="005D085F">
      <w:pPr>
        <w:jc w:val="both"/>
        <w:rPr>
          <w:color w:val="000000"/>
          <w:szCs w:val="22"/>
        </w:rPr>
      </w:pPr>
      <w:r w:rsidRPr="006F0009">
        <w:rPr>
          <w:color w:val="000000"/>
          <w:szCs w:val="22"/>
        </w:rPr>
        <w:t xml:space="preserve">Papírová krabička s 1 lahví o obsahu 250 ml </w:t>
      </w:r>
    </w:p>
    <w:p w14:paraId="3243C448" w14:textId="77777777" w:rsidR="005D085F" w:rsidRDefault="005D085F" w:rsidP="005D085F">
      <w:pPr>
        <w:jc w:val="both"/>
        <w:rPr>
          <w:color w:val="000000"/>
          <w:szCs w:val="22"/>
        </w:rPr>
      </w:pPr>
      <w:r w:rsidRPr="006F0009">
        <w:rPr>
          <w:color w:val="000000"/>
          <w:szCs w:val="22"/>
        </w:rPr>
        <w:lastRenderedPageBreak/>
        <w:t>Lahev o obsahu 1 l</w:t>
      </w:r>
    </w:p>
    <w:p w14:paraId="6CCDD7B1" w14:textId="77777777" w:rsidR="005D085F" w:rsidRDefault="005D085F" w:rsidP="005D085F">
      <w:pPr>
        <w:jc w:val="both"/>
        <w:rPr>
          <w:color w:val="000000"/>
          <w:szCs w:val="22"/>
        </w:rPr>
      </w:pPr>
      <w:r>
        <w:rPr>
          <w:color w:val="000000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D27629" w:rsidP="00D461E0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D461E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BBEF176" w14:textId="77777777" w:rsidR="005D085F" w:rsidRPr="00B41D57" w:rsidRDefault="005D085F" w:rsidP="005D085F">
      <w:pPr>
        <w:jc w:val="both"/>
        <w:rPr>
          <w:szCs w:val="22"/>
        </w:rPr>
      </w:pPr>
      <w:bookmarkStart w:id="2" w:name="OLE_LINK6"/>
      <w:r w:rsidRPr="00B41D57">
        <w:t>Léčivé přípravky se nesmí likvidovat prostřednictvím odpadní vody či domovního odpadu.</w:t>
      </w:r>
    </w:p>
    <w:p w14:paraId="67423626" w14:textId="77777777" w:rsidR="005D085F" w:rsidRPr="00B41D57" w:rsidRDefault="005D085F" w:rsidP="005D085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243A6D" w14:textId="77777777" w:rsidR="005D085F" w:rsidRPr="00B41D57" w:rsidRDefault="005D085F" w:rsidP="005D085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2"/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D2762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C04DE" w14:textId="77777777" w:rsidR="005D085F" w:rsidRPr="00022183" w:rsidRDefault="005D085F" w:rsidP="005D085F">
      <w:pPr>
        <w:widowControl w:val="0"/>
        <w:jc w:val="both"/>
        <w:rPr>
          <w:szCs w:val="22"/>
        </w:rPr>
      </w:pPr>
      <w:r>
        <w:t>Industrial Veterinaria, S.A.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D2762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C870BE7" w:rsidR="00C114FF" w:rsidRDefault="005D085F" w:rsidP="00A9226B">
      <w:pPr>
        <w:tabs>
          <w:tab w:val="clear" w:pos="567"/>
        </w:tabs>
        <w:spacing w:line="240" w:lineRule="auto"/>
        <w:rPr>
          <w:szCs w:val="22"/>
        </w:rPr>
      </w:pPr>
      <w:r w:rsidRPr="00F96F2A">
        <w:rPr>
          <w:szCs w:val="22"/>
        </w:rPr>
        <w:t>96/070/15-C</w:t>
      </w:r>
    </w:p>
    <w:p w14:paraId="0E448C19" w14:textId="77777777" w:rsidR="005D085F" w:rsidRDefault="005D08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8240A1" w14:textId="77777777" w:rsidR="005D085F" w:rsidRPr="00B41D57" w:rsidRDefault="005D08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D2762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0B973C" w14:textId="18CBCA27" w:rsidR="005D085F" w:rsidRPr="00022183" w:rsidRDefault="005D085F" w:rsidP="005D085F">
      <w:pPr>
        <w:jc w:val="both"/>
        <w:rPr>
          <w:szCs w:val="22"/>
        </w:rPr>
      </w:pPr>
      <w:r w:rsidRPr="00D83AFB">
        <w:t xml:space="preserve">Datum </w:t>
      </w:r>
      <w:r w:rsidRPr="00B41D57">
        <w:t xml:space="preserve">první </w:t>
      </w:r>
      <w:r w:rsidRPr="00D83AFB">
        <w:t>registrace:</w:t>
      </w:r>
      <w:r>
        <w:t xml:space="preserve"> 22. 7. 2015</w:t>
      </w:r>
    </w:p>
    <w:p w14:paraId="6E98A2F6" w14:textId="64FD541A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D2762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43D426B6" w:rsidR="0078538F" w:rsidRDefault="00EB629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bookmarkStart w:id="3" w:name="_GoBack"/>
      <w:bookmarkEnd w:id="3"/>
      <w:r w:rsidR="005D085F">
        <w:rPr>
          <w:szCs w:val="22"/>
        </w:rPr>
        <w:t>/2025</w:t>
      </w:r>
    </w:p>
    <w:p w14:paraId="73F040E3" w14:textId="77777777" w:rsidR="005C4081" w:rsidRPr="00B41D57" w:rsidRDefault="005C40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D2762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29789A1" w:rsidR="0078538F" w:rsidRPr="00B41D57" w:rsidRDefault="00D27629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A17A415" w14:textId="77777777" w:rsidR="005D085F" w:rsidRPr="00B41D57" w:rsidRDefault="005D085F" w:rsidP="005D085F">
      <w:pPr>
        <w:ind w:right="-318"/>
        <w:rPr>
          <w:szCs w:val="22"/>
        </w:rPr>
      </w:pPr>
    </w:p>
    <w:p w14:paraId="67FE8CDF" w14:textId="77777777" w:rsidR="005D085F" w:rsidRPr="00B41D57" w:rsidRDefault="005D085F" w:rsidP="005D085F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2AB9174D" w14:textId="77777777" w:rsidR="006005E3" w:rsidRDefault="006005E3" w:rsidP="006005E3">
      <w:pPr>
        <w:spacing w:line="240" w:lineRule="auto"/>
        <w:jc w:val="both"/>
      </w:pPr>
    </w:p>
    <w:p w14:paraId="04E21C48" w14:textId="3D087B1E" w:rsidR="006005E3" w:rsidRDefault="006005E3" w:rsidP="006005E3">
      <w:pPr>
        <w:spacing w:line="240" w:lineRule="auto"/>
        <w:jc w:val="both"/>
      </w:pPr>
      <w:bookmarkStart w:id="5" w:name="_Hlk207117799"/>
      <w:bookmarkStart w:id="6" w:name="_Hlk148432335"/>
      <w:r w:rsidRPr="00B24B79">
        <w:t>Podrobné informace o tomto veterinárním léčivém přípravku naleznete také v národní databázi (</w:t>
      </w:r>
      <w:hyperlink r:id="rId9" w:history="1">
        <w:r w:rsidRPr="00B24B79">
          <w:rPr>
            <w:rStyle w:val="Hypertextovodkaz"/>
          </w:rPr>
          <w:t>https://www.uskvbl.cz</w:t>
        </w:r>
      </w:hyperlink>
      <w:r w:rsidRPr="00B24B79">
        <w:t>).</w:t>
      </w:r>
      <w:bookmarkEnd w:id="6"/>
    </w:p>
    <w:bookmarkEnd w:id="5"/>
    <w:p w14:paraId="20F1C86C" w14:textId="7EC881A0" w:rsidR="00D27629" w:rsidRPr="00B41D57" w:rsidRDefault="00D27629" w:rsidP="0041379C">
      <w:pPr>
        <w:tabs>
          <w:tab w:val="clear" w:pos="567"/>
        </w:tabs>
        <w:spacing w:line="240" w:lineRule="auto"/>
        <w:rPr>
          <w:szCs w:val="22"/>
        </w:rPr>
      </w:pPr>
    </w:p>
    <w:p w14:paraId="3FCD5742" w14:textId="77777777" w:rsidR="00D27629" w:rsidRDefault="00D27629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sectPr w:rsidR="00D27629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BC0FC" w14:textId="77777777" w:rsidR="006341C9" w:rsidRDefault="006341C9">
      <w:pPr>
        <w:spacing w:line="240" w:lineRule="auto"/>
      </w:pPr>
      <w:r>
        <w:separator/>
      </w:r>
    </w:p>
  </w:endnote>
  <w:endnote w:type="continuationSeparator" w:id="0">
    <w:p w14:paraId="24CC3688" w14:textId="77777777" w:rsidR="006341C9" w:rsidRDefault="00634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D2762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D2762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A45D9" w14:textId="77777777" w:rsidR="006341C9" w:rsidRDefault="006341C9">
      <w:pPr>
        <w:spacing w:line="240" w:lineRule="auto"/>
      </w:pPr>
      <w:r>
        <w:separator/>
      </w:r>
    </w:p>
  </w:footnote>
  <w:footnote w:type="continuationSeparator" w:id="0">
    <w:p w14:paraId="329F2F7F" w14:textId="77777777" w:rsidR="006341C9" w:rsidRDefault="006341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2E27" w14:textId="1780EE77" w:rsidR="00AB198F" w:rsidRDefault="00AB198F" w:rsidP="00AB198F"/>
  <w:p w14:paraId="7DCD4B09" w14:textId="77777777" w:rsidR="00AB198F" w:rsidRDefault="00AB19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184E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205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42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47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9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CC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0CA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0D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A7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C0622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CDEC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283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3E5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8B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360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38B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A5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635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85EAB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BC680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B8A0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3EBD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6601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70E0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AAE54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2066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71A71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04D5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BCFC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660DC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7226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6015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17077A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12E32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C9401C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5AC0F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7B84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EBB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63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341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4A9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3C9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66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0B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F06F2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D5E3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241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8B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44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88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0B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89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784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F702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5EC44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32D0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2E35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EA20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167D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CCAD2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14A68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FE2F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B569A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F2ED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2C7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61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AD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D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22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EE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C9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5A699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600C18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60CD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41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2E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45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A4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AD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04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B083F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3063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FE9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A2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C7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563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A7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2A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62D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1482D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007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20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081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909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27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161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81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8ABE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C0A19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66C86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ACFC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3AC4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86F9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C044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FE68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04F9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638FF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4DAE0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C62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A67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03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42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0AA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0F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4C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EA8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E00E5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82469F2" w:tentative="1">
      <w:start w:val="1"/>
      <w:numFmt w:val="lowerLetter"/>
      <w:lvlText w:val="%2."/>
      <w:lvlJc w:val="left"/>
      <w:pPr>
        <w:ind w:left="1440" w:hanging="360"/>
      </w:pPr>
    </w:lvl>
    <w:lvl w:ilvl="2" w:tplc="F460D294" w:tentative="1">
      <w:start w:val="1"/>
      <w:numFmt w:val="lowerRoman"/>
      <w:lvlText w:val="%3."/>
      <w:lvlJc w:val="right"/>
      <w:pPr>
        <w:ind w:left="2160" w:hanging="180"/>
      </w:pPr>
    </w:lvl>
    <w:lvl w:ilvl="3" w:tplc="2C448434" w:tentative="1">
      <w:start w:val="1"/>
      <w:numFmt w:val="decimal"/>
      <w:lvlText w:val="%4."/>
      <w:lvlJc w:val="left"/>
      <w:pPr>
        <w:ind w:left="2880" w:hanging="360"/>
      </w:pPr>
    </w:lvl>
    <w:lvl w:ilvl="4" w:tplc="539AA902" w:tentative="1">
      <w:start w:val="1"/>
      <w:numFmt w:val="lowerLetter"/>
      <w:lvlText w:val="%5."/>
      <w:lvlJc w:val="left"/>
      <w:pPr>
        <w:ind w:left="3600" w:hanging="360"/>
      </w:pPr>
    </w:lvl>
    <w:lvl w:ilvl="5" w:tplc="5EC8B538" w:tentative="1">
      <w:start w:val="1"/>
      <w:numFmt w:val="lowerRoman"/>
      <w:lvlText w:val="%6."/>
      <w:lvlJc w:val="right"/>
      <w:pPr>
        <w:ind w:left="4320" w:hanging="180"/>
      </w:pPr>
    </w:lvl>
    <w:lvl w:ilvl="6" w:tplc="B6986DA6" w:tentative="1">
      <w:start w:val="1"/>
      <w:numFmt w:val="decimal"/>
      <w:lvlText w:val="%7."/>
      <w:lvlJc w:val="left"/>
      <w:pPr>
        <w:ind w:left="5040" w:hanging="360"/>
      </w:pPr>
    </w:lvl>
    <w:lvl w:ilvl="7" w:tplc="01C2C02A" w:tentative="1">
      <w:start w:val="1"/>
      <w:numFmt w:val="lowerLetter"/>
      <w:lvlText w:val="%8."/>
      <w:lvlJc w:val="left"/>
      <w:pPr>
        <w:ind w:left="5760" w:hanging="360"/>
      </w:pPr>
    </w:lvl>
    <w:lvl w:ilvl="8" w:tplc="B81EE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59E53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14B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C69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2A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A1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125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4F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84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000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6E5F0CF2"/>
    <w:multiLevelType w:val="hybridMultilevel"/>
    <w:tmpl w:val="B880BD58"/>
    <w:lvl w:ilvl="0" w:tplc="496C1092">
      <w:start w:val="1"/>
      <w:numFmt w:val="decimal"/>
      <w:lvlText w:val="%1."/>
      <w:lvlJc w:val="left"/>
      <w:pPr>
        <w:ind w:left="22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highlight w:val="lightGray"/>
        <w:lang w:val="nl-BE" w:eastAsia="nl-BE" w:bidi="nl-BE"/>
      </w:rPr>
    </w:lvl>
    <w:lvl w:ilvl="1" w:tplc="FDAA1C0C">
      <w:numFmt w:val="bullet"/>
      <w:lvlText w:val="•"/>
      <w:lvlJc w:val="left"/>
      <w:pPr>
        <w:ind w:left="1092" w:hanging="567"/>
      </w:pPr>
      <w:rPr>
        <w:rFonts w:hint="default"/>
        <w:lang w:val="nl-BE" w:eastAsia="nl-BE" w:bidi="nl-BE"/>
      </w:rPr>
    </w:lvl>
    <w:lvl w:ilvl="2" w:tplc="4AA280C2">
      <w:numFmt w:val="bullet"/>
      <w:lvlText w:val="•"/>
      <w:lvlJc w:val="left"/>
      <w:pPr>
        <w:ind w:left="1965" w:hanging="567"/>
      </w:pPr>
      <w:rPr>
        <w:rFonts w:hint="default"/>
        <w:lang w:val="nl-BE" w:eastAsia="nl-BE" w:bidi="nl-BE"/>
      </w:rPr>
    </w:lvl>
    <w:lvl w:ilvl="3" w:tplc="34FE70BE">
      <w:numFmt w:val="bullet"/>
      <w:lvlText w:val="•"/>
      <w:lvlJc w:val="left"/>
      <w:pPr>
        <w:ind w:left="2837" w:hanging="567"/>
      </w:pPr>
      <w:rPr>
        <w:rFonts w:hint="default"/>
        <w:lang w:val="nl-BE" w:eastAsia="nl-BE" w:bidi="nl-BE"/>
      </w:rPr>
    </w:lvl>
    <w:lvl w:ilvl="4" w:tplc="9070B57C">
      <w:numFmt w:val="bullet"/>
      <w:lvlText w:val="•"/>
      <w:lvlJc w:val="left"/>
      <w:pPr>
        <w:ind w:left="3710" w:hanging="567"/>
      </w:pPr>
      <w:rPr>
        <w:rFonts w:hint="default"/>
        <w:lang w:val="nl-BE" w:eastAsia="nl-BE" w:bidi="nl-BE"/>
      </w:rPr>
    </w:lvl>
    <w:lvl w:ilvl="5" w:tplc="CB10D6BC">
      <w:numFmt w:val="bullet"/>
      <w:lvlText w:val="•"/>
      <w:lvlJc w:val="left"/>
      <w:pPr>
        <w:ind w:left="4583" w:hanging="567"/>
      </w:pPr>
      <w:rPr>
        <w:rFonts w:hint="default"/>
        <w:lang w:val="nl-BE" w:eastAsia="nl-BE" w:bidi="nl-BE"/>
      </w:rPr>
    </w:lvl>
    <w:lvl w:ilvl="6" w:tplc="77A2EF9E">
      <w:numFmt w:val="bullet"/>
      <w:lvlText w:val="•"/>
      <w:lvlJc w:val="left"/>
      <w:pPr>
        <w:ind w:left="5455" w:hanging="567"/>
      </w:pPr>
      <w:rPr>
        <w:rFonts w:hint="default"/>
        <w:lang w:val="nl-BE" w:eastAsia="nl-BE" w:bidi="nl-BE"/>
      </w:rPr>
    </w:lvl>
    <w:lvl w:ilvl="7" w:tplc="21B0B83E">
      <w:numFmt w:val="bullet"/>
      <w:lvlText w:val="•"/>
      <w:lvlJc w:val="left"/>
      <w:pPr>
        <w:ind w:left="6328" w:hanging="567"/>
      </w:pPr>
      <w:rPr>
        <w:rFonts w:hint="default"/>
        <w:lang w:val="nl-BE" w:eastAsia="nl-BE" w:bidi="nl-BE"/>
      </w:rPr>
    </w:lvl>
    <w:lvl w:ilvl="8" w:tplc="91D625A6">
      <w:numFmt w:val="bullet"/>
      <w:lvlText w:val="•"/>
      <w:lvlJc w:val="left"/>
      <w:pPr>
        <w:ind w:left="7200" w:hanging="567"/>
      </w:pPr>
      <w:rPr>
        <w:rFonts w:hint="default"/>
        <w:lang w:val="nl-BE" w:eastAsia="nl-BE" w:bidi="nl-BE"/>
      </w:rPr>
    </w:lvl>
  </w:abstractNum>
  <w:abstractNum w:abstractNumId="35" w15:restartNumberingAfterBreak="0">
    <w:nsid w:val="71FB76EB"/>
    <w:multiLevelType w:val="hybridMultilevel"/>
    <w:tmpl w:val="CC66055E"/>
    <w:lvl w:ilvl="0" w:tplc="5C407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E6C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AD9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81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5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66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A6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AD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C5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1CA40D3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583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F04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03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CF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23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8E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A8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EB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3552DA56">
      <w:start w:val="1"/>
      <w:numFmt w:val="decimal"/>
      <w:lvlText w:val="%1."/>
      <w:lvlJc w:val="left"/>
      <w:pPr>
        <w:ind w:left="720" w:hanging="360"/>
      </w:pPr>
    </w:lvl>
    <w:lvl w:ilvl="1" w:tplc="B6EE7B4A" w:tentative="1">
      <w:start w:val="1"/>
      <w:numFmt w:val="lowerLetter"/>
      <w:lvlText w:val="%2."/>
      <w:lvlJc w:val="left"/>
      <w:pPr>
        <w:ind w:left="1440" w:hanging="360"/>
      </w:pPr>
    </w:lvl>
    <w:lvl w:ilvl="2" w:tplc="359CEEE2" w:tentative="1">
      <w:start w:val="1"/>
      <w:numFmt w:val="lowerRoman"/>
      <w:lvlText w:val="%3."/>
      <w:lvlJc w:val="right"/>
      <w:pPr>
        <w:ind w:left="2160" w:hanging="180"/>
      </w:pPr>
    </w:lvl>
    <w:lvl w:ilvl="3" w:tplc="EC20172A" w:tentative="1">
      <w:start w:val="1"/>
      <w:numFmt w:val="decimal"/>
      <w:lvlText w:val="%4."/>
      <w:lvlJc w:val="left"/>
      <w:pPr>
        <w:ind w:left="2880" w:hanging="360"/>
      </w:pPr>
    </w:lvl>
    <w:lvl w:ilvl="4" w:tplc="1D9C68B8" w:tentative="1">
      <w:start w:val="1"/>
      <w:numFmt w:val="lowerLetter"/>
      <w:lvlText w:val="%5."/>
      <w:lvlJc w:val="left"/>
      <w:pPr>
        <w:ind w:left="3600" w:hanging="360"/>
      </w:pPr>
    </w:lvl>
    <w:lvl w:ilvl="5" w:tplc="DA8253B2" w:tentative="1">
      <w:start w:val="1"/>
      <w:numFmt w:val="lowerRoman"/>
      <w:lvlText w:val="%6."/>
      <w:lvlJc w:val="right"/>
      <w:pPr>
        <w:ind w:left="4320" w:hanging="180"/>
      </w:pPr>
    </w:lvl>
    <w:lvl w:ilvl="6" w:tplc="25A0E400" w:tentative="1">
      <w:start w:val="1"/>
      <w:numFmt w:val="decimal"/>
      <w:lvlText w:val="%7."/>
      <w:lvlJc w:val="left"/>
      <w:pPr>
        <w:ind w:left="5040" w:hanging="360"/>
      </w:pPr>
    </w:lvl>
    <w:lvl w:ilvl="7" w:tplc="670825BC" w:tentative="1">
      <w:start w:val="1"/>
      <w:numFmt w:val="lowerLetter"/>
      <w:lvlText w:val="%8."/>
      <w:lvlJc w:val="left"/>
      <w:pPr>
        <w:ind w:left="5760" w:hanging="360"/>
      </w:pPr>
    </w:lvl>
    <w:lvl w:ilvl="8" w:tplc="11903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26460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A30B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781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25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4D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E3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01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08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2A5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41C3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5F9A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DB6"/>
    <w:rsid w:val="00164543"/>
    <w:rsid w:val="00164C48"/>
    <w:rsid w:val="00165F25"/>
    <w:rsid w:val="00166F71"/>
    <w:rsid w:val="001674D3"/>
    <w:rsid w:val="0016787D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10D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88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2900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3E98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379C"/>
    <w:rsid w:val="00414B20"/>
    <w:rsid w:val="0041628A"/>
    <w:rsid w:val="00417DE3"/>
    <w:rsid w:val="00420850"/>
    <w:rsid w:val="004237EE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BD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221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081"/>
    <w:rsid w:val="005C4E23"/>
    <w:rsid w:val="005C6E57"/>
    <w:rsid w:val="005D085F"/>
    <w:rsid w:val="005D380C"/>
    <w:rsid w:val="005D3DAA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5E3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1C9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B40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35E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A20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05C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401E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94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3F9C"/>
    <w:rsid w:val="00A9575C"/>
    <w:rsid w:val="00A95B56"/>
    <w:rsid w:val="00A95E81"/>
    <w:rsid w:val="00A969AF"/>
    <w:rsid w:val="00AA308A"/>
    <w:rsid w:val="00AB198F"/>
    <w:rsid w:val="00AB1A2E"/>
    <w:rsid w:val="00AB328A"/>
    <w:rsid w:val="00AB4918"/>
    <w:rsid w:val="00AB4BC8"/>
    <w:rsid w:val="00AB6BA7"/>
    <w:rsid w:val="00AB7BE8"/>
    <w:rsid w:val="00AC63DF"/>
    <w:rsid w:val="00AD0710"/>
    <w:rsid w:val="00AD4DB9"/>
    <w:rsid w:val="00AD63C0"/>
    <w:rsid w:val="00AE35B2"/>
    <w:rsid w:val="00AE6AA0"/>
    <w:rsid w:val="00AE75F3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0B9"/>
    <w:rsid w:val="00C42255"/>
    <w:rsid w:val="00C42697"/>
    <w:rsid w:val="00C43F01"/>
    <w:rsid w:val="00C4587E"/>
    <w:rsid w:val="00C47552"/>
    <w:rsid w:val="00C55C07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1F69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27629"/>
    <w:rsid w:val="00D32624"/>
    <w:rsid w:val="00D3691A"/>
    <w:rsid w:val="00D377E2"/>
    <w:rsid w:val="00D403E9"/>
    <w:rsid w:val="00D42DCB"/>
    <w:rsid w:val="00D45482"/>
    <w:rsid w:val="00D461E0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3FEF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3F0"/>
    <w:rsid w:val="00E9093C"/>
    <w:rsid w:val="00E935AF"/>
    <w:rsid w:val="00EA49E0"/>
    <w:rsid w:val="00EA60C5"/>
    <w:rsid w:val="00EB0E20"/>
    <w:rsid w:val="00EB1682"/>
    <w:rsid w:val="00EB1A80"/>
    <w:rsid w:val="00EB457B"/>
    <w:rsid w:val="00EB629D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53B0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9695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1"/>
    <w:qFormat/>
    <w:rsid w:val="00DF3FEF"/>
    <w:pPr>
      <w:widowControl w:val="0"/>
      <w:tabs>
        <w:tab w:val="clear" w:pos="567"/>
      </w:tabs>
      <w:autoSpaceDE w:val="0"/>
      <w:autoSpaceDN w:val="0"/>
      <w:spacing w:before="91" w:line="240" w:lineRule="auto"/>
      <w:ind w:left="787" w:hanging="567"/>
    </w:pPr>
    <w:rPr>
      <w:szCs w:val="22"/>
      <w:lang w:val="nl-BE" w:eastAsia="nl-BE" w:bidi="nl-BE"/>
    </w:rPr>
  </w:style>
  <w:style w:type="character" w:styleId="Nevyeenzmnka">
    <w:name w:val="Unresolved Mention"/>
    <w:basedOn w:val="Standardnpsmoodstavce"/>
    <w:rsid w:val="00DF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4BCF-DA68-44AB-8EFE-9901C588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1030</Words>
  <Characters>6078</Characters>
  <Application>Microsoft Office Word</Application>
  <DocSecurity>0</DocSecurity>
  <Lines>50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26</cp:revision>
  <cp:lastPrinted>2025-10-06T10:54:00Z</cp:lastPrinted>
  <dcterms:created xsi:type="dcterms:W3CDTF">2024-12-17T12:35:00Z</dcterms:created>
  <dcterms:modified xsi:type="dcterms:W3CDTF">2025-10-06T10:54:00Z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