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6C02" w:rsidRDefault="005B47D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6C02">
        <w:rPr>
          <w:b/>
          <w:szCs w:val="22"/>
        </w:rPr>
        <w:t>PŘÍLOHA I</w:t>
      </w:r>
    </w:p>
    <w:p w14:paraId="50FE88E4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6C02" w:rsidRDefault="005B47D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6C02">
        <w:rPr>
          <w:b/>
          <w:szCs w:val="22"/>
        </w:rPr>
        <w:t>SOUHRN ÚDAJŮ O PŘÍPRAVKU</w:t>
      </w:r>
    </w:p>
    <w:p w14:paraId="70A64732" w14:textId="77777777" w:rsidR="00C114FF" w:rsidRPr="00B46C02" w:rsidRDefault="005B47DC" w:rsidP="00B13B6D">
      <w:pPr>
        <w:pStyle w:val="Style1"/>
      </w:pPr>
      <w:r w:rsidRPr="00B46C02">
        <w:br w:type="page"/>
      </w:r>
      <w:r w:rsidRPr="00B46C02">
        <w:lastRenderedPageBreak/>
        <w:t>1.</w:t>
      </w:r>
      <w:r w:rsidRPr="00B46C02">
        <w:tab/>
        <w:t>NÁZEV VETERINÁRNÍHO LÉČIVÉHO PŘÍPRAVKU</w:t>
      </w:r>
    </w:p>
    <w:p w14:paraId="3606368F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15A2D9" w14:textId="6F275214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 xml:space="preserve">Forthyron flavoured </w:t>
      </w:r>
      <w:r w:rsidR="00A00B3E">
        <w:rPr>
          <w:szCs w:val="22"/>
        </w:rPr>
        <w:t>4</w:t>
      </w:r>
      <w:r w:rsidR="00A00B3E" w:rsidRPr="00B46C02">
        <w:rPr>
          <w:szCs w:val="22"/>
        </w:rPr>
        <w:t xml:space="preserve">00 </w:t>
      </w:r>
      <w:r w:rsidRPr="00B46C02">
        <w:rPr>
          <w:szCs w:val="22"/>
        </w:rPr>
        <w:t>μg tablety pro psy</w:t>
      </w:r>
    </w:p>
    <w:p w14:paraId="5906BB1F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6C02" w:rsidRDefault="005B47DC" w:rsidP="00B13B6D">
      <w:pPr>
        <w:pStyle w:val="Style1"/>
      </w:pPr>
      <w:r w:rsidRPr="00B46C02">
        <w:t>2.</w:t>
      </w:r>
      <w:r w:rsidRPr="00B46C02">
        <w:tab/>
        <w:t>KVALITATIVNÍ A KVANTITATIVNÍ SLOŽENÍ</w:t>
      </w:r>
    </w:p>
    <w:p w14:paraId="3EAF4F83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78784" w14:textId="5284CAEE" w:rsidR="001B2602" w:rsidRPr="00B46C02" w:rsidRDefault="006015E2" w:rsidP="001B2602">
      <w:pPr>
        <w:widowControl w:val="0"/>
        <w:tabs>
          <w:tab w:val="clear" w:pos="567"/>
        </w:tabs>
        <w:suppressAutoHyphens/>
        <w:spacing w:line="240" w:lineRule="auto"/>
        <w:rPr>
          <w:bCs/>
          <w:snapToGrid w:val="0"/>
          <w:szCs w:val="22"/>
          <w:lang w:eastAsia="nl-NL"/>
        </w:rPr>
      </w:pPr>
      <w:r w:rsidRPr="00B46C02">
        <w:rPr>
          <w:bCs/>
          <w:snapToGrid w:val="0"/>
          <w:szCs w:val="22"/>
          <w:lang w:eastAsia="nl-NL"/>
        </w:rPr>
        <w:t xml:space="preserve">Každá </w:t>
      </w:r>
      <w:r w:rsidR="001B2602" w:rsidRPr="00B46C02">
        <w:rPr>
          <w:bCs/>
          <w:snapToGrid w:val="0"/>
          <w:szCs w:val="22"/>
          <w:lang w:eastAsia="nl-NL"/>
        </w:rPr>
        <w:t xml:space="preserve">tableta obsahuje: </w:t>
      </w:r>
    </w:p>
    <w:p w14:paraId="625DC12D" w14:textId="77777777" w:rsidR="001B2602" w:rsidRPr="00B46C02" w:rsidRDefault="001B2602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668A2BBB" w14:textId="295FFC46" w:rsidR="00C114FF" w:rsidRPr="00B46C02" w:rsidRDefault="005B47DC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6C02">
        <w:rPr>
          <w:b/>
          <w:szCs w:val="22"/>
        </w:rPr>
        <w:t>Léčivé látky:</w:t>
      </w:r>
    </w:p>
    <w:p w14:paraId="5EA0494B" w14:textId="3D51887B" w:rsidR="001B2602" w:rsidRPr="00B46C02" w:rsidRDefault="00A00B3E" w:rsidP="001B260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>
        <w:rPr>
          <w:szCs w:val="22"/>
          <w:lang w:eastAsia="en-GB"/>
        </w:rPr>
        <w:t>389</w:t>
      </w:r>
      <w:r w:rsidR="006015E2" w:rsidRPr="00B46C02">
        <w:rPr>
          <w:szCs w:val="22"/>
          <w:lang w:eastAsia="en-GB"/>
        </w:rPr>
        <w:t xml:space="preserve"> μg levothyroxinum, odpovídá </w:t>
      </w:r>
      <w:r w:rsidR="00B46C02" w:rsidRPr="00B46C02">
        <w:rPr>
          <w:szCs w:val="22"/>
          <w:lang w:eastAsia="en-GB"/>
        </w:rPr>
        <w:t xml:space="preserve">levothyroxinum </w:t>
      </w:r>
      <w:r w:rsidR="001B2602" w:rsidRPr="00B46C02">
        <w:rPr>
          <w:szCs w:val="22"/>
          <w:lang w:eastAsia="en-GB"/>
        </w:rPr>
        <w:t xml:space="preserve">natricum </w:t>
      </w:r>
      <w:r>
        <w:rPr>
          <w:szCs w:val="22"/>
          <w:lang w:eastAsia="en-GB"/>
        </w:rPr>
        <w:t>4</w:t>
      </w:r>
      <w:r w:rsidRPr="00B46C02">
        <w:rPr>
          <w:szCs w:val="22"/>
          <w:lang w:eastAsia="en-GB"/>
        </w:rPr>
        <w:t>00 </w:t>
      </w:r>
      <w:r w:rsidR="001B2602" w:rsidRPr="00B46C02">
        <w:rPr>
          <w:szCs w:val="22"/>
          <w:lang w:eastAsia="en-GB"/>
        </w:rPr>
        <w:t>μg</w:t>
      </w:r>
    </w:p>
    <w:p w14:paraId="4628A7B3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</w:p>
    <w:p w14:paraId="55F42F38" w14:textId="7E8DD245" w:rsidR="00C114FF" w:rsidRPr="00B46C02" w:rsidRDefault="005B47DC" w:rsidP="00A9226B">
      <w:pPr>
        <w:tabs>
          <w:tab w:val="clear" w:pos="567"/>
        </w:tabs>
        <w:spacing w:line="240" w:lineRule="auto"/>
        <w:rPr>
          <w:szCs w:val="22"/>
        </w:rPr>
      </w:pPr>
      <w:r w:rsidRPr="00B46C02">
        <w:rPr>
          <w:b/>
          <w:szCs w:val="22"/>
        </w:rPr>
        <w:t>Pomocné látky:</w:t>
      </w:r>
    </w:p>
    <w:p w14:paraId="13C45036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8"/>
      </w:tblGrid>
      <w:tr w:rsidR="006015E2" w:rsidRPr="00B46C02" w14:paraId="0B4C76E3" w14:textId="77777777" w:rsidTr="00806434">
        <w:tc>
          <w:tcPr>
            <w:tcW w:w="4558" w:type="dxa"/>
            <w:shd w:val="clear" w:color="auto" w:fill="auto"/>
            <w:vAlign w:val="center"/>
          </w:tcPr>
          <w:p w14:paraId="6D45EB6D" w14:textId="26812107" w:rsidR="006015E2" w:rsidRPr="00B46C02" w:rsidRDefault="006015E2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6C02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6015E2" w:rsidRPr="00B46C02" w14:paraId="7D5263D3" w14:textId="77777777" w:rsidTr="00806434">
        <w:tc>
          <w:tcPr>
            <w:tcW w:w="4558" w:type="dxa"/>
            <w:shd w:val="clear" w:color="auto" w:fill="auto"/>
            <w:vAlign w:val="center"/>
          </w:tcPr>
          <w:p w14:paraId="0F798F46" w14:textId="2EB91E01" w:rsidR="006015E2" w:rsidRPr="00B46C02" w:rsidRDefault="006015E2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B46C02">
              <w:rPr>
                <w:szCs w:val="22"/>
                <w:lang w:eastAsia="en-GB"/>
              </w:rPr>
              <w:t>Dihydrát hydrogenfosforečnanu vápenatého</w:t>
            </w:r>
          </w:p>
        </w:tc>
      </w:tr>
      <w:tr w:rsidR="006015E2" w:rsidRPr="00B46C02" w14:paraId="6A4C5E50" w14:textId="77777777" w:rsidTr="00806434">
        <w:tc>
          <w:tcPr>
            <w:tcW w:w="4558" w:type="dxa"/>
            <w:shd w:val="clear" w:color="auto" w:fill="auto"/>
            <w:vAlign w:val="center"/>
          </w:tcPr>
          <w:p w14:paraId="5CCC8F42" w14:textId="50E07273" w:rsidR="006015E2" w:rsidRPr="00B46C02" w:rsidRDefault="006015E2" w:rsidP="00617B81">
            <w:pPr>
              <w:spacing w:before="60" w:after="60"/>
              <w:rPr>
                <w:iCs/>
                <w:szCs w:val="22"/>
              </w:rPr>
            </w:pPr>
            <w:r w:rsidRPr="00B46C02">
              <w:rPr>
                <w:szCs w:val="22"/>
                <w:lang w:eastAsia="en-GB"/>
              </w:rPr>
              <w:t>Mikrokrystalická celulosa</w:t>
            </w:r>
          </w:p>
        </w:tc>
      </w:tr>
      <w:tr w:rsidR="006015E2" w:rsidRPr="00B46C02" w14:paraId="1E235C5B" w14:textId="77777777" w:rsidTr="00806434">
        <w:tc>
          <w:tcPr>
            <w:tcW w:w="4558" w:type="dxa"/>
            <w:shd w:val="clear" w:color="auto" w:fill="auto"/>
            <w:vAlign w:val="center"/>
          </w:tcPr>
          <w:p w14:paraId="0ECB18EE" w14:textId="5F05BCA2" w:rsidR="006015E2" w:rsidRPr="00B46C02" w:rsidRDefault="006015E2" w:rsidP="00617B81">
            <w:pPr>
              <w:spacing w:before="60" w:after="60"/>
              <w:rPr>
                <w:iCs/>
                <w:szCs w:val="22"/>
              </w:rPr>
            </w:pPr>
            <w:r w:rsidRPr="00B46C02">
              <w:rPr>
                <w:szCs w:val="22"/>
                <w:lang w:eastAsia="en-GB"/>
              </w:rPr>
              <w:t>Sodná sůl karboxymethylškrobu (typ A)</w:t>
            </w:r>
          </w:p>
        </w:tc>
      </w:tr>
      <w:tr w:rsidR="006015E2" w:rsidRPr="00B46C02" w14:paraId="726979DE" w14:textId="77777777" w:rsidTr="00806434">
        <w:tc>
          <w:tcPr>
            <w:tcW w:w="4558" w:type="dxa"/>
            <w:shd w:val="clear" w:color="auto" w:fill="auto"/>
            <w:vAlign w:val="center"/>
          </w:tcPr>
          <w:p w14:paraId="4D9ACFF2" w14:textId="301BF43E" w:rsidR="006015E2" w:rsidRPr="00B46C02" w:rsidRDefault="006015E2" w:rsidP="00617B81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B46C02">
              <w:rPr>
                <w:szCs w:val="22"/>
                <w:lang w:eastAsia="en-GB"/>
              </w:rPr>
              <w:t>Magnesium-stearát</w:t>
            </w:r>
          </w:p>
        </w:tc>
      </w:tr>
      <w:tr w:rsidR="006015E2" w:rsidRPr="00B46C02" w14:paraId="7E2051F5" w14:textId="77777777" w:rsidTr="00806434">
        <w:tc>
          <w:tcPr>
            <w:tcW w:w="4558" w:type="dxa"/>
            <w:shd w:val="clear" w:color="auto" w:fill="auto"/>
            <w:vAlign w:val="center"/>
          </w:tcPr>
          <w:p w14:paraId="53752492" w14:textId="521D0A67" w:rsidR="006015E2" w:rsidRPr="00B46C02" w:rsidRDefault="006015E2" w:rsidP="00617B81">
            <w:pPr>
              <w:spacing w:before="60" w:after="60"/>
              <w:rPr>
                <w:iCs/>
                <w:szCs w:val="22"/>
              </w:rPr>
            </w:pPr>
            <w:r w:rsidRPr="00B46C02">
              <w:rPr>
                <w:szCs w:val="22"/>
                <w:lang w:eastAsia="en-GB"/>
              </w:rPr>
              <w:t>Přírodní masové aroma</w:t>
            </w:r>
          </w:p>
        </w:tc>
      </w:tr>
    </w:tbl>
    <w:p w14:paraId="38F51D2A" w14:textId="77777777" w:rsidR="00872C48" w:rsidRPr="00B46C02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FBB977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  <w:lang w:eastAsia="en-GB"/>
        </w:rPr>
        <w:t>Našedlá kulatá tableta s hnědými skvrnami rozdělená na čtyři části dělící rýhou. Tablety lze dělit na poloviny nebo čtvrtiny.</w:t>
      </w:r>
    </w:p>
    <w:p w14:paraId="2E6CA329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667915" w14:textId="77777777" w:rsidR="001B2602" w:rsidRPr="00B46C02" w:rsidRDefault="001B260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6C02" w:rsidRDefault="005B47DC" w:rsidP="00B13B6D">
      <w:pPr>
        <w:pStyle w:val="Style1"/>
      </w:pPr>
      <w:r w:rsidRPr="00B46C02">
        <w:t>3.</w:t>
      </w:r>
      <w:r w:rsidRPr="00B46C02">
        <w:tab/>
        <w:t>KLINICKÉ INFORMACE</w:t>
      </w:r>
    </w:p>
    <w:p w14:paraId="03304F78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6C02" w:rsidRDefault="005B47DC" w:rsidP="00B13B6D">
      <w:pPr>
        <w:pStyle w:val="Style1"/>
      </w:pPr>
      <w:r w:rsidRPr="00B46C02">
        <w:t>3.1</w:t>
      </w:r>
      <w:r w:rsidRPr="00B46C02">
        <w:tab/>
        <w:t>Cílové druhy zvířat</w:t>
      </w:r>
    </w:p>
    <w:p w14:paraId="20FFAC3D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34FD94" w14:textId="77777777" w:rsidR="001B2602" w:rsidRPr="00B46C02" w:rsidRDefault="001B2602" w:rsidP="001B2602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Psi.</w:t>
      </w:r>
    </w:p>
    <w:p w14:paraId="7024C89F" w14:textId="77777777" w:rsidR="00605C51" w:rsidRPr="00B46C02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6C02" w:rsidRDefault="005B47DC" w:rsidP="00B13B6D">
      <w:pPr>
        <w:pStyle w:val="Style1"/>
      </w:pPr>
      <w:r w:rsidRPr="00B46C02">
        <w:t>3.2</w:t>
      </w:r>
      <w:r w:rsidRPr="00B46C02">
        <w:tab/>
        <w:t xml:space="preserve">Indikace pro použití pro každý cílový druh </w:t>
      </w:r>
      <w:r w:rsidR="0043586F" w:rsidRPr="00B46C02">
        <w:t>zvířat</w:t>
      </w:r>
    </w:p>
    <w:p w14:paraId="327E3A6F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9AD785" w14:textId="77777777" w:rsidR="001B2602" w:rsidRPr="00B46C02" w:rsidRDefault="001B2602" w:rsidP="001B2602">
      <w:pPr>
        <w:widowControl w:val="0"/>
        <w:tabs>
          <w:tab w:val="clear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96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Léčba hypotyreózy u psů.</w:t>
      </w:r>
    </w:p>
    <w:p w14:paraId="45A9E78C" w14:textId="77777777" w:rsidR="00E86CEE" w:rsidRPr="00B46C02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6C02" w:rsidRDefault="005B47DC" w:rsidP="00B13B6D">
      <w:pPr>
        <w:pStyle w:val="Style1"/>
      </w:pPr>
      <w:r w:rsidRPr="00B46C02">
        <w:t>3.3</w:t>
      </w:r>
      <w:r w:rsidRPr="00B46C02">
        <w:tab/>
        <w:t>Kontraindikace</w:t>
      </w:r>
    </w:p>
    <w:p w14:paraId="758D96B3" w14:textId="77777777" w:rsidR="00C114FF" w:rsidRPr="00B46C0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619B495" w14:textId="77777777" w:rsidR="001B2602" w:rsidRPr="00B46C02" w:rsidRDefault="001B2602" w:rsidP="001B2602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szCs w:val="22"/>
          <w:lang w:eastAsia="en-GB"/>
        </w:rPr>
      </w:pPr>
      <w:r w:rsidRPr="00B46C02">
        <w:rPr>
          <w:szCs w:val="22"/>
          <w:lang w:eastAsia="en-GB"/>
        </w:rPr>
        <w:t xml:space="preserve">Nepoužívat u psů s nekorigovanou adrenální insuficiencí. </w:t>
      </w:r>
    </w:p>
    <w:p w14:paraId="23315C19" w14:textId="2EDD9C16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  <w:lang w:eastAsia="en-GB"/>
        </w:rPr>
      </w:pPr>
      <w:r w:rsidRPr="00B46C02">
        <w:rPr>
          <w:szCs w:val="22"/>
          <w:lang w:eastAsia="en-GB"/>
        </w:rPr>
        <w:t xml:space="preserve">Nepoužívat v </w:t>
      </w:r>
      <w:r w:rsidR="006015E2" w:rsidRPr="00B46C02">
        <w:rPr>
          <w:szCs w:val="22"/>
          <w:lang w:eastAsia="en-GB"/>
        </w:rPr>
        <w:t xml:space="preserve">případech </w:t>
      </w:r>
      <w:r w:rsidRPr="00B46C02">
        <w:rPr>
          <w:szCs w:val="22"/>
          <w:lang w:eastAsia="en-GB"/>
        </w:rPr>
        <w:t xml:space="preserve">přecitlivělosti na </w:t>
      </w:r>
      <w:r w:rsidR="006015E2" w:rsidRPr="00B46C02">
        <w:rPr>
          <w:szCs w:val="22"/>
          <w:lang w:eastAsia="en-GB"/>
        </w:rPr>
        <w:t>léčivou látku</w:t>
      </w:r>
      <w:r w:rsidRPr="00B46C02">
        <w:rPr>
          <w:szCs w:val="22"/>
          <w:lang w:eastAsia="en-GB"/>
        </w:rPr>
        <w:t xml:space="preserve"> nebo na některou z pomocných látek.</w:t>
      </w:r>
    </w:p>
    <w:p w14:paraId="54C2FA76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6C02" w:rsidRDefault="005B47DC" w:rsidP="00B13B6D">
      <w:pPr>
        <w:pStyle w:val="Style1"/>
      </w:pPr>
      <w:r w:rsidRPr="00B46C02">
        <w:t>3.4</w:t>
      </w:r>
      <w:r w:rsidRPr="00B46C02">
        <w:tab/>
        <w:t>Zvláštní upozornění</w:t>
      </w:r>
    </w:p>
    <w:p w14:paraId="0622A062" w14:textId="77777777" w:rsidR="00C114FF" w:rsidRPr="00B46C0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EF2E897" w14:textId="77777777" w:rsidR="001B2602" w:rsidRPr="00B46C02" w:rsidRDefault="001B2602" w:rsidP="001B2602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 xml:space="preserve">Diagnóza hypotyreózy by měla být potvrzena vhodnými vyšetřeními. </w:t>
      </w:r>
    </w:p>
    <w:p w14:paraId="454F5016" w14:textId="77777777" w:rsidR="002838C8" w:rsidRPr="00B46C02" w:rsidRDefault="002838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6C02" w:rsidRDefault="005B47DC" w:rsidP="00B13B6D">
      <w:pPr>
        <w:pStyle w:val="Style1"/>
      </w:pPr>
      <w:r w:rsidRPr="00B46C02">
        <w:t>3.5</w:t>
      </w:r>
      <w:r w:rsidRPr="00B46C02">
        <w:tab/>
        <w:t>Zvláštní opatření pro použití</w:t>
      </w:r>
    </w:p>
    <w:p w14:paraId="0B94D7B2" w14:textId="77777777" w:rsidR="00C114FF" w:rsidRPr="00B46C0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6C02" w:rsidRDefault="005B47DC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6C02">
        <w:rPr>
          <w:szCs w:val="22"/>
          <w:u w:val="single"/>
        </w:rPr>
        <w:t>Zvláštní opatření pro bezpečné použití u cílových druhů zvířat:</w:t>
      </w:r>
    </w:p>
    <w:p w14:paraId="2A86F083" w14:textId="77777777" w:rsidR="001B2602" w:rsidRPr="00B46C02" w:rsidRDefault="001B2602" w:rsidP="001B2602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Tablety jsou ochucené. Aby se zabránilo náhodnému požití, uchovávejte tablety mimo dosah zvířat.</w:t>
      </w:r>
    </w:p>
    <w:p w14:paraId="15C5A4D7" w14:textId="77777777" w:rsidR="001B2602" w:rsidRPr="00B46C02" w:rsidRDefault="001B2602" w:rsidP="001B2602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Náhlé zvýšení poptávky po přívodu kyslíku do periferních tkání a chronotropní účinky levothyroxinu sodného</w:t>
      </w:r>
      <w:r w:rsidRPr="00B46C02">
        <w:rPr>
          <w:szCs w:val="22"/>
          <w:vertAlign w:val="subscript"/>
        </w:rPr>
        <w:t xml:space="preserve"> </w:t>
      </w:r>
      <w:r w:rsidRPr="00B46C02">
        <w:rPr>
          <w:szCs w:val="22"/>
        </w:rPr>
        <w:t xml:space="preserve">mohou vystavit špatně pracující srdce nadměrné námaze, což způsobí dekompenzaci a příznaky kongestivního srdečního selhání. Psi s nedostatečnou funkcí štítné žlázy, trpící hypoadrenokorticismem, mají sníženou schopnost metabolizovat levothyroxin sodný, a proto jsou </w:t>
      </w:r>
      <w:r w:rsidRPr="00B46C02">
        <w:rPr>
          <w:szCs w:val="22"/>
        </w:rPr>
        <w:lastRenderedPageBreak/>
        <w:t>vystaveni zvýšenému riziku tyreotoxikózy. Psi se současným hypoadrenokorticismem a hypotyreózou by se měli stabilizovat léčbou glukokortikoidy a mineralokortikoidy před léčbou levothyroxinem sodným, aby se zabránilo vyvolání hypoadrenokortikální krize. Poté by se měly testy štítné žlázy opakovat s následným postupným zaváděním terapie levothyroxinem, začínající na 25 % normální dávky a rostoucí o 25 % každých čtrnáct dnů, dokud není dosaženo optimální stabilizace. Postupné zavádění terapie se rovněž doporučuje u psů s jinými souběžnými nemocemi, zejména diabetem mellitus a ledvinovou či jaterní dysfunkcí.</w:t>
      </w:r>
    </w:p>
    <w:p w14:paraId="5ABE2C71" w14:textId="77777777" w:rsidR="00605C51" w:rsidRPr="00B46C02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6C02" w:rsidRDefault="005B47DC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6C02">
        <w:rPr>
          <w:szCs w:val="22"/>
          <w:u w:val="single"/>
        </w:rPr>
        <w:t>Zvláštní opatření pro osobu, která podává veterinární léčivý přípravek zvířatům:</w:t>
      </w:r>
    </w:p>
    <w:p w14:paraId="2429C9C6" w14:textId="77777777" w:rsidR="001B2602" w:rsidRPr="00B46C02" w:rsidRDefault="001B2602" w:rsidP="001B260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B46C02">
        <w:rPr>
          <w:szCs w:val="22"/>
          <w:lang w:eastAsia="en-GB"/>
        </w:rPr>
        <w:t>Jakoukoliv nevyužitou část(i) tablety vraťte do otevřeného blistru pro použití při příštím podání.</w:t>
      </w:r>
    </w:p>
    <w:p w14:paraId="722E6680" w14:textId="3DD4B30E" w:rsidR="001B2602" w:rsidRPr="00B46C02" w:rsidRDefault="001B2602" w:rsidP="001B260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B46C02">
        <w:rPr>
          <w:szCs w:val="22"/>
          <w:lang w:eastAsia="en-GB"/>
        </w:rPr>
        <w:t>Po podání tablet si umyjte ruce. Těhotné ženy by měly s</w:t>
      </w:r>
      <w:r w:rsidR="006015E2" w:rsidRPr="00B46C02">
        <w:rPr>
          <w:szCs w:val="22"/>
          <w:lang w:eastAsia="en-GB"/>
        </w:rPr>
        <w:t xml:space="preserve"> veterinárním léčivým </w:t>
      </w:r>
      <w:r w:rsidRPr="00B46C02">
        <w:rPr>
          <w:szCs w:val="22"/>
          <w:lang w:eastAsia="en-GB"/>
        </w:rPr>
        <w:t xml:space="preserve">přípravkem zacházet obezřetně. V případě náhodného požití vyhledejte ihned lékařskou pomoc a ukažte příbalovou informaci nebo etiketu praktickému lékaři. </w:t>
      </w:r>
    </w:p>
    <w:p w14:paraId="791F37D4" w14:textId="06B9CA58" w:rsidR="001B2602" w:rsidRPr="00B46C02" w:rsidRDefault="001B2602" w:rsidP="001B2602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B46C02">
        <w:rPr>
          <w:szCs w:val="22"/>
          <w:lang w:eastAsia="en-GB"/>
        </w:rPr>
        <w:t xml:space="preserve">Pro lékaře: </w:t>
      </w:r>
      <w:r w:rsidR="00243FBF">
        <w:rPr>
          <w:szCs w:val="22"/>
          <w:lang w:eastAsia="en-GB"/>
        </w:rPr>
        <w:t>Veterinární léčivý p</w:t>
      </w:r>
      <w:r w:rsidRPr="00B46C02">
        <w:rPr>
          <w:szCs w:val="22"/>
          <w:lang w:eastAsia="en-GB"/>
        </w:rPr>
        <w:t>řípravek obsahuje vysokou koncentraci L-tyroxinu sodného a v případě požití může pro člověka, zejména děti, představovat riziko.</w:t>
      </w:r>
    </w:p>
    <w:p w14:paraId="7D364D19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90C4D" w14:textId="4C8EE983" w:rsidR="00295140" w:rsidRPr="00B46C02" w:rsidRDefault="005B47DC" w:rsidP="001B2602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6C02">
        <w:rPr>
          <w:szCs w:val="22"/>
          <w:u w:val="single"/>
        </w:rPr>
        <w:t>Zvláštní opatření pro ochranu životního prostředí:</w:t>
      </w:r>
    </w:p>
    <w:p w14:paraId="0CE51CD2" w14:textId="235BBE0A" w:rsidR="00295140" w:rsidRPr="00B46C02" w:rsidRDefault="00BA1C8A" w:rsidP="00A9226B">
      <w:pPr>
        <w:tabs>
          <w:tab w:val="clear" w:pos="567"/>
        </w:tabs>
        <w:spacing w:line="240" w:lineRule="auto"/>
      </w:pPr>
      <w:r w:rsidRPr="00B46C02">
        <w:t>Neuplatňuje se.</w:t>
      </w:r>
    </w:p>
    <w:p w14:paraId="309A1DB9" w14:textId="77777777" w:rsidR="00295140" w:rsidRPr="00B46C0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6C02" w:rsidRDefault="005B47DC" w:rsidP="00B13B6D">
      <w:pPr>
        <w:pStyle w:val="Style1"/>
      </w:pPr>
      <w:r w:rsidRPr="00B46C02">
        <w:t>3.6</w:t>
      </w:r>
      <w:r w:rsidRPr="00B46C02">
        <w:tab/>
        <w:t>Nežádoucí účinky</w:t>
      </w:r>
    </w:p>
    <w:p w14:paraId="10F3D673" w14:textId="77777777" w:rsidR="00295140" w:rsidRPr="00B46C0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558BA72" w14:textId="0DA2D28D" w:rsidR="006015E2" w:rsidRPr="00B46C02" w:rsidRDefault="00FF457F" w:rsidP="006015E2">
      <w:pPr>
        <w:tabs>
          <w:tab w:val="clear" w:pos="567"/>
        </w:tabs>
        <w:spacing w:line="240" w:lineRule="auto"/>
        <w:rPr>
          <w:bCs/>
          <w:szCs w:val="22"/>
        </w:rPr>
      </w:pPr>
      <w:bookmarkStart w:id="0" w:name="_Hlk192691420"/>
      <w:r w:rsidRPr="00B46C02">
        <w:rPr>
          <w:bCs/>
          <w:szCs w:val="22"/>
        </w:rPr>
        <w:t>Psi</w:t>
      </w:r>
      <w:r w:rsidR="006015E2" w:rsidRPr="00B46C02">
        <w:rPr>
          <w:bCs/>
          <w:szCs w:val="22"/>
        </w:rPr>
        <w:t>:</w:t>
      </w:r>
    </w:p>
    <w:p w14:paraId="57F567ED" w14:textId="77777777" w:rsidR="006015E2" w:rsidRPr="00B46C02" w:rsidRDefault="006015E2" w:rsidP="006015E2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5515"/>
      </w:tblGrid>
      <w:tr w:rsidR="006015E2" w:rsidRPr="00B46C02" w14:paraId="0028D0E2" w14:textId="77777777" w:rsidTr="001C5754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8531" w14:textId="77777777" w:rsidR="006015E2" w:rsidRPr="00B46C02" w:rsidRDefault="006015E2" w:rsidP="006015E2">
            <w:pPr>
              <w:spacing w:before="60" w:after="60"/>
              <w:rPr>
                <w:szCs w:val="22"/>
              </w:rPr>
            </w:pPr>
            <w:r w:rsidRPr="00B46C02">
              <w:t>Velmi vzácné</w:t>
            </w:r>
          </w:p>
          <w:p w14:paraId="418B36DD" w14:textId="6A8F78D2" w:rsidR="006015E2" w:rsidRPr="00B46C02" w:rsidRDefault="006015E2" w:rsidP="006015E2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B46C02">
              <w:t>(&lt;1 zvíře / 10 000 ošetřených zvířat, včetně ojedinělých hlášení):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4A56A" w14:textId="7AA9F636" w:rsidR="006015E2" w:rsidRPr="00B46C02" w:rsidRDefault="00FF457F" w:rsidP="001C575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B46C02">
              <w:rPr>
                <w:iCs/>
                <w:szCs w:val="22"/>
              </w:rPr>
              <w:t>Ztráta hmotnosti</w:t>
            </w:r>
            <w:r w:rsidR="006015E2" w:rsidRPr="00B46C02">
              <w:rPr>
                <w:iCs/>
                <w:szCs w:val="22"/>
                <w:vertAlign w:val="superscript"/>
              </w:rPr>
              <w:t>a,b</w:t>
            </w:r>
            <w:r w:rsidR="006015E2" w:rsidRPr="00B46C02">
              <w:rPr>
                <w:iCs/>
                <w:szCs w:val="22"/>
              </w:rPr>
              <w:t xml:space="preserve">, </w:t>
            </w:r>
            <w:r w:rsidRPr="00B46C02">
              <w:rPr>
                <w:iCs/>
                <w:szCs w:val="22"/>
              </w:rPr>
              <w:t>polydipsie</w:t>
            </w:r>
            <w:r w:rsidR="006015E2" w:rsidRPr="00B46C02">
              <w:rPr>
                <w:iCs/>
                <w:szCs w:val="22"/>
                <w:vertAlign w:val="superscript"/>
              </w:rPr>
              <w:t>a</w:t>
            </w:r>
            <w:r w:rsidR="006015E2" w:rsidRPr="00B46C02">
              <w:rPr>
                <w:iCs/>
                <w:szCs w:val="22"/>
              </w:rPr>
              <w:t xml:space="preserve">, </w:t>
            </w:r>
            <w:r w:rsidRPr="00B46C02">
              <w:rPr>
                <w:iCs/>
                <w:szCs w:val="22"/>
              </w:rPr>
              <w:t>polyfágie</w:t>
            </w:r>
            <w:r w:rsidR="006015E2" w:rsidRPr="00B46C02">
              <w:rPr>
                <w:iCs/>
                <w:szCs w:val="22"/>
                <w:vertAlign w:val="superscript"/>
              </w:rPr>
              <w:t>a</w:t>
            </w:r>
          </w:p>
          <w:p w14:paraId="570A80EA" w14:textId="775B63C1" w:rsidR="006015E2" w:rsidRPr="00B46C02" w:rsidRDefault="00FF457F" w:rsidP="001C575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B46C02">
              <w:rPr>
                <w:iCs/>
                <w:szCs w:val="22"/>
              </w:rPr>
              <w:t>Hyperaktivita</w:t>
            </w:r>
            <w:r w:rsidR="006015E2" w:rsidRPr="00B46C02">
              <w:rPr>
                <w:iCs/>
                <w:szCs w:val="22"/>
                <w:vertAlign w:val="superscript"/>
              </w:rPr>
              <w:t>a</w:t>
            </w:r>
            <w:r w:rsidR="006015E2" w:rsidRPr="00B46C02">
              <w:rPr>
                <w:iCs/>
                <w:szCs w:val="22"/>
              </w:rPr>
              <w:t xml:space="preserve">, </w:t>
            </w:r>
            <w:r w:rsidRPr="00B46C02">
              <w:rPr>
                <w:iCs/>
                <w:szCs w:val="22"/>
              </w:rPr>
              <w:t>vzrušivost</w:t>
            </w:r>
            <w:r w:rsidR="006015E2" w:rsidRPr="00B46C02">
              <w:rPr>
                <w:iCs/>
                <w:szCs w:val="22"/>
                <w:vertAlign w:val="superscript"/>
              </w:rPr>
              <w:t>a</w:t>
            </w:r>
          </w:p>
          <w:p w14:paraId="49006DB2" w14:textId="4B5846F9" w:rsidR="006015E2" w:rsidRPr="00B46C02" w:rsidRDefault="00FF457F" w:rsidP="001C575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B46C02">
              <w:rPr>
                <w:iCs/>
                <w:szCs w:val="22"/>
              </w:rPr>
              <w:t>Lapání po dechu</w:t>
            </w:r>
            <w:r w:rsidR="006015E2" w:rsidRPr="00B46C02">
              <w:rPr>
                <w:iCs/>
                <w:szCs w:val="22"/>
                <w:vertAlign w:val="superscript"/>
              </w:rPr>
              <w:t>a</w:t>
            </w:r>
          </w:p>
          <w:p w14:paraId="307D1397" w14:textId="768F54E9" w:rsidR="006015E2" w:rsidRPr="00B46C02" w:rsidRDefault="00FF457F" w:rsidP="001C575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B46C02">
              <w:rPr>
                <w:iCs/>
                <w:szCs w:val="22"/>
              </w:rPr>
              <w:t>Tachykardie</w:t>
            </w:r>
            <w:r w:rsidR="006015E2" w:rsidRPr="00B46C02">
              <w:rPr>
                <w:iCs/>
                <w:szCs w:val="22"/>
                <w:vertAlign w:val="superscript"/>
              </w:rPr>
              <w:t>a</w:t>
            </w:r>
          </w:p>
          <w:p w14:paraId="49655E19" w14:textId="448C583C" w:rsidR="006015E2" w:rsidRPr="00B46C02" w:rsidRDefault="006015E2" w:rsidP="001C575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B46C02">
              <w:rPr>
                <w:iCs/>
                <w:szCs w:val="22"/>
              </w:rPr>
              <w:t>Polyuri</w:t>
            </w:r>
            <w:r w:rsidR="00FF457F" w:rsidRPr="00B46C02">
              <w:rPr>
                <w:iCs/>
                <w:szCs w:val="22"/>
              </w:rPr>
              <w:t>e</w:t>
            </w:r>
            <w:r w:rsidRPr="00B46C02">
              <w:rPr>
                <w:iCs/>
                <w:szCs w:val="22"/>
                <w:vertAlign w:val="superscript"/>
              </w:rPr>
              <w:t>a</w:t>
            </w:r>
          </w:p>
          <w:p w14:paraId="50D7C18B" w14:textId="209436FC" w:rsidR="006015E2" w:rsidRPr="00B46C02" w:rsidRDefault="00FF457F" w:rsidP="001C575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B46C02">
              <w:rPr>
                <w:iCs/>
                <w:szCs w:val="22"/>
              </w:rPr>
              <w:t>Hypersenzitivní</w:t>
            </w:r>
            <w:r w:rsidR="00E4425B">
              <w:rPr>
                <w:iCs/>
                <w:szCs w:val="22"/>
              </w:rPr>
              <w:t xml:space="preserve"> reakce</w:t>
            </w:r>
            <w:r w:rsidRPr="00B46C02">
              <w:rPr>
                <w:iCs/>
                <w:szCs w:val="22"/>
              </w:rPr>
              <w:t xml:space="preserve"> (pruritus</w:t>
            </w:r>
            <w:r w:rsidR="006015E2" w:rsidRPr="00B46C02">
              <w:rPr>
                <w:iCs/>
                <w:szCs w:val="22"/>
              </w:rPr>
              <w:t>)</w:t>
            </w:r>
          </w:p>
        </w:tc>
      </w:tr>
    </w:tbl>
    <w:p w14:paraId="38E22A58" w14:textId="024C9DF4" w:rsidR="006015E2" w:rsidRPr="00B46C02" w:rsidRDefault="006015E2" w:rsidP="006015E2">
      <w:pPr>
        <w:tabs>
          <w:tab w:val="clear" w:pos="567"/>
        </w:tabs>
        <w:spacing w:line="240" w:lineRule="auto"/>
        <w:rPr>
          <w:szCs w:val="22"/>
        </w:rPr>
      </w:pPr>
      <w:r w:rsidRPr="00B46C02">
        <w:rPr>
          <w:szCs w:val="22"/>
          <w:vertAlign w:val="superscript"/>
        </w:rPr>
        <w:t>a</w:t>
      </w:r>
      <w:r w:rsidRPr="00B46C02">
        <w:rPr>
          <w:szCs w:val="22"/>
        </w:rPr>
        <w:t xml:space="preserve"> </w:t>
      </w:r>
      <w:r w:rsidR="00FF457F" w:rsidRPr="00B46C02">
        <w:rPr>
          <w:szCs w:val="22"/>
        </w:rPr>
        <w:t>Nežádoucí účinky hormonů štítné žlázy jsou všeobecně spojovány s nadměrným dávkováním</w:t>
      </w:r>
      <w:r w:rsidR="00FF457F" w:rsidRPr="00B46C02">
        <w:rPr>
          <w:sz w:val="24"/>
          <w:szCs w:val="24"/>
        </w:rPr>
        <w:t xml:space="preserve"> </w:t>
      </w:r>
      <w:r w:rsidR="00FF457F" w:rsidRPr="00B46C02">
        <w:rPr>
          <w:szCs w:val="22"/>
        </w:rPr>
        <w:t>a odpovídají příznakům hyperthyroidismu</w:t>
      </w:r>
      <w:r w:rsidRPr="00B46C02">
        <w:rPr>
          <w:szCs w:val="22"/>
        </w:rPr>
        <w:t xml:space="preserve">, </w:t>
      </w:r>
      <w:r w:rsidR="00FF457F" w:rsidRPr="00B46C02">
        <w:rPr>
          <w:szCs w:val="22"/>
        </w:rPr>
        <w:t>viz též bod </w:t>
      </w:r>
      <w:r w:rsidRPr="00B46C02">
        <w:rPr>
          <w:szCs w:val="22"/>
        </w:rPr>
        <w:t>3.10.</w:t>
      </w:r>
    </w:p>
    <w:p w14:paraId="577F4D4F" w14:textId="403A4AEF" w:rsidR="006015E2" w:rsidRPr="00B46C02" w:rsidRDefault="006015E2" w:rsidP="006015E2">
      <w:pPr>
        <w:tabs>
          <w:tab w:val="clear" w:pos="567"/>
        </w:tabs>
        <w:spacing w:line="240" w:lineRule="auto"/>
        <w:rPr>
          <w:szCs w:val="22"/>
        </w:rPr>
      </w:pPr>
      <w:r w:rsidRPr="00B46C02">
        <w:rPr>
          <w:szCs w:val="22"/>
          <w:vertAlign w:val="superscript"/>
        </w:rPr>
        <w:t>b</w:t>
      </w:r>
      <w:r w:rsidRPr="00B46C02">
        <w:rPr>
          <w:szCs w:val="22"/>
        </w:rPr>
        <w:t xml:space="preserve"> </w:t>
      </w:r>
      <w:r w:rsidR="00FF457F" w:rsidRPr="00B46C02">
        <w:rPr>
          <w:szCs w:val="22"/>
        </w:rPr>
        <w:t>Bez ztráty chuti k jídlu.</w:t>
      </w:r>
    </w:p>
    <w:bookmarkEnd w:id="0"/>
    <w:p w14:paraId="6D104CA1" w14:textId="77777777" w:rsidR="006015E2" w:rsidRPr="00B46C02" w:rsidRDefault="006015E2" w:rsidP="00AD0710">
      <w:pPr>
        <w:tabs>
          <w:tab w:val="clear" w:pos="567"/>
        </w:tabs>
        <w:spacing w:line="240" w:lineRule="auto"/>
        <w:rPr>
          <w:szCs w:val="22"/>
        </w:rPr>
      </w:pPr>
    </w:p>
    <w:p w14:paraId="022FCFEC" w14:textId="3D4AA5C3" w:rsidR="001B2602" w:rsidRPr="00B46C02" w:rsidRDefault="001B2602" w:rsidP="00AD0710">
      <w:pPr>
        <w:tabs>
          <w:tab w:val="clear" w:pos="567"/>
        </w:tabs>
        <w:spacing w:line="240" w:lineRule="auto"/>
        <w:rPr>
          <w:szCs w:val="22"/>
        </w:rPr>
      </w:pPr>
      <w:r w:rsidRPr="00B46C02">
        <w:rPr>
          <w:szCs w:val="22"/>
        </w:rPr>
        <w:t>Obnovení fyzické aktivity může odhalit nebo zvýraznit další obtíže</w:t>
      </w:r>
      <w:r w:rsidRPr="00B46C02">
        <w:rPr>
          <w:sz w:val="24"/>
          <w:szCs w:val="24"/>
        </w:rPr>
        <w:t xml:space="preserve"> </w:t>
      </w:r>
      <w:r w:rsidRPr="00B46C02">
        <w:rPr>
          <w:szCs w:val="22"/>
        </w:rPr>
        <w:t>související se zdravím, například osteoartrózu.</w:t>
      </w:r>
    </w:p>
    <w:p w14:paraId="6871F765" w14:textId="77777777" w:rsidR="00247A48" w:rsidRPr="00B46C02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0798A7D2" w14:textId="61809D00" w:rsidR="00BA1C8A" w:rsidRPr="00B46C02" w:rsidRDefault="00BA1C8A" w:rsidP="00BA1C8A">
      <w:bookmarkStart w:id="1" w:name="_Hlk66891708"/>
      <w:r w:rsidRPr="00B46C02"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 , nebo jeho místnímu zástupci, nebo příslušnému vnitrostátnímu orgánu prostřednictvím národního systému hlášení. </w:t>
      </w:r>
      <w:bookmarkStart w:id="2" w:name="_Hlk184130880"/>
      <w:r w:rsidRPr="00B46C02">
        <w:t>Podrobné kontaktní údaje naleznete</w:t>
      </w:r>
      <w:bookmarkEnd w:id="2"/>
      <w:r w:rsidRPr="00B46C02">
        <w:t xml:space="preserve"> v příbalové informaci.</w:t>
      </w:r>
    </w:p>
    <w:bookmarkEnd w:id="1"/>
    <w:p w14:paraId="5FB0AD77" w14:textId="77777777" w:rsidR="00BA1C8A" w:rsidRPr="00B46C02" w:rsidRDefault="00BA1C8A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6C02" w:rsidRDefault="005B47DC" w:rsidP="00B13B6D">
      <w:pPr>
        <w:pStyle w:val="Style1"/>
      </w:pPr>
      <w:r w:rsidRPr="00B46C02">
        <w:t>3.7</w:t>
      </w:r>
      <w:r w:rsidRPr="00B46C02">
        <w:tab/>
        <w:t>Použití v průběhu březosti, laktace nebo snášky</w:t>
      </w:r>
    </w:p>
    <w:p w14:paraId="0DFBFADE" w14:textId="77777777" w:rsidR="00C114FF" w:rsidRPr="00B46C0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B3A6EC4" w14:textId="21E37A4C" w:rsidR="006015E2" w:rsidRPr="00130633" w:rsidRDefault="006015E2" w:rsidP="001B2602">
      <w:pPr>
        <w:rPr>
          <w:szCs w:val="22"/>
          <w:u w:val="single"/>
        </w:rPr>
      </w:pPr>
      <w:r w:rsidRPr="00B46C02">
        <w:rPr>
          <w:szCs w:val="22"/>
          <w:u w:val="single"/>
        </w:rPr>
        <w:t>Březost a laktace:</w:t>
      </w:r>
    </w:p>
    <w:p w14:paraId="4CFA36B8" w14:textId="47F5A531" w:rsidR="001B2602" w:rsidRPr="00B46C02" w:rsidRDefault="00402AF0" w:rsidP="001B2602">
      <w:pPr>
        <w:rPr>
          <w:b/>
          <w:bCs/>
          <w:sz w:val="24"/>
          <w:szCs w:val="24"/>
        </w:rPr>
      </w:pPr>
      <w:r w:rsidRPr="00B46C02">
        <w:rPr>
          <w:szCs w:val="22"/>
        </w:rPr>
        <w:t>Nebyla stanovena b</w:t>
      </w:r>
      <w:r w:rsidR="001B2602" w:rsidRPr="00B46C02">
        <w:rPr>
          <w:szCs w:val="22"/>
        </w:rPr>
        <w:t xml:space="preserve">ezpečnost veterinárního léčivého přípravku pro použití u březích a kojících fen. Levothyroxin je však endogenní látkou a hormony štítné žlázy jsou zásadní pro vývoj plodu, zejména během prvního období gestace. Hypotyreóza během březosti může vést k závažným komplikacím, například </w:t>
      </w:r>
      <w:r w:rsidR="001B2602" w:rsidRPr="00B46C02">
        <w:t xml:space="preserve">narušenému vývoji plodů </w:t>
      </w:r>
      <w:r w:rsidR="001B2602" w:rsidRPr="00B46C02">
        <w:rPr>
          <w:szCs w:val="22"/>
        </w:rPr>
        <w:t xml:space="preserve">a </w:t>
      </w:r>
      <w:r w:rsidR="001B2602" w:rsidRPr="00B46C02">
        <w:t>fetální odúmrti</w:t>
      </w:r>
      <w:r w:rsidR="001B2602" w:rsidRPr="00B46C02">
        <w:rPr>
          <w:szCs w:val="22"/>
        </w:rPr>
        <w:t xml:space="preserve">. Léčené březí feny by se proto měly od zabřeznutí až do několika týdnů po porodu pravidelně monitorovat, protože požadavky na dávkování se mohou během březosti a laktace měnit. </w:t>
      </w:r>
    </w:p>
    <w:p w14:paraId="45A16993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6C02" w:rsidRDefault="005B47DC" w:rsidP="00B13B6D">
      <w:pPr>
        <w:pStyle w:val="Style1"/>
      </w:pPr>
      <w:r w:rsidRPr="00B46C02">
        <w:t>3.8</w:t>
      </w:r>
      <w:r w:rsidRPr="00B46C02">
        <w:tab/>
        <w:t>Interakce s jinými léčivými přípravky a další formy interakce</w:t>
      </w:r>
    </w:p>
    <w:p w14:paraId="54454937" w14:textId="77777777" w:rsidR="00C114FF" w:rsidRPr="00B46C0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BFEE6A" w14:textId="6822ADA5" w:rsidR="001B2602" w:rsidRPr="00B46C02" w:rsidRDefault="001B2602" w:rsidP="00806434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iCs/>
          <w:szCs w:val="22"/>
        </w:rPr>
      </w:pPr>
      <w:r w:rsidRPr="00B46C02">
        <w:rPr>
          <w:szCs w:val="22"/>
        </w:rPr>
        <w:t xml:space="preserve">Různá léčiva mohou narušovat vázání hormonů štítné žlázy v plazmě či v tkáni, případně pozměnit metabolismus hormonu štítné žlázy (např. barbituráty, antacidy, anabolické steroidy, diazepam, furosemid, mitotan, fenylbutazon, fenytoin, propranolol, velké dávky salicylátů a sulfonamidů). Při </w:t>
      </w:r>
      <w:r w:rsidRPr="00B46C02">
        <w:rPr>
          <w:szCs w:val="22"/>
        </w:rPr>
        <w:lastRenderedPageBreak/>
        <w:t xml:space="preserve">léčbě psů, kterým je podána souběžná medikace, by se vlastnosti těchto léčiv měly vzít v úvahu. </w:t>
      </w:r>
    </w:p>
    <w:p w14:paraId="622A496C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iCs/>
          <w:szCs w:val="22"/>
        </w:rPr>
      </w:pPr>
      <w:r w:rsidRPr="00B46C02">
        <w:rPr>
          <w:iCs/>
          <w:szCs w:val="22"/>
        </w:rPr>
        <w:t>Estrogeny mohou zvýšit potřebu hormonu štítné žlázy.</w:t>
      </w:r>
    </w:p>
    <w:p w14:paraId="23128EE2" w14:textId="77777777" w:rsidR="00B555F8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iCs/>
          <w:szCs w:val="22"/>
        </w:rPr>
      </w:pPr>
      <w:r w:rsidRPr="00B46C02">
        <w:rPr>
          <w:iCs/>
          <w:szCs w:val="22"/>
        </w:rPr>
        <w:t>Ketamin může způsobit tachykardii a hypertenzi při použití u pacientů užívajících hormony štítné žlázy.</w:t>
      </w:r>
    </w:p>
    <w:p w14:paraId="0A403015" w14:textId="6395F4F0" w:rsidR="001B2602" w:rsidRPr="00B46C02" w:rsidRDefault="00B555F8" w:rsidP="00B555F8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iCs/>
          <w:szCs w:val="22"/>
        </w:rPr>
        <w:t xml:space="preserve">Zvýšení dávky digitalis může být nezbytné u pacienta, který měl předchozí kompenzované kongestivní srdeční selhání a který je převeden na náhradní terapii hormony štítné žlázy. </w:t>
      </w:r>
      <w:r w:rsidR="001B2602" w:rsidRPr="00B46C02">
        <w:rPr>
          <w:iCs/>
          <w:szCs w:val="22"/>
        </w:rPr>
        <w:t xml:space="preserve">Levothyroxin zvyšuje účinek katecholaminů a sympatomimetik. </w:t>
      </w:r>
      <w:r w:rsidR="001B2602" w:rsidRPr="00B46C02">
        <w:rPr>
          <w:szCs w:val="22"/>
        </w:rPr>
        <w:t xml:space="preserve">Při léčbě hypotyreózy u psů současně trpících diabetem se doporučuje pečlivé sledování stavu </w:t>
      </w:r>
      <w:r w:rsidRPr="00B46C02">
        <w:rPr>
          <w:szCs w:val="22"/>
        </w:rPr>
        <w:t xml:space="preserve">diabetu </w:t>
      </w:r>
      <w:r w:rsidR="001B2602" w:rsidRPr="00B46C02">
        <w:rPr>
          <w:szCs w:val="22"/>
        </w:rPr>
        <w:t xml:space="preserve">mellitu. </w:t>
      </w:r>
    </w:p>
    <w:p w14:paraId="5B813DCA" w14:textId="77777777" w:rsidR="001B2602" w:rsidRPr="00B46C02" w:rsidRDefault="001B2602" w:rsidP="001B2602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szCs w:val="22"/>
        </w:rPr>
      </w:pPr>
    </w:p>
    <w:p w14:paraId="082C5603" w14:textId="77777777" w:rsidR="001B2602" w:rsidRPr="00B46C02" w:rsidRDefault="001B2602" w:rsidP="001B2602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Většina psů s dlouhodobou denní léčbou glukokortikoidy ve vysokých dávkách bude mít velmi nízké nebo nedetekovatelné sérové koncentrace T</w:t>
      </w:r>
      <w:r w:rsidRPr="00B46C02">
        <w:rPr>
          <w:szCs w:val="22"/>
          <w:vertAlign w:val="subscript"/>
        </w:rPr>
        <w:t>4</w:t>
      </w:r>
      <w:r w:rsidRPr="00B46C02">
        <w:rPr>
          <w:szCs w:val="22"/>
        </w:rPr>
        <w:t>, stejně jako subnormální hodnoty T</w:t>
      </w:r>
      <w:r w:rsidRPr="00B46C02">
        <w:rPr>
          <w:szCs w:val="22"/>
          <w:vertAlign w:val="subscript"/>
        </w:rPr>
        <w:t>3</w:t>
      </w:r>
      <w:r w:rsidRPr="00B46C02">
        <w:rPr>
          <w:szCs w:val="22"/>
        </w:rPr>
        <w:t>.</w:t>
      </w:r>
    </w:p>
    <w:p w14:paraId="0B86F3A7" w14:textId="77777777" w:rsidR="00C90EDA" w:rsidRPr="00B46C02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6C02" w:rsidRDefault="005B47DC" w:rsidP="00B13B6D">
      <w:pPr>
        <w:pStyle w:val="Style1"/>
      </w:pPr>
      <w:r w:rsidRPr="00B46C02">
        <w:t>3.9</w:t>
      </w:r>
      <w:r w:rsidRPr="00B46C02">
        <w:tab/>
        <w:t>Cesty podání a dávkování</w:t>
      </w:r>
    </w:p>
    <w:p w14:paraId="0C31E074" w14:textId="77777777" w:rsidR="00145D34" w:rsidRPr="00B46C02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3600C4" w14:textId="77777777" w:rsidR="001B2602" w:rsidRPr="00B46C02" w:rsidRDefault="001B2602" w:rsidP="001B260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222222"/>
          <w:szCs w:val="24"/>
        </w:rPr>
      </w:pPr>
      <w:r w:rsidRPr="00B46C02">
        <w:rPr>
          <w:color w:val="222222"/>
          <w:szCs w:val="24"/>
        </w:rPr>
        <w:t>Perorální podání.</w:t>
      </w:r>
    </w:p>
    <w:p w14:paraId="36C83D8A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 xml:space="preserve">Doporučená výchozí dávka levothyroxinu sodného je 10 μg/kg živé hmotnosti perorálně každých 12 hodin. Kvůli variabilitě absorpce a metabolismu může být nutné změnit dávku předtím, než bude pozorována úplná klinická odezva. Počáteční dávka a frekvence podání jsou pouze výchozím bodem. Terapie musí být vysoce individuální a uzpůsobena požadavkům každého psa. Psům o nižší živé hmotnosti než 5 kg by měla být, na začátku dávkování, podána čtvrtina jedné 200 </w:t>
      </w:r>
      <w:r w:rsidRPr="00B46C02">
        <w:rPr>
          <w:szCs w:val="22"/>
        </w:rPr>
        <w:sym w:font="Symbol" w:char="F06D"/>
      </w:r>
      <w:r w:rsidRPr="00B46C02">
        <w:rPr>
          <w:szCs w:val="22"/>
        </w:rPr>
        <w:t>g tablety</w:t>
      </w:r>
      <w:r w:rsidRPr="00B46C02">
        <w:rPr>
          <w:szCs w:val="22"/>
          <w:u w:val="single"/>
        </w:rPr>
        <w:t xml:space="preserve"> jednou</w:t>
      </w:r>
      <w:r w:rsidRPr="00B46C02">
        <w:rPr>
          <w:szCs w:val="22"/>
        </w:rPr>
        <w:t xml:space="preserve"> denně. Takové případy je nutné pečlivě sledovat. Přítomnost potravy může ovlivnit u psů absorpci levothyroxinu sodného. Načasování léčby a její spojitost s krmením by se proto měla důsledně každý den dodržovat. Pro adekvátní sledování terapie by měly být změřeny spodní hodnoty (těsně před léčbou) a nejvyšší hodnoty (asi tři hodiny po podání) T</w:t>
      </w:r>
      <w:r w:rsidRPr="00B46C02">
        <w:rPr>
          <w:szCs w:val="22"/>
          <w:vertAlign w:val="subscript"/>
        </w:rPr>
        <w:t xml:space="preserve">4 </w:t>
      </w:r>
      <w:r w:rsidRPr="00B46C02">
        <w:rPr>
          <w:szCs w:val="22"/>
        </w:rPr>
        <w:t>v plasmě. U psů dostávajících adekvátní dávku by se nejvyšší plazmatické koncentrace T</w:t>
      </w:r>
      <w:r w:rsidRPr="00B46C02">
        <w:rPr>
          <w:szCs w:val="22"/>
          <w:vertAlign w:val="subscript"/>
        </w:rPr>
        <w:t xml:space="preserve">4 </w:t>
      </w:r>
      <w:r w:rsidRPr="00B46C02">
        <w:rPr>
          <w:szCs w:val="22"/>
        </w:rPr>
        <w:t xml:space="preserve"> měly nacházet v oblasti vyšších hodnot normálního rozsahu hodnot (přibližně 30 až 47 nmol/l) a nejnižší hodnoty by se měly pohybovat přibližně okolo 19 nmol/l. Pokud jsou hladiny T4 mimo toto rozmezí, lze dávku levotyroxinu upravit v krocích po 50 až 200 µg pomocí vhodné síly (sil) tablet, dokud pacient není klinicky eutyroidní a T4 v séru není v referenčním rozmezí. Koncentrace T</w:t>
      </w:r>
      <w:r w:rsidRPr="00B46C02">
        <w:rPr>
          <w:szCs w:val="22"/>
          <w:vertAlign w:val="subscript"/>
        </w:rPr>
        <w:t>4</w:t>
      </w:r>
      <w:r w:rsidRPr="00B46C02">
        <w:rPr>
          <w:szCs w:val="22"/>
        </w:rPr>
        <w:t xml:space="preserve"> v plazmě lze opětovně stanovit za dva týdny po změně dávky, ale klinické zlepšení je stejně tak důležitým faktorem při stanovení individuální dávky, a to nastane za čtyři až osm týdnů. Jakmile bude dosaženo optimální substituční dávky, klinické a biochemické sledování lze provádět každých 6 až 12 měsíců.</w:t>
      </w:r>
    </w:p>
    <w:p w14:paraId="3AEDA4E9" w14:textId="77777777" w:rsidR="001B2602" w:rsidRPr="00B46C02" w:rsidRDefault="00584A7D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>
        <w:rPr>
          <w:noProof/>
          <w:szCs w:val="22"/>
          <w:lang w:eastAsia="cs-CZ"/>
        </w:rPr>
        <w:object w:dxaOrig="1440" w:dyaOrig="1440" w14:anchorId="001FA5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" style="position:absolute;margin-left:381pt;margin-top:6.1pt;width:62.65pt;height:64.85pt;z-index:-251658752;mso-wrap-edited:f;mso-width-percent:0;mso-height-percent:0;mso-width-percent:0;mso-height-percent:0" wrapcoords="-179 0 -179 21427 21600 21427 21600 0 -179 0" o:allowincell="f" fillcolor="window">
            <v:imagedata r:id="rId8" o:title=""/>
            <w10:wrap type="tight" side="left"/>
          </v:shape>
          <o:OLEObject Type="Embed" ProgID="Word.Picture.8" ShapeID="_x0000_s1028" DrawAspect="Content" ObjectID="_1822739095" r:id="rId9"/>
        </w:object>
      </w:r>
    </w:p>
    <w:p w14:paraId="49DC46F3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  <w:lang w:eastAsia="en-GB"/>
        </w:rPr>
        <w:t>Pro přesné a snadné rozlomení tablety položte tabletu dělící rýhou nahoru a zatlačte na ní palcem.</w:t>
      </w:r>
    </w:p>
    <w:p w14:paraId="229ABCFC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</w:p>
    <w:p w14:paraId="2550C7D2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  <w:lang w:eastAsia="en-GB"/>
        </w:rPr>
        <w:t>Pro rozlomení tablety na dvě části; přidržte jednu polovinu tablety a stiskem směrem dolů odlomte druhou polovinu.</w:t>
      </w:r>
    </w:p>
    <w:p w14:paraId="13504C24" w14:textId="77777777" w:rsidR="00247A48" w:rsidRPr="00B46C02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6C02" w:rsidRDefault="005B47DC" w:rsidP="00B13B6D">
      <w:pPr>
        <w:pStyle w:val="Style1"/>
      </w:pPr>
      <w:r w:rsidRPr="00B46C02">
        <w:t>3.10</w:t>
      </w:r>
      <w:r w:rsidRPr="00B46C02">
        <w:tab/>
        <w:t xml:space="preserve">Příznaky předávkování </w:t>
      </w:r>
      <w:r w:rsidR="00EC5045" w:rsidRPr="00B46C02">
        <w:t>(</w:t>
      </w:r>
      <w:r w:rsidRPr="00B46C02">
        <w:t xml:space="preserve">a </w:t>
      </w:r>
      <w:r w:rsidR="00202A85" w:rsidRPr="00B46C02">
        <w:t>kde</w:t>
      </w:r>
      <w:r w:rsidR="005E66FC" w:rsidRPr="00B46C02">
        <w:t xml:space="preserve"> </w:t>
      </w:r>
      <w:r w:rsidR="00202A85" w:rsidRPr="00B46C02">
        <w:t>je</w:t>
      </w:r>
      <w:r w:rsidR="005E66FC" w:rsidRPr="00B46C02">
        <w:t xml:space="preserve"> </w:t>
      </w:r>
      <w:r w:rsidR="00FB6F2F" w:rsidRPr="00B46C02">
        <w:t>relevantní</w:t>
      </w:r>
      <w:r w:rsidR="00202A85" w:rsidRPr="00B46C02">
        <w:t>, první pomoc</w:t>
      </w:r>
      <w:r w:rsidRPr="00B46C02">
        <w:t xml:space="preserve"> a antidota</w:t>
      </w:r>
      <w:r w:rsidR="00202A85" w:rsidRPr="00B46C02">
        <w:t>)</w:t>
      </w:r>
      <w:r w:rsidRPr="00B46C02">
        <w:t xml:space="preserve"> </w:t>
      </w:r>
    </w:p>
    <w:p w14:paraId="45A34650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1FE07B" w14:textId="77777777" w:rsidR="001B2602" w:rsidRPr="00B46C02" w:rsidRDefault="001B2602" w:rsidP="001B2602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 xml:space="preserve">Tyreotoxikóza by mohla nastat po podání nadměrných dávek. Tyreotoxikóza jakožto nežádoucí účinek mírného nadměrného podání je u psů vzácná díky jejich schopnosti katabolizovat a vylučovat hormony štítné žlázy. V případě náhodného podání velkého množství tablet Forthyronu lze snížit absorpci vyvoláním zvracení a jednorázovým společným podáním aktivního uhlí a síranu hořečnatého. </w:t>
      </w:r>
    </w:p>
    <w:p w14:paraId="4AF3C572" w14:textId="77777777" w:rsidR="001B2602" w:rsidRPr="00B46C02" w:rsidRDefault="001B2602" w:rsidP="001B2602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szCs w:val="22"/>
        </w:rPr>
      </w:pPr>
    </w:p>
    <w:p w14:paraId="04EA7C83" w14:textId="77777777" w:rsidR="001B2602" w:rsidRPr="00B46C02" w:rsidRDefault="001B2602" w:rsidP="001B2602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Předávkování v podobě troj až šestinásobku doporučené počáteční dávky během čtyř po sobě jdoucích týdnů u zdravých, eutyroidních psů vedlo k nesignifikantním klinickým příznakům, které by bylo možno považovat za důsledek léčby. Jednorázové předávkování 3 až 6 násobkem doporučené dávky nepředstavuje pro psa riziko a nejsou nutná žádná opatření. Nicméně po dlouhodobém nadměrném podávání může teoreticky dojít ke vzniku klinických příznaků hypertyreózy, jako jsou polydipsie, polyurie, zrychlený dech, ztráta hmotnosti bez anorexie a společně či jednotlivě tachykardie a nervozita. Přítomnost těchto příznaků by měla vést k vyhodnocení koncentrací T</w:t>
      </w:r>
      <w:r w:rsidRPr="00B46C02">
        <w:rPr>
          <w:szCs w:val="22"/>
          <w:vertAlign w:val="subscript"/>
        </w:rPr>
        <w:t>4</w:t>
      </w:r>
      <w:r w:rsidRPr="00B46C02">
        <w:rPr>
          <w:szCs w:val="22"/>
        </w:rPr>
        <w:t xml:space="preserve"> v séru, aby se potvrdila diagnóza a okamžitě přerušilo podávání léčiva. Jakmile příznaky odezní (dny či týdny), dávka léčivého přípravku se přezkoumá a až se zvíře zcela zotaví, je možné začít podávat nižší dávky za pečlivého sledování zvířete. </w:t>
      </w:r>
    </w:p>
    <w:p w14:paraId="2DB15504" w14:textId="77777777" w:rsidR="00605C51" w:rsidRPr="00B46C02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6C02" w:rsidRDefault="005B47DC" w:rsidP="00B13B6D">
      <w:pPr>
        <w:pStyle w:val="Style1"/>
      </w:pPr>
      <w:r w:rsidRPr="00B46C02">
        <w:lastRenderedPageBreak/>
        <w:t>3.11</w:t>
      </w:r>
      <w:r w:rsidRPr="00B46C02">
        <w:tab/>
        <w:t>Zvláštní omezení pro použití a zvláštní podmínky pro použití, včetně omezení používání antimikrob</w:t>
      </w:r>
      <w:r w:rsidR="00202A85" w:rsidRPr="00B46C02">
        <w:t>ních</w:t>
      </w:r>
      <w:r w:rsidRPr="00B46C02">
        <w:t xml:space="preserve"> a antiparazitárních veterinárních léčivých přípravků, za účelem snížení rizika rozvoje rezistence</w:t>
      </w:r>
    </w:p>
    <w:p w14:paraId="1204C42F" w14:textId="77777777" w:rsidR="009A6509" w:rsidRPr="00B46C02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184928" w14:textId="7124EE0B" w:rsidR="009A6509" w:rsidRDefault="00E6599D" w:rsidP="009A6509">
      <w:pPr>
        <w:tabs>
          <w:tab w:val="clear" w:pos="567"/>
        </w:tabs>
        <w:spacing w:line="240" w:lineRule="auto"/>
      </w:pPr>
      <w:r w:rsidRPr="00B46C02">
        <w:t>Neuplatňuje se.</w:t>
      </w:r>
    </w:p>
    <w:p w14:paraId="468EEFFC" w14:textId="77777777" w:rsidR="00E6599D" w:rsidRPr="00B46C02" w:rsidRDefault="00E6599D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6C02" w:rsidRDefault="005B47DC" w:rsidP="00B13B6D">
      <w:pPr>
        <w:pStyle w:val="Style1"/>
      </w:pPr>
      <w:r w:rsidRPr="00B46C02">
        <w:t>3.12</w:t>
      </w:r>
      <w:r w:rsidRPr="00B46C02">
        <w:tab/>
        <w:t>Ochranné lhůty</w:t>
      </w:r>
    </w:p>
    <w:p w14:paraId="2DC95067" w14:textId="77777777" w:rsidR="00C114FF" w:rsidRPr="00B46C0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F1B7DAD" w14:textId="322DFFFA" w:rsidR="001B2602" w:rsidRPr="00B46C02" w:rsidRDefault="006015E2" w:rsidP="001B2602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szCs w:val="22"/>
        </w:rPr>
      </w:pPr>
      <w:r w:rsidRPr="00B46C02">
        <w:t>Neuplatňuje se.</w:t>
      </w:r>
    </w:p>
    <w:p w14:paraId="35946CB6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6C02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1CC8012B" w:rsidR="00C114FF" w:rsidRPr="00B46C02" w:rsidRDefault="005B47DC" w:rsidP="001B7789">
      <w:pPr>
        <w:pStyle w:val="Style1"/>
        <w:keepNext/>
      </w:pPr>
      <w:r w:rsidRPr="00B46C02">
        <w:t>4.</w:t>
      </w:r>
      <w:r w:rsidRPr="00B46C02">
        <w:tab/>
        <w:t>FARMAKOLOGICKÉ INFORMACE</w:t>
      </w:r>
    </w:p>
    <w:p w14:paraId="28805E09" w14:textId="77777777" w:rsidR="001B2602" w:rsidRPr="00B46C02" w:rsidRDefault="001B2602" w:rsidP="001B7789">
      <w:pPr>
        <w:pStyle w:val="Style1"/>
        <w:keepNext/>
      </w:pPr>
    </w:p>
    <w:p w14:paraId="5C965196" w14:textId="5C0B3DBC" w:rsidR="00C114FF" w:rsidRPr="00B46C02" w:rsidRDefault="005B47DC" w:rsidP="00806434">
      <w:pPr>
        <w:pStyle w:val="Style1"/>
        <w:keepNext/>
      </w:pPr>
      <w:r w:rsidRPr="00B46C02">
        <w:t>4.1</w:t>
      </w:r>
      <w:r w:rsidRPr="00B46C02">
        <w:tab/>
        <w:t>ATCvet kód:</w:t>
      </w:r>
      <w:r w:rsidR="00260059">
        <w:t xml:space="preserve"> </w:t>
      </w:r>
      <w:r w:rsidR="001B2602" w:rsidRPr="00260059">
        <w:rPr>
          <w:b w:val="0"/>
        </w:rPr>
        <w:t>QH03AA01</w:t>
      </w:r>
    </w:p>
    <w:p w14:paraId="454AB4D4" w14:textId="77777777" w:rsidR="00605C51" w:rsidRPr="00B46C02" w:rsidRDefault="00605C51" w:rsidP="001B778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C4C65B" w14:textId="76620635" w:rsidR="00C114FF" w:rsidRPr="00B46C02" w:rsidRDefault="005B47DC" w:rsidP="001B7789">
      <w:pPr>
        <w:pStyle w:val="Style1"/>
        <w:keepNext/>
      </w:pPr>
      <w:r w:rsidRPr="00B46C02">
        <w:t>4.2</w:t>
      </w:r>
      <w:r w:rsidRPr="00B46C02">
        <w:tab/>
        <w:t>Farmakodynamika</w:t>
      </w:r>
    </w:p>
    <w:p w14:paraId="50FA42E3" w14:textId="77777777" w:rsidR="00C114FF" w:rsidRPr="00B46C02" w:rsidRDefault="00C114FF" w:rsidP="001B778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2641DB2" w14:textId="77777777" w:rsidR="001B2602" w:rsidRPr="00B46C02" w:rsidRDefault="001B2602" w:rsidP="001B2602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 xml:space="preserve">Farmakologicky je levothyroxin klasifikován jako hormonální přípravek, který nahrazuje deficientní endogenní hormony. </w:t>
      </w:r>
    </w:p>
    <w:p w14:paraId="25D3DFB3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</w:p>
    <w:p w14:paraId="4C39AC0B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Thyroxin T</w:t>
      </w:r>
      <w:r w:rsidRPr="00B46C02">
        <w:rPr>
          <w:szCs w:val="22"/>
          <w:vertAlign w:val="subscript"/>
        </w:rPr>
        <w:t>4</w:t>
      </w:r>
      <w:r w:rsidRPr="00B46C02">
        <w:rPr>
          <w:szCs w:val="22"/>
        </w:rPr>
        <w:t xml:space="preserve"> je přeměňován na trijodthyronin T</w:t>
      </w:r>
      <w:r w:rsidRPr="00B46C02">
        <w:rPr>
          <w:szCs w:val="22"/>
          <w:vertAlign w:val="subscript"/>
        </w:rPr>
        <w:t>3</w:t>
      </w:r>
      <w:r w:rsidRPr="00B46C02">
        <w:rPr>
          <w:szCs w:val="22"/>
        </w:rPr>
        <w:t>. T</w:t>
      </w:r>
      <w:r w:rsidRPr="00B46C02">
        <w:rPr>
          <w:szCs w:val="22"/>
          <w:vertAlign w:val="subscript"/>
        </w:rPr>
        <w:t>3</w:t>
      </w:r>
      <w:r w:rsidRPr="00B46C02">
        <w:rPr>
          <w:szCs w:val="22"/>
        </w:rPr>
        <w:t xml:space="preserve"> působí na buněčné procesy prostřednictvím specifických interakcí ligand-receptor s jádrem, mitochondriemi a plazmatickou membránou. Interakce T</w:t>
      </w:r>
      <w:r w:rsidRPr="00B46C02">
        <w:rPr>
          <w:szCs w:val="22"/>
          <w:vertAlign w:val="subscript"/>
        </w:rPr>
        <w:t>3</w:t>
      </w:r>
      <w:r w:rsidRPr="00B46C02">
        <w:rPr>
          <w:szCs w:val="22"/>
        </w:rPr>
        <w:t xml:space="preserve"> s vazebnými místy vede k zesílené transkripci DNA nebo modulaci RNA, čímž se ovlivňuje proteosyntéza a enzymatická aktivita.</w:t>
      </w:r>
    </w:p>
    <w:p w14:paraId="5B8A0FEA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</w:p>
    <w:p w14:paraId="5A916FC1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 xml:space="preserve">Hormony štítné žlázy se podílí na mnoha odlišných buněčných procesech. Jsou nezbytné pro normální růst a vývoj, zejména centrálního nervového systému. Dodatečný přísun thyroxinu zvyšuje bazální buněčný metabolismus a spotřebu kyslíku, čímž v zásadě  ovlivňuje funkci všech orgánových systémů. </w:t>
      </w:r>
    </w:p>
    <w:p w14:paraId="5821260B" w14:textId="77777777" w:rsidR="00605C51" w:rsidRPr="00B46C02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1E1A5CFE" w:rsidR="00C114FF" w:rsidRPr="00B46C02" w:rsidRDefault="005B47DC" w:rsidP="00B13B6D">
      <w:pPr>
        <w:pStyle w:val="Style1"/>
      </w:pPr>
      <w:r w:rsidRPr="00B46C02">
        <w:t>4.3</w:t>
      </w:r>
      <w:r w:rsidRPr="00B46C02">
        <w:tab/>
        <w:t>Farmakokinetika</w:t>
      </w:r>
    </w:p>
    <w:p w14:paraId="041767DA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0E4E99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U některých psů se ukazuje, že konzistentně buď lépe absorbují L-thyroxin a/nebo jej pomaleji odbourávají, než tomu je u jiných psů. Navíc je rychlost absorpce a odbourávání ovlivněna denním příjmem levothyroxinu sodného (vysoká absorpce/nízká eliminace v případě nízkého příjmu a naopak v případě vysokého příjmu). Proměnlivost farmakokinetických parametrů je mezi jednotlivými psy značná, a přestože přítomnost potravy může nepříznivě ovlivňovat absorpci, má se za to, že má malý účinek na celkové parametry. Absorpce je relativně pomalá a neúplná: Ve většině případů T</w:t>
      </w:r>
      <w:r w:rsidRPr="00B46C02">
        <w:rPr>
          <w:szCs w:val="22"/>
          <w:vertAlign w:val="subscript"/>
        </w:rPr>
        <w:t>max</w:t>
      </w:r>
      <w:r w:rsidRPr="00B46C02">
        <w:rPr>
          <w:szCs w:val="22"/>
        </w:rPr>
        <w:t xml:space="preserve"> nastává od 1 do 5 hodin po perorálním podání, průměrná C</w:t>
      </w:r>
      <w:r w:rsidRPr="00B46C02">
        <w:rPr>
          <w:szCs w:val="22"/>
          <w:vertAlign w:val="subscript"/>
        </w:rPr>
        <w:t>max</w:t>
      </w:r>
      <w:r w:rsidRPr="00B46C02">
        <w:rPr>
          <w:szCs w:val="22"/>
        </w:rPr>
        <w:t xml:space="preserve"> se mezi psy při stejných dávkách mění více než trojnásobně. U přiměřeně dávkovaných psů se vrchol píku v plasmě blíží nebo lehce překračuje horní hranici normálních koncentrací T</w:t>
      </w:r>
      <w:r w:rsidRPr="00B46C02">
        <w:rPr>
          <w:szCs w:val="22"/>
          <w:vertAlign w:val="subscript"/>
        </w:rPr>
        <w:t>4</w:t>
      </w:r>
      <w:r w:rsidRPr="00B46C02">
        <w:rPr>
          <w:szCs w:val="22"/>
        </w:rPr>
        <w:t xml:space="preserve"> v plazmě a do 12 hodin po perorálním podání obvykle klesá T</w:t>
      </w:r>
      <w:r w:rsidRPr="00B46C02">
        <w:rPr>
          <w:szCs w:val="22"/>
          <w:vertAlign w:val="subscript"/>
        </w:rPr>
        <w:t>4</w:t>
      </w:r>
      <w:r w:rsidRPr="00B46C02">
        <w:rPr>
          <w:szCs w:val="22"/>
        </w:rPr>
        <w:t xml:space="preserve"> v plazmě do spodní poloviny normálního rozpětí. Při hypotyreóze je vymizení T</w:t>
      </w:r>
      <w:r w:rsidRPr="00B46C02">
        <w:rPr>
          <w:szCs w:val="22"/>
          <w:vertAlign w:val="subscript"/>
        </w:rPr>
        <w:t>4</w:t>
      </w:r>
      <w:r w:rsidRPr="00B46C02">
        <w:rPr>
          <w:szCs w:val="22"/>
        </w:rPr>
        <w:t xml:space="preserve"> z plazmy zpomalené.</w:t>
      </w:r>
      <w:r w:rsidRPr="00B46C02">
        <w:rPr>
          <w:sz w:val="24"/>
          <w:szCs w:val="24"/>
        </w:rPr>
        <w:t xml:space="preserve"> </w:t>
      </w:r>
      <w:r w:rsidRPr="00B46C02">
        <w:t xml:space="preserve">Hlavním místem látkové přeměny tyroxinu (T4) jsou játra. </w:t>
      </w:r>
      <w:r w:rsidRPr="00B46C02">
        <w:rPr>
          <w:szCs w:val="22"/>
        </w:rPr>
        <w:t>L-tyroxin se váže na plazmatické bílkoviny a plazmatické lipoproteiny. Část dávky tyroxinu se metabolizuje dejodizací na biologicky aktivnější trijodthyronin (T</w:t>
      </w:r>
      <w:r w:rsidRPr="00B46C02">
        <w:rPr>
          <w:szCs w:val="22"/>
          <w:vertAlign w:val="subscript"/>
        </w:rPr>
        <w:t>3</w:t>
      </w:r>
      <w:r w:rsidRPr="00B46C02">
        <w:rPr>
          <w:szCs w:val="22"/>
        </w:rPr>
        <w:t>). Proces dejodizace pokračuje. Tyto další dejodizované metabolické produkty (jiné než T</w:t>
      </w:r>
      <w:r w:rsidRPr="00B46C02">
        <w:rPr>
          <w:szCs w:val="22"/>
          <w:vertAlign w:val="subscript"/>
        </w:rPr>
        <w:t>3</w:t>
      </w:r>
      <w:r w:rsidRPr="00B46C02">
        <w:rPr>
          <w:szCs w:val="22"/>
        </w:rPr>
        <w:t xml:space="preserve"> a T</w:t>
      </w:r>
      <w:r w:rsidRPr="00B46C02">
        <w:rPr>
          <w:szCs w:val="22"/>
          <w:vertAlign w:val="subscript"/>
        </w:rPr>
        <w:t>4</w:t>
      </w:r>
      <w:r w:rsidRPr="00B46C02">
        <w:rPr>
          <w:szCs w:val="22"/>
        </w:rPr>
        <w:t>) nemají tyreomimetický účinek. Jiné cesty metabolismu hormonu štítné žlázy zahrnují konjugaci za tvorby rozpustných glukuronidů a sulfátů pro biliární nebo urinární vylučování, jako i štěpení éterové vazby molekuly jodthyroninu. U psů je více než 50 % T</w:t>
      </w:r>
      <w:r w:rsidRPr="00B46C02">
        <w:rPr>
          <w:szCs w:val="22"/>
          <w:vertAlign w:val="subscript"/>
        </w:rPr>
        <w:t>4</w:t>
      </w:r>
      <w:r w:rsidRPr="00B46C02">
        <w:rPr>
          <w:szCs w:val="22"/>
        </w:rPr>
        <w:t>, produkovaného každý den, vyloučeno ve výkalech. Zásoby T</w:t>
      </w:r>
      <w:r w:rsidRPr="00B46C02">
        <w:rPr>
          <w:szCs w:val="22"/>
          <w:vertAlign w:val="subscript"/>
        </w:rPr>
        <w:t>4</w:t>
      </w:r>
      <w:r w:rsidRPr="00B46C02">
        <w:rPr>
          <w:szCs w:val="22"/>
        </w:rPr>
        <w:t xml:space="preserve"> mimo štítnou žlázu jsou odbourány a nahrazeny přibližně za 1 den. </w:t>
      </w:r>
    </w:p>
    <w:p w14:paraId="0A06DF6E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6C02" w:rsidRDefault="005B47DC" w:rsidP="00B13B6D">
      <w:pPr>
        <w:pStyle w:val="Style1"/>
      </w:pPr>
      <w:r w:rsidRPr="00B46C02">
        <w:t>5.</w:t>
      </w:r>
      <w:r w:rsidRPr="00B46C02">
        <w:tab/>
        <w:t>FARMACEUTICKÉ ÚDAJE</w:t>
      </w:r>
    </w:p>
    <w:p w14:paraId="7BC53755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6C02" w:rsidRDefault="005B47DC" w:rsidP="00B13B6D">
      <w:pPr>
        <w:pStyle w:val="Style1"/>
      </w:pPr>
      <w:r w:rsidRPr="00B46C02">
        <w:t>5.1</w:t>
      </w:r>
      <w:r w:rsidRPr="00B46C02">
        <w:tab/>
        <w:t>Hlavní inkompatibility</w:t>
      </w:r>
    </w:p>
    <w:p w14:paraId="15C29130" w14:textId="77777777" w:rsidR="00C114FF" w:rsidRPr="00B46C0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85B8CE9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Neuplatňuje se.</w:t>
      </w:r>
    </w:p>
    <w:p w14:paraId="288F0D5C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6C02" w:rsidRDefault="005B47DC" w:rsidP="00B13B6D">
      <w:pPr>
        <w:pStyle w:val="Style1"/>
      </w:pPr>
      <w:r w:rsidRPr="00B46C02">
        <w:lastRenderedPageBreak/>
        <w:t>5.2</w:t>
      </w:r>
      <w:r w:rsidRPr="00B46C02">
        <w:tab/>
        <w:t>Doba použitelnosti</w:t>
      </w:r>
    </w:p>
    <w:p w14:paraId="100B6613" w14:textId="77777777" w:rsidR="00C114FF" w:rsidRPr="00B46C0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83F0843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Doba použitelnosti veterinárního léčivého přípravku v neporušeném obalu: 2 roky.</w:t>
      </w:r>
    </w:p>
    <w:p w14:paraId="452CC37D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Doba použitelnosti zbylých částí tablety: 4 dny.</w:t>
      </w:r>
    </w:p>
    <w:p w14:paraId="4CD9C987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6C02" w:rsidRDefault="005B47DC" w:rsidP="00B13B6D">
      <w:pPr>
        <w:pStyle w:val="Style1"/>
      </w:pPr>
      <w:r w:rsidRPr="00B46C02">
        <w:t>5.3</w:t>
      </w:r>
      <w:r w:rsidRPr="00B46C02">
        <w:tab/>
        <w:t>Zvláštní opatření pro uchovávání</w:t>
      </w:r>
    </w:p>
    <w:p w14:paraId="7826F268" w14:textId="77777777" w:rsidR="00C114FF" w:rsidRPr="00B46C0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368442" w14:textId="77777777" w:rsidR="001B2602" w:rsidRPr="00B46C02" w:rsidRDefault="001B2602" w:rsidP="001B2602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 xml:space="preserve">Uchovávejte při teplotě do 25 </w:t>
      </w:r>
      <w:r w:rsidRPr="00B46C02">
        <w:rPr>
          <w:szCs w:val="22"/>
        </w:rPr>
        <w:sym w:font="Symbol" w:char="F0B0"/>
      </w:r>
      <w:r w:rsidRPr="00B46C02">
        <w:rPr>
          <w:szCs w:val="22"/>
        </w:rPr>
        <w:t>C.</w:t>
      </w:r>
    </w:p>
    <w:p w14:paraId="4A7CBBDB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Zbylé nepoužité části</w:t>
      </w:r>
      <w:r w:rsidRPr="00B46C02">
        <w:rPr>
          <w:szCs w:val="22"/>
          <w:lang w:eastAsia="en-GB"/>
        </w:rPr>
        <w:t xml:space="preserve"> tablety vraťte zpět do blistru a spotřebujte do 4 dnů.</w:t>
      </w:r>
    </w:p>
    <w:p w14:paraId="205A4A8C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6C02" w:rsidRDefault="005B47DC" w:rsidP="00B13B6D">
      <w:pPr>
        <w:pStyle w:val="Style1"/>
      </w:pPr>
      <w:r w:rsidRPr="00B46C02">
        <w:t>5.4</w:t>
      </w:r>
      <w:r w:rsidRPr="00B46C02">
        <w:tab/>
        <w:t>Druh a složení vnitřního obalu</w:t>
      </w:r>
    </w:p>
    <w:p w14:paraId="584B339F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D70907" w14:textId="364C3176" w:rsidR="001B2602" w:rsidRPr="00B46C02" w:rsidRDefault="006015E2" w:rsidP="001B2602">
      <w:pPr>
        <w:tabs>
          <w:tab w:val="clear" w:pos="567"/>
        </w:tabs>
        <w:spacing w:line="240" w:lineRule="auto"/>
        <w:rPr>
          <w:szCs w:val="22"/>
        </w:rPr>
      </w:pPr>
      <w:r w:rsidRPr="00B46C02">
        <w:rPr>
          <w:szCs w:val="22"/>
          <w:lang w:eastAsia="en-GB"/>
        </w:rPr>
        <w:t xml:space="preserve">Veterinární léčivý přípravek </w:t>
      </w:r>
      <w:r w:rsidR="001B2602" w:rsidRPr="00B46C02">
        <w:rPr>
          <w:szCs w:val="22"/>
          <w:lang w:eastAsia="en-GB"/>
        </w:rPr>
        <w:t>je balen do blistrů</w:t>
      </w:r>
      <w:r w:rsidR="001B2602" w:rsidRPr="00B46C02">
        <w:rPr>
          <w:szCs w:val="22"/>
        </w:rPr>
        <w:t xml:space="preserve"> (hliníková fólie (20 µm) – bílá fólie PVC/PE/PVDC (250/30/90)). </w:t>
      </w:r>
    </w:p>
    <w:p w14:paraId="521F38C8" w14:textId="77777777" w:rsidR="00402AF0" w:rsidRPr="00B46C02" w:rsidRDefault="00402AF0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</w:p>
    <w:p w14:paraId="75820FF5" w14:textId="4F1E2285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10 tablet v blistru, 5 nebo 25 blistrů v krabičce, 50 nebo 250 tablet v krabičce.</w:t>
      </w:r>
    </w:p>
    <w:p w14:paraId="19AB0F9C" w14:textId="77777777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szCs w:val="22"/>
        </w:rPr>
      </w:pPr>
      <w:r w:rsidRPr="00B46C02">
        <w:rPr>
          <w:szCs w:val="22"/>
        </w:rPr>
        <w:t>Na trhu nemusí být všechny velikosti balení.</w:t>
      </w:r>
    </w:p>
    <w:p w14:paraId="3DD88DA0" w14:textId="77777777" w:rsidR="00BA1C8A" w:rsidRPr="00B46C02" w:rsidRDefault="00BA1C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6C02" w:rsidRDefault="005B47DC" w:rsidP="001B7789">
      <w:pPr>
        <w:pStyle w:val="Style1"/>
        <w:keepNext/>
      </w:pPr>
      <w:r w:rsidRPr="00B46C02">
        <w:t>5.5</w:t>
      </w:r>
      <w:r w:rsidRPr="00B46C02">
        <w:tab/>
        <w:t xml:space="preserve">Zvláštní opatření pro </w:t>
      </w:r>
      <w:r w:rsidR="00CF069C" w:rsidRPr="00B46C02">
        <w:t xml:space="preserve">likvidaci </w:t>
      </w:r>
      <w:r w:rsidRPr="00B46C02">
        <w:t>nepoužit</w:t>
      </w:r>
      <w:r w:rsidR="002F64C6" w:rsidRPr="00B46C02">
        <w:t>ých</w:t>
      </w:r>
      <w:r w:rsidR="00905CAB" w:rsidRPr="00B46C02">
        <w:t xml:space="preserve"> </w:t>
      </w:r>
      <w:r w:rsidRPr="00B46C02">
        <w:t>veterinární</w:t>
      </w:r>
      <w:r w:rsidR="002F64C6" w:rsidRPr="00B46C02">
        <w:t>ch</w:t>
      </w:r>
      <w:r w:rsidRPr="00B46C02">
        <w:t xml:space="preserve"> léčiv</w:t>
      </w:r>
      <w:r w:rsidR="002F64C6" w:rsidRPr="00B46C02">
        <w:t>ých</w:t>
      </w:r>
      <w:r w:rsidRPr="00B46C02">
        <w:t xml:space="preserve"> přípravk</w:t>
      </w:r>
      <w:r w:rsidR="002F64C6" w:rsidRPr="00B46C02">
        <w:t>ů</w:t>
      </w:r>
      <w:r w:rsidRPr="00B46C02">
        <w:t xml:space="preserve"> nebo odpad</w:t>
      </w:r>
      <w:r w:rsidR="00F84AED" w:rsidRPr="00B46C02">
        <w:t>ů</w:t>
      </w:r>
      <w:r w:rsidR="00B36E65" w:rsidRPr="00B46C02">
        <w:t>, kter</w:t>
      </w:r>
      <w:r w:rsidR="00F84AED" w:rsidRPr="00B46C02">
        <w:t>é</w:t>
      </w:r>
      <w:r w:rsidRPr="00B46C02">
        <w:t xml:space="preserve"> pocház</w:t>
      </w:r>
      <w:r w:rsidR="00B36E65" w:rsidRPr="00B46C02">
        <w:t>í</w:t>
      </w:r>
      <w:r w:rsidRPr="00B46C02">
        <w:t xml:space="preserve"> z</w:t>
      </w:r>
      <w:r w:rsidR="002F64C6" w:rsidRPr="00B46C02">
        <w:t> </w:t>
      </w:r>
      <w:r w:rsidRPr="00B46C02">
        <w:t>t</w:t>
      </w:r>
      <w:r w:rsidR="002F64C6" w:rsidRPr="00B46C02">
        <w:t xml:space="preserve">ěchto </w:t>
      </w:r>
      <w:r w:rsidRPr="00B46C02">
        <w:t>přípravk</w:t>
      </w:r>
      <w:r w:rsidR="002F64C6" w:rsidRPr="00B46C02">
        <w:t>ů</w:t>
      </w:r>
    </w:p>
    <w:p w14:paraId="5B2C3EEC" w14:textId="6B1638F6" w:rsidR="001B2602" w:rsidRDefault="001B2602" w:rsidP="001B7789">
      <w:pPr>
        <w:keepNext/>
        <w:spacing w:line="240" w:lineRule="auto"/>
        <w:rPr>
          <w:szCs w:val="22"/>
        </w:rPr>
      </w:pPr>
    </w:p>
    <w:p w14:paraId="00AF85BC" w14:textId="77777777" w:rsidR="00130633" w:rsidRPr="00B46C02" w:rsidRDefault="00130633" w:rsidP="001B7789">
      <w:pPr>
        <w:spacing w:line="240" w:lineRule="auto"/>
        <w:rPr>
          <w:szCs w:val="22"/>
        </w:rPr>
      </w:pPr>
      <w:r w:rsidRPr="00B46C02">
        <w:t>Léčivé přípravky se nesmí likvidovat prostřednictvím odpadní vody či domovního odpadu.</w:t>
      </w:r>
    </w:p>
    <w:p w14:paraId="68AA224F" w14:textId="77777777" w:rsidR="00130633" w:rsidRPr="00B46C02" w:rsidRDefault="00130633" w:rsidP="001B7789">
      <w:pPr>
        <w:tabs>
          <w:tab w:val="clear" w:pos="567"/>
        </w:tabs>
        <w:spacing w:line="240" w:lineRule="auto"/>
        <w:rPr>
          <w:szCs w:val="22"/>
        </w:rPr>
      </w:pPr>
    </w:p>
    <w:p w14:paraId="61F32690" w14:textId="77777777" w:rsidR="00130633" w:rsidRPr="00B46C02" w:rsidRDefault="00130633" w:rsidP="001B7789">
      <w:pPr>
        <w:tabs>
          <w:tab w:val="clear" w:pos="567"/>
        </w:tabs>
        <w:spacing w:line="240" w:lineRule="auto"/>
        <w:rPr>
          <w:szCs w:val="22"/>
        </w:rPr>
      </w:pPr>
      <w:r w:rsidRPr="00B46C02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42D2D2CF" w14:textId="77777777" w:rsidR="0078538F" w:rsidRPr="00B46C02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6C02" w:rsidRDefault="005B47DC" w:rsidP="00B13B6D">
      <w:pPr>
        <w:pStyle w:val="Style1"/>
      </w:pPr>
      <w:r w:rsidRPr="00B46C02">
        <w:t>6.</w:t>
      </w:r>
      <w:r w:rsidRPr="00B46C02">
        <w:tab/>
        <w:t>JMÉNO DRŽITELE ROZHODNUTÍ O REGISTRACI</w:t>
      </w:r>
    </w:p>
    <w:p w14:paraId="2E652F1A" w14:textId="77777777" w:rsidR="00C114FF" w:rsidRPr="00B46C0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F8BBC0" w14:textId="12998D85" w:rsidR="001B2602" w:rsidRPr="00B46C02" w:rsidRDefault="001B2602" w:rsidP="001B2602">
      <w:pPr>
        <w:tabs>
          <w:tab w:val="left" w:pos="-1440"/>
          <w:tab w:val="left" w:pos="-720"/>
          <w:tab w:val="left" w:pos="0"/>
        </w:tabs>
        <w:rPr>
          <w:szCs w:val="22"/>
        </w:rPr>
      </w:pPr>
      <w:r w:rsidRPr="00B46C02">
        <w:rPr>
          <w:szCs w:val="22"/>
        </w:rPr>
        <w:t>Eurovet Animal Health B</w:t>
      </w:r>
      <w:r w:rsidR="00E6599D">
        <w:rPr>
          <w:szCs w:val="22"/>
        </w:rPr>
        <w:t>.</w:t>
      </w:r>
      <w:r w:rsidRPr="00B46C02">
        <w:rPr>
          <w:szCs w:val="22"/>
        </w:rPr>
        <w:t>V</w:t>
      </w:r>
      <w:r w:rsidR="00E6599D">
        <w:rPr>
          <w:szCs w:val="22"/>
        </w:rPr>
        <w:t>.</w:t>
      </w:r>
    </w:p>
    <w:p w14:paraId="020F9CA7" w14:textId="77777777" w:rsidR="006015E2" w:rsidRPr="00B46C02" w:rsidRDefault="006015E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6C02" w:rsidRDefault="005B47DC" w:rsidP="00B13B6D">
      <w:pPr>
        <w:pStyle w:val="Style1"/>
      </w:pPr>
      <w:r w:rsidRPr="00B46C02">
        <w:t>7.</w:t>
      </w:r>
      <w:r w:rsidRPr="00B46C02">
        <w:tab/>
        <w:t>REGISTRAČNÍ ČÍSLO(A)</w:t>
      </w:r>
    </w:p>
    <w:p w14:paraId="1FA2C56F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F37CB2" w14:textId="074DA170" w:rsidR="001B2602" w:rsidRPr="00B46C02" w:rsidRDefault="001B2602" w:rsidP="001B2602">
      <w:pPr>
        <w:widowControl w:val="0"/>
        <w:tabs>
          <w:tab w:val="clear" w:pos="567"/>
        </w:tabs>
        <w:suppressAutoHyphens/>
        <w:spacing w:line="240" w:lineRule="auto"/>
        <w:rPr>
          <w:bCs/>
          <w:szCs w:val="22"/>
        </w:rPr>
      </w:pPr>
      <w:r w:rsidRPr="00B46C02">
        <w:rPr>
          <w:bCs/>
          <w:caps/>
          <w:szCs w:val="22"/>
        </w:rPr>
        <w:t>96/</w:t>
      </w:r>
      <w:r w:rsidR="00A00B3E" w:rsidRPr="00B46C02">
        <w:rPr>
          <w:bCs/>
          <w:caps/>
          <w:szCs w:val="22"/>
        </w:rPr>
        <w:t>0</w:t>
      </w:r>
      <w:r w:rsidR="00A00B3E">
        <w:rPr>
          <w:bCs/>
          <w:caps/>
          <w:szCs w:val="22"/>
        </w:rPr>
        <w:t>10</w:t>
      </w:r>
      <w:r w:rsidRPr="00B46C02">
        <w:rPr>
          <w:bCs/>
          <w:caps/>
          <w:szCs w:val="22"/>
        </w:rPr>
        <w:t>/12-C</w:t>
      </w:r>
    </w:p>
    <w:p w14:paraId="4A4E8E42" w14:textId="77777777" w:rsidR="00605C51" w:rsidRPr="00B46C02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6C02" w:rsidRDefault="005B47DC" w:rsidP="00B13B6D">
      <w:pPr>
        <w:pStyle w:val="Style1"/>
      </w:pPr>
      <w:r w:rsidRPr="00B46C02">
        <w:t>8.</w:t>
      </w:r>
      <w:r w:rsidRPr="00B46C02">
        <w:tab/>
        <w:t>DATUM PRVNÍ REGISTRACE</w:t>
      </w:r>
    </w:p>
    <w:p w14:paraId="3863C575" w14:textId="77777777" w:rsidR="00C114FF" w:rsidRPr="00B46C0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076D86" w14:textId="331F904F" w:rsidR="001B2602" w:rsidRPr="00B46C02" w:rsidRDefault="001B2602" w:rsidP="001B2602">
      <w:pPr>
        <w:rPr>
          <w:b/>
          <w:bCs/>
          <w:szCs w:val="22"/>
        </w:rPr>
      </w:pPr>
      <w:r w:rsidRPr="00B46C02">
        <w:t>Datum první registrace:</w:t>
      </w:r>
      <w:r w:rsidRPr="00B46C02">
        <w:rPr>
          <w:szCs w:val="22"/>
        </w:rPr>
        <w:t xml:space="preserve"> 23. 1. 2012 </w:t>
      </w:r>
    </w:p>
    <w:p w14:paraId="38A60ACA" w14:textId="5CE0B228" w:rsidR="001B2602" w:rsidRPr="00B46C02" w:rsidRDefault="001B2602" w:rsidP="001B2602">
      <w:pPr>
        <w:tabs>
          <w:tab w:val="clear" w:pos="567"/>
        </w:tabs>
        <w:spacing w:line="240" w:lineRule="auto"/>
      </w:pPr>
    </w:p>
    <w:p w14:paraId="70B0A25D" w14:textId="77777777" w:rsidR="00D65777" w:rsidRPr="00B46C02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6C02" w:rsidRDefault="005B47DC" w:rsidP="00B13B6D">
      <w:pPr>
        <w:pStyle w:val="Style1"/>
      </w:pPr>
      <w:r w:rsidRPr="00B46C02">
        <w:t>9.</w:t>
      </w:r>
      <w:r w:rsidRPr="00B46C02">
        <w:tab/>
        <w:t>DATUM POSLEDNÍ AKTUALIZACE SOUHRNU ÚDAJŮ O PŘÍPRAVKU</w:t>
      </w:r>
    </w:p>
    <w:p w14:paraId="0CD1ADF5" w14:textId="75C59C89" w:rsidR="00E6599D" w:rsidRDefault="00E6599D" w:rsidP="001B2602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sz w:val="24"/>
          <w:szCs w:val="24"/>
        </w:rPr>
      </w:pPr>
      <w:bookmarkStart w:id="3" w:name="_GoBack"/>
      <w:bookmarkEnd w:id="3"/>
    </w:p>
    <w:p w14:paraId="05E07534" w14:textId="39132669" w:rsidR="001B2602" w:rsidRPr="00B46C02" w:rsidRDefault="00E6599D" w:rsidP="001B2602">
      <w:pPr>
        <w:widowControl w:val="0"/>
        <w:tabs>
          <w:tab w:val="clear" w:pos="567"/>
          <w:tab w:val="left" w:pos="-1440"/>
          <w:tab w:val="left" w:pos="-720"/>
        </w:tabs>
        <w:suppressAutoHyphens/>
        <w:spacing w:line="240" w:lineRule="auto"/>
        <w:rPr>
          <w:szCs w:val="22"/>
        </w:rPr>
      </w:pPr>
      <w:r>
        <w:rPr>
          <w:sz w:val="24"/>
          <w:szCs w:val="24"/>
        </w:rPr>
        <w:t>1</w:t>
      </w:r>
      <w:r w:rsidR="000000E4">
        <w:rPr>
          <w:sz w:val="24"/>
          <w:szCs w:val="24"/>
        </w:rPr>
        <w:t>0/</w:t>
      </w:r>
      <w:r>
        <w:rPr>
          <w:sz w:val="24"/>
          <w:szCs w:val="24"/>
        </w:rPr>
        <w:t>2025</w:t>
      </w:r>
    </w:p>
    <w:p w14:paraId="2F011756" w14:textId="77777777" w:rsidR="00605C51" w:rsidRPr="00B46C02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6C02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6C02" w:rsidRDefault="005B47DC" w:rsidP="00B13B6D">
      <w:pPr>
        <w:pStyle w:val="Style1"/>
      </w:pPr>
      <w:r w:rsidRPr="00B46C02">
        <w:t>10.</w:t>
      </w:r>
      <w:r w:rsidRPr="00B46C02">
        <w:tab/>
        <w:t>KLASIFIKACE VETERINÁRNÍCH LÉČIVÝCH PŘÍPRAVKŮ</w:t>
      </w:r>
    </w:p>
    <w:p w14:paraId="1F12B426" w14:textId="77777777" w:rsidR="0078538F" w:rsidRPr="00B46C02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35D932" w14:textId="77777777" w:rsidR="0098063A" w:rsidRPr="00B46C02" w:rsidRDefault="0098063A" w:rsidP="0098063A">
      <w:pPr>
        <w:tabs>
          <w:tab w:val="clear" w:pos="567"/>
        </w:tabs>
        <w:spacing w:line="240" w:lineRule="auto"/>
      </w:pPr>
      <w:r w:rsidRPr="00B46C02">
        <w:t>Veterinární léčivý přípravek je vydáván pouze na předpis.</w:t>
      </w:r>
    </w:p>
    <w:p w14:paraId="1C43B159" w14:textId="77777777" w:rsidR="00BA1C8A" w:rsidRDefault="00BA1C8A" w:rsidP="00A9226B">
      <w:pPr>
        <w:tabs>
          <w:tab w:val="clear" w:pos="567"/>
        </w:tabs>
        <w:spacing w:line="240" w:lineRule="auto"/>
      </w:pPr>
    </w:p>
    <w:p w14:paraId="43A150E6" w14:textId="1EF4E083" w:rsidR="002E3D79" w:rsidRDefault="002E3D79" w:rsidP="00A9226B">
      <w:pPr>
        <w:tabs>
          <w:tab w:val="clear" w:pos="567"/>
        </w:tabs>
        <w:spacing w:line="240" w:lineRule="auto"/>
      </w:pPr>
      <w:r w:rsidRPr="002E3D79">
        <w:t>Podrobné informace o tomto veterinárním léčivém přípravku naleznete také v národní databázi (</w:t>
      </w:r>
      <w:hyperlink r:id="rId10" w:history="1">
        <w:r w:rsidR="00A00B3E" w:rsidRPr="00C37CA9">
          <w:rPr>
            <w:rStyle w:val="Hypertextovodkaz"/>
          </w:rPr>
          <w:t>https://www.uskvbl.cz</w:t>
        </w:r>
      </w:hyperlink>
      <w:r w:rsidRPr="002E3D79">
        <w:t>).</w:t>
      </w:r>
    </w:p>
    <w:p w14:paraId="07CA3754" w14:textId="77777777" w:rsidR="00A00B3E" w:rsidRPr="00B46C02" w:rsidRDefault="00A00B3E" w:rsidP="00A9226B">
      <w:pPr>
        <w:tabs>
          <w:tab w:val="clear" w:pos="567"/>
        </w:tabs>
        <w:spacing w:line="240" w:lineRule="auto"/>
      </w:pPr>
    </w:p>
    <w:p w14:paraId="7B909FCD" w14:textId="77777777" w:rsidR="00BA1C8A" w:rsidRPr="00B46C02" w:rsidRDefault="00BA1C8A" w:rsidP="00BA1C8A">
      <w:pPr>
        <w:ind w:right="-1"/>
        <w:rPr>
          <w:szCs w:val="22"/>
        </w:rPr>
      </w:pPr>
      <w:bookmarkStart w:id="4" w:name="_Hlk73467306"/>
      <w:r w:rsidRPr="00B46C02">
        <w:t xml:space="preserve">Podrobné informace o tomto veterinárním léčivém přípravku jsou k dispozici v databázi přípravků Unie </w:t>
      </w:r>
      <w:r w:rsidRPr="00B46C02">
        <w:rPr>
          <w:szCs w:val="22"/>
        </w:rPr>
        <w:t>(</w:t>
      </w:r>
      <w:hyperlink r:id="rId11" w:history="1">
        <w:r w:rsidRPr="00B46C02">
          <w:rPr>
            <w:rStyle w:val="Hypertextovodkaz"/>
            <w:szCs w:val="22"/>
          </w:rPr>
          <w:t>https://medicines.health.europa.eu/veterinary</w:t>
        </w:r>
      </w:hyperlink>
      <w:r w:rsidRPr="00B46C02">
        <w:rPr>
          <w:szCs w:val="22"/>
        </w:rPr>
        <w:t>)</w:t>
      </w:r>
      <w:r w:rsidRPr="00B46C02">
        <w:rPr>
          <w:i/>
          <w:szCs w:val="22"/>
        </w:rPr>
        <w:t>.</w:t>
      </w:r>
    </w:p>
    <w:bookmarkEnd w:id="4"/>
    <w:p w14:paraId="0BB00A87" w14:textId="77777777" w:rsidR="00BA1C8A" w:rsidRPr="00B46C02" w:rsidRDefault="00BA1C8A" w:rsidP="00A9226B">
      <w:pPr>
        <w:tabs>
          <w:tab w:val="clear" w:pos="567"/>
        </w:tabs>
        <w:spacing w:line="240" w:lineRule="auto"/>
      </w:pPr>
    </w:p>
    <w:sectPr w:rsidR="00BA1C8A" w:rsidRPr="00B46C02" w:rsidSect="003837F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5B53E" w14:textId="77777777" w:rsidR="00584A7D" w:rsidRDefault="00584A7D">
      <w:pPr>
        <w:spacing w:line="240" w:lineRule="auto"/>
      </w:pPr>
      <w:r>
        <w:separator/>
      </w:r>
    </w:p>
  </w:endnote>
  <w:endnote w:type="continuationSeparator" w:id="0">
    <w:p w14:paraId="11F71297" w14:textId="77777777" w:rsidR="00584A7D" w:rsidRDefault="00584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2F487" w14:textId="77777777" w:rsidR="00E4425B" w:rsidRDefault="00E442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5B47D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5B47D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F3C91" w14:textId="77777777" w:rsidR="00584A7D" w:rsidRDefault="00584A7D">
      <w:pPr>
        <w:spacing w:line="240" w:lineRule="auto"/>
      </w:pPr>
      <w:r>
        <w:separator/>
      </w:r>
    </w:p>
  </w:footnote>
  <w:footnote w:type="continuationSeparator" w:id="0">
    <w:p w14:paraId="7917E49E" w14:textId="77777777" w:rsidR="00584A7D" w:rsidRDefault="00584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B331E" w14:textId="77777777" w:rsidR="00E4425B" w:rsidRDefault="00E4425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D508B" w14:textId="3EB45F2E" w:rsidR="00C2063C" w:rsidRDefault="00C2063C" w:rsidP="00C2063C">
    <w:r>
      <w:t xml:space="preserve">        </w:t>
    </w:r>
  </w:p>
  <w:p w14:paraId="251FA928" w14:textId="77777777" w:rsidR="00C2063C" w:rsidRDefault="00C2063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04D9C" w14:textId="77777777" w:rsidR="00E4425B" w:rsidRDefault="00E442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810C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1C0E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E422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C4F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8A68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BEA2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122A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08C6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AAE0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6BE01E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3005D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E0C9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6C6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0DA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04FD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DE95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80EE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F4C8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F83E068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7EC48D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DFC415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DAA0DD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708126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170F72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E7CCBA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35EBBE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9E84AB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64A6BC8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7503A8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C5E6DB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62E9BF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8208DE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CB82A8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B16348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7C254A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BF2E03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73A29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462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049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724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0ED5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22F9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2CEF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045D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5247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2705A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CAAA9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6C69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87D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1ECD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F6FF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28F1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5E69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36AE7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E29E49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B4CF51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3E656D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36CE7B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1680BA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358ED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C54273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ABCA3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63C56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5570FA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561286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74A7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E52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6A3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8ABA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5245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659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6A7A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A4EA293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04A035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86C77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CA29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E6A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AC2F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46A0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AE98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2A5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60807A3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EFE5E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D48C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AADA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504F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343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62B0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38A5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4AAA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A3E21F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5072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90A7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72E2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1207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1683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8E1B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5277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A6BB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3C7EF6A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3525C3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A469AD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ED8F3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FF694A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1BC2E4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5E2A3D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7003DC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182669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D51C2F3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FAE49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BE07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626B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7CA9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441A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5EB4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6F9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82A6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58D2081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0B2C990" w:tentative="1">
      <w:start w:val="1"/>
      <w:numFmt w:val="lowerLetter"/>
      <w:lvlText w:val="%2."/>
      <w:lvlJc w:val="left"/>
      <w:pPr>
        <w:ind w:left="1440" w:hanging="360"/>
      </w:pPr>
    </w:lvl>
    <w:lvl w:ilvl="2" w:tplc="3B967E0C" w:tentative="1">
      <w:start w:val="1"/>
      <w:numFmt w:val="lowerRoman"/>
      <w:lvlText w:val="%3."/>
      <w:lvlJc w:val="right"/>
      <w:pPr>
        <w:ind w:left="2160" w:hanging="180"/>
      </w:pPr>
    </w:lvl>
    <w:lvl w:ilvl="3" w:tplc="0A32A11E" w:tentative="1">
      <w:start w:val="1"/>
      <w:numFmt w:val="decimal"/>
      <w:lvlText w:val="%4."/>
      <w:lvlJc w:val="left"/>
      <w:pPr>
        <w:ind w:left="2880" w:hanging="360"/>
      </w:pPr>
    </w:lvl>
    <w:lvl w:ilvl="4" w:tplc="643482D0" w:tentative="1">
      <w:start w:val="1"/>
      <w:numFmt w:val="lowerLetter"/>
      <w:lvlText w:val="%5."/>
      <w:lvlJc w:val="left"/>
      <w:pPr>
        <w:ind w:left="3600" w:hanging="360"/>
      </w:pPr>
    </w:lvl>
    <w:lvl w:ilvl="5" w:tplc="022A85BC" w:tentative="1">
      <w:start w:val="1"/>
      <w:numFmt w:val="lowerRoman"/>
      <w:lvlText w:val="%6."/>
      <w:lvlJc w:val="right"/>
      <w:pPr>
        <w:ind w:left="4320" w:hanging="180"/>
      </w:pPr>
    </w:lvl>
    <w:lvl w:ilvl="6" w:tplc="E3D045DA" w:tentative="1">
      <w:start w:val="1"/>
      <w:numFmt w:val="decimal"/>
      <w:lvlText w:val="%7."/>
      <w:lvlJc w:val="left"/>
      <w:pPr>
        <w:ind w:left="5040" w:hanging="360"/>
      </w:pPr>
    </w:lvl>
    <w:lvl w:ilvl="7" w:tplc="28A49530" w:tentative="1">
      <w:start w:val="1"/>
      <w:numFmt w:val="lowerLetter"/>
      <w:lvlText w:val="%8."/>
      <w:lvlJc w:val="left"/>
      <w:pPr>
        <w:ind w:left="5760" w:hanging="360"/>
      </w:pPr>
    </w:lvl>
    <w:lvl w:ilvl="8" w:tplc="010A48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44E8D9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3A055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E084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EEEC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6C66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024B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00CD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C04B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C4FD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DE8A1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0CC9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8CDF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70D9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C035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78A8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C65C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D81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1210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AABEE35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5868A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90EC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3226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64D2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EECD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44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E0B4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4A8D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A32AF010">
      <w:start w:val="1"/>
      <w:numFmt w:val="decimal"/>
      <w:lvlText w:val="%1."/>
      <w:lvlJc w:val="left"/>
      <w:pPr>
        <w:ind w:left="720" w:hanging="360"/>
      </w:pPr>
    </w:lvl>
    <w:lvl w:ilvl="1" w:tplc="198C776E" w:tentative="1">
      <w:start w:val="1"/>
      <w:numFmt w:val="lowerLetter"/>
      <w:lvlText w:val="%2."/>
      <w:lvlJc w:val="left"/>
      <w:pPr>
        <w:ind w:left="1440" w:hanging="360"/>
      </w:pPr>
    </w:lvl>
    <w:lvl w:ilvl="2" w:tplc="1618EE60" w:tentative="1">
      <w:start w:val="1"/>
      <w:numFmt w:val="lowerRoman"/>
      <w:lvlText w:val="%3."/>
      <w:lvlJc w:val="right"/>
      <w:pPr>
        <w:ind w:left="2160" w:hanging="180"/>
      </w:pPr>
    </w:lvl>
    <w:lvl w:ilvl="3" w:tplc="73224BE8" w:tentative="1">
      <w:start w:val="1"/>
      <w:numFmt w:val="decimal"/>
      <w:lvlText w:val="%4."/>
      <w:lvlJc w:val="left"/>
      <w:pPr>
        <w:ind w:left="2880" w:hanging="360"/>
      </w:pPr>
    </w:lvl>
    <w:lvl w:ilvl="4" w:tplc="998ADA12" w:tentative="1">
      <w:start w:val="1"/>
      <w:numFmt w:val="lowerLetter"/>
      <w:lvlText w:val="%5."/>
      <w:lvlJc w:val="left"/>
      <w:pPr>
        <w:ind w:left="3600" w:hanging="360"/>
      </w:pPr>
    </w:lvl>
    <w:lvl w:ilvl="5" w:tplc="8E68B22C" w:tentative="1">
      <w:start w:val="1"/>
      <w:numFmt w:val="lowerRoman"/>
      <w:lvlText w:val="%6."/>
      <w:lvlJc w:val="right"/>
      <w:pPr>
        <w:ind w:left="4320" w:hanging="180"/>
      </w:pPr>
    </w:lvl>
    <w:lvl w:ilvl="6" w:tplc="E22EB51A" w:tentative="1">
      <w:start w:val="1"/>
      <w:numFmt w:val="decimal"/>
      <w:lvlText w:val="%7."/>
      <w:lvlJc w:val="left"/>
      <w:pPr>
        <w:ind w:left="5040" w:hanging="360"/>
      </w:pPr>
    </w:lvl>
    <w:lvl w:ilvl="7" w:tplc="1CA4370E" w:tentative="1">
      <w:start w:val="1"/>
      <w:numFmt w:val="lowerLetter"/>
      <w:lvlText w:val="%8."/>
      <w:lvlJc w:val="left"/>
      <w:pPr>
        <w:ind w:left="5760" w:hanging="360"/>
      </w:pPr>
    </w:lvl>
    <w:lvl w:ilvl="8" w:tplc="899830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5012243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2CED6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4438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664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967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689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A09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76A0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D23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cs-CZ" w:vendorID="64" w:dllVersion="0" w:nlCheck="1" w:checkStyle="0"/>
  <w:activeWritingStyle w:appName="MSWord" w:lang="cs-CZ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00E4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25F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0633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449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02"/>
    <w:rsid w:val="001B26EB"/>
    <w:rsid w:val="001B6F4A"/>
    <w:rsid w:val="001B7789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3FBF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0059"/>
    <w:rsid w:val="00265656"/>
    <w:rsid w:val="00265E77"/>
    <w:rsid w:val="00266155"/>
    <w:rsid w:val="0027270B"/>
    <w:rsid w:val="00272952"/>
    <w:rsid w:val="00272B36"/>
    <w:rsid w:val="00272CC9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2E6F"/>
    <w:rsid w:val="002E3A90"/>
    <w:rsid w:val="002E3D79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5EFE"/>
    <w:rsid w:val="00307EB2"/>
    <w:rsid w:val="0031032B"/>
    <w:rsid w:val="0031122C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5718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5C4"/>
    <w:rsid w:val="0038277C"/>
    <w:rsid w:val="003837F1"/>
    <w:rsid w:val="003841FC"/>
    <w:rsid w:val="00385CE3"/>
    <w:rsid w:val="0038638B"/>
    <w:rsid w:val="00386D67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3F7BD2"/>
    <w:rsid w:val="004008F6"/>
    <w:rsid w:val="00402AF0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560B"/>
    <w:rsid w:val="00456ED0"/>
    <w:rsid w:val="00457550"/>
    <w:rsid w:val="00457B74"/>
    <w:rsid w:val="00460C74"/>
    <w:rsid w:val="00461B2A"/>
    <w:rsid w:val="004620A4"/>
    <w:rsid w:val="004702D9"/>
    <w:rsid w:val="00474C50"/>
    <w:rsid w:val="00474D53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0D19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2938"/>
    <w:rsid w:val="00584A7D"/>
    <w:rsid w:val="0058621D"/>
    <w:rsid w:val="00586904"/>
    <w:rsid w:val="005A4CBE"/>
    <w:rsid w:val="005B04A8"/>
    <w:rsid w:val="005B1FD0"/>
    <w:rsid w:val="005B1FE1"/>
    <w:rsid w:val="005B28AD"/>
    <w:rsid w:val="005B328D"/>
    <w:rsid w:val="005B3503"/>
    <w:rsid w:val="005B3EE7"/>
    <w:rsid w:val="005B47DC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15E2"/>
    <w:rsid w:val="00602D3B"/>
    <w:rsid w:val="0060326F"/>
    <w:rsid w:val="00605C51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44C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96A2C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2D48"/>
    <w:rsid w:val="006D3509"/>
    <w:rsid w:val="006D7C6E"/>
    <w:rsid w:val="006E15A2"/>
    <w:rsid w:val="006E1B4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4ACA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7F5C7B"/>
    <w:rsid w:val="00800A53"/>
    <w:rsid w:val="00800FE0"/>
    <w:rsid w:val="0080514E"/>
    <w:rsid w:val="00806434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5A6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3438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0199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063A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B3E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0C04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033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46C02"/>
    <w:rsid w:val="00B555F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1C8A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416E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63C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1CA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34FF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05292"/>
    <w:rsid w:val="00D1089A"/>
    <w:rsid w:val="00D116BD"/>
    <w:rsid w:val="00D12674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0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A2A1E"/>
    <w:rsid w:val="00DB0A7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3CDF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4425B"/>
    <w:rsid w:val="00E56CBB"/>
    <w:rsid w:val="00E579A6"/>
    <w:rsid w:val="00E61950"/>
    <w:rsid w:val="00E61E51"/>
    <w:rsid w:val="00E6552A"/>
    <w:rsid w:val="00E65731"/>
    <w:rsid w:val="00E6599D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A6B79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7E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49E4"/>
    <w:rsid w:val="00FA515B"/>
    <w:rsid w:val="00FA6B90"/>
    <w:rsid w:val="00FA70F9"/>
    <w:rsid w:val="00FA74CB"/>
    <w:rsid w:val="00FB207A"/>
    <w:rsid w:val="00FB2886"/>
    <w:rsid w:val="00FB466E"/>
    <w:rsid w:val="00FB475B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D7DD6"/>
    <w:rsid w:val="00FE55DA"/>
    <w:rsid w:val="00FF18D2"/>
    <w:rsid w:val="00FF22F5"/>
    <w:rsid w:val="00FF457F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64BE9603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bsah1">
    <w:name w:val="toc 1"/>
    <w:basedOn w:val="Normln"/>
    <w:next w:val="Normln"/>
    <w:autoRedefine/>
    <w:semiHidden/>
    <w:unhideWhenUsed/>
    <w:rsid w:val="00930199"/>
    <w:pPr>
      <w:tabs>
        <w:tab w:val="clear" w:pos="567"/>
      </w:tabs>
      <w:spacing w:after="100"/>
    </w:pPr>
  </w:style>
  <w:style w:type="character" w:styleId="Nevyeenzmnka">
    <w:name w:val="Unresolved Mention"/>
    <w:basedOn w:val="Standardnpsmoodstavce"/>
    <w:rsid w:val="002E3D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4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uskvbl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46104-C992-4E65-9B14-B64814D94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1936</Words>
  <Characters>11424</Characters>
  <Application>Microsoft Office Word</Application>
  <DocSecurity>0</DocSecurity>
  <Lines>95</Lines>
  <Paragraphs>26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veterinary-product-information-qrd-templates_cs</vt:lpstr>
    </vt:vector>
  </TitlesOfParts>
  <Company>CDT</Company>
  <LinksUpToDate>false</LinksUpToDate>
  <CharactersWithSpaces>13334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medical-ls</dc:creator>
  <cp:lastModifiedBy>Neugebauerová Kateřina</cp:lastModifiedBy>
  <cp:revision>35</cp:revision>
  <cp:lastPrinted>2025-10-23T13:38:00Z</cp:lastPrinted>
  <dcterms:created xsi:type="dcterms:W3CDTF">2025-04-27T13:51:00Z</dcterms:created>
  <dcterms:modified xsi:type="dcterms:W3CDTF">2025-10-23T13:39:00Z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