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9C1" w:rsidRDefault="00E039C1" w:rsidP="00E039C1">
      <w:pPr>
        <w:jc w:val="both"/>
        <w:rPr>
          <w:b/>
        </w:rPr>
      </w:pPr>
      <w:r>
        <w:t xml:space="preserve">            </w:t>
      </w: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both"/>
        <w:rPr>
          <w:b/>
        </w:rPr>
      </w:pPr>
    </w:p>
    <w:p w:rsidR="00E039C1" w:rsidRDefault="00E039C1" w:rsidP="00E039C1">
      <w:pPr>
        <w:jc w:val="center"/>
        <w:rPr>
          <w:b/>
        </w:rPr>
      </w:pPr>
      <w:r>
        <w:rPr>
          <w:b/>
        </w:rPr>
        <w:t>SOUHRN ÚDAJŮ O PŘÍPRAVKU</w:t>
      </w:r>
    </w:p>
    <w:p w:rsidR="00E039C1" w:rsidRDefault="00E039C1" w:rsidP="00E039C1">
      <w:pPr>
        <w:jc w:val="both"/>
      </w:pPr>
    </w:p>
    <w:p w:rsidR="00E039C1" w:rsidRPr="00AC187C" w:rsidRDefault="00E039C1" w:rsidP="00E039C1">
      <w:pPr>
        <w:jc w:val="both"/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</w:r>
      <w:r w:rsidRPr="00AC187C">
        <w:rPr>
          <w:b/>
        </w:rPr>
        <w:t>NÁZEV VETERINÁRNÍHO LÉČIVÉHO PŘÍPRAVKU</w:t>
      </w:r>
    </w:p>
    <w:p w:rsidR="00E039C1" w:rsidRPr="00AC187C" w:rsidRDefault="00E039C1" w:rsidP="00E039C1">
      <w:pPr>
        <w:jc w:val="both"/>
      </w:pPr>
    </w:p>
    <w:p w:rsidR="00E039C1" w:rsidRPr="00AC187C" w:rsidRDefault="00E039C1" w:rsidP="00E039C1">
      <w:pPr>
        <w:jc w:val="both"/>
      </w:pPr>
      <w:proofErr w:type="spellStart"/>
      <w:r w:rsidRPr="00AC187C">
        <w:t>Diacef</w:t>
      </w:r>
      <w:proofErr w:type="spellEnd"/>
      <w:r w:rsidRPr="00AC187C">
        <w:t xml:space="preserve"> 50 mg/ml injekční suspenze pro prasata a skot</w:t>
      </w:r>
    </w:p>
    <w:p w:rsidR="00E039C1" w:rsidRPr="00AC187C" w:rsidRDefault="00E039C1" w:rsidP="00E039C1">
      <w:pPr>
        <w:jc w:val="both"/>
      </w:pPr>
      <w:r w:rsidRPr="00AC187C">
        <w:t>Přípravek s indikačním omezením</w:t>
      </w:r>
    </w:p>
    <w:p w:rsidR="00E039C1" w:rsidRPr="00AC187C" w:rsidRDefault="00E039C1" w:rsidP="00E039C1">
      <w:pPr>
        <w:jc w:val="both"/>
      </w:pPr>
    </w:p>
    <w:p w:rsidR="00FD434E" w:rsidRPr="00AC187C" w:rsidRDefault="00FD434E" w:rsidP="00E039C1">
      <w:pPr>
        <w:jc w:val="both"/>
      </w:pPr>
    </w:p>
    <w:p w:rsidR="00E039C1" w:rsidRPr="00AC187C" w:rsidRDefault="00E039C1" w:rsidP="00E039C1">
      <w:pPr>
        <w:jc w:val="both"/>
      </w:pPr>
      <w:r w:rsidRPr="00AC187C">
        <w:rPr>
          <w:b/>
        </w:rPr>
        <w:t>2.</w:t>
      </w:r>
      <w:r w:rsidRPr="00AC187C">
        <w:rPr>
          <w:b/>
        </w:rPr>
        <w:tab/>
        <w:t>KVALITATIVNÍ A KVANTITATIVNÍ SLOŽENÍ</w:t>
      </w:r>
    </w:p>
    <w:p w:rsidR="00E039C1" w:rsidRPr="00AC187C" w:rsidRDefault="00E039C1" w:rsidP="00E039C1">
      <w:pPr>
        <w:jc w:val="both"/>
      </w:pPr>
    </w:p>
    <w:p w:rsidR="00E039C1" w:rsidRPr="00AC187C" w:rsidRDefault="000F6A10" w:rsidP="00E039C1">
      <w:pPr>
        <w:jc w:val="both"/>
      </w:pPr>
      <w:r w:rsidRPr="00AC187C">
        <w:t xml:space="preserve">Každý </w:t>
      </w:r>
      <w:r w:rsidR="00E039C1" w:rsidRPr="00AC187C">
        <w:t>ml obsahuje:</w:t>
      </w:r>
    </w:p>
    <w:p w:rsidR="00E039C1" w:rsidRPr="00AC187C" w:rsidRDefault="00E039C1" w:rsidP="00E039C1">
      <w:pPr>
        <w:jc w:val="both"/>
      </w:pPr>
    </w:p>
    <w:p w:rsidR="00E039C1" w:rsidRPr="00AC187C" w:rsidRDefault="00E039C1" w:rsidP="00E039C1">
      <w:pPr>
        <w:jc w:val="both"/>
        <w:rPr>
          <w:b/>
        </w:rPr>
      </w:pPr>
      <w:r w:rsidRPr="00AC187C">
        <w:rPr>
          <w:b/>
        </w:rPr>
        <w:t>Léčiv</w:t>
      </w:r>
      <w:r w:rsidR="000F6A10" w:rsidRPr="00AC187C">
        <w:rPr>
          <w:b/>
        </w:rPr>
        <w:t>é</w:t>
      </w:r>
      <w:r w:rsidRPr="00AC187C">
        <w:rPr>
          <w:b/>
        </w:rPr>
        <w:t xml:space="preserve"> látk</w:t>
      </w:r>
      <w:r w:rsidR="000F6A10" w:rsidRPr="00AC187C">
        <w:rPr>
          <w:b/>
        </w:rPr>
        <w:t>y</w:t>
      </w:r>
      <w:r w:rsidRPr="00AC187C">
        <w:rPr>
          <w:b/>
        </w:rPr>
        <w:t>:</w:t>
      </w:r>
    </w:p>
    <w:p w:rsidR="00E039C1" w:rsidRPr="00AC187C" w:rsidRDefault="00E039C1" w:rsidP="00E039C1">
      <w:pPr>
        <w:tabs>
          <w:tab w:val="right" w:leader="dot" w:pos="5040"/>
          <w:tab w:val="left" w:pos="5220"/>
        </w:tabs>
        <w:autoSpaceDE w:val="0"/>
        <w:spacing w:line="360" w:lineRule="auto"/>
        <w:jc w:val="both"/>
      </w:pPr>
      <w:proofErr w:type="spellStart"/>
      <w:r w:rsidRPr="00AC187C">
        <w:t>Ceftiofurum</w:t>
      </w:r>
      <w:proofErr w:type="spellEnd"/>
      <w:r w:rsidRPr="00AC187C">
        <w:tab/>
        <w:t>50</w:t>
      </w:r>
      <w:r w:rsidR="00805970" w:rsidRPr="00AC187C">
        <w:t xml:space="preserve"> </w:t>
      </w:r>
      <w:r w:rsidR="00F171A5" w:rsidRPr="00AC187C">
        <w:fldChar w:fldCharType="begin"/>
      </w:r>
      <w:r w:rsidRPr="00AC187C">
        <w:instrText xml:space="preserve">  </w:instrText>
      </w:r>
      <w:r w:rsidR="00F171A5" w:rsidRPr="00AC187C">
        <w:fldChar w:fldCharType="end"/>
      </w:r>
      <w:r w:rsidRPr="00AC187C">
        <w:t>mg</w:t>
      </w:r>
    </w:p>
    <w:p w:rsidR="00E039C1" w:rsidRPr="00AC187C" w:rsidRDefault="00E039C1" w:rsidP="00E039C1">
      <w:pPr>
        <w:tabs>
          <w:tab w:val="right" w:leader="dot" w:pos="5040"/>
          <w:tab w:val="left" w:pos="5220"/>
        </w:tabs>
        <w:autoSpaceDE w:val="0"/>
        <w:spacing w:line="360" w:lineRule="auto"/>
        <w:jc w:val="both"/>
      </w:pPr>
      <w:r w:rsidRPr="00AC187C">
        <w:t xml:space="preserve">(odpovídá 53,48 </w:t>
      </w:r>
      <w:r w:rsidR="000F6A10" w:rsidRPr="00AC187C">
        <w:t xml:space="preserve">mg </w:t>
      </w:r>
      <w:proofErr w:type="spellStart"/>
      <w:r w:rsidRPr="00AC187C">
        <w:t>ceftiofuri</w:t>
      </w:r>
      <w:proofErr w:type="spellEnd"/>
      <w:r w:rsidRPr="00AC187C">
        <w:t xml:space="preserve"> </w:t>
      </w:r>
      <w:proofErr w:type="spellStart"/>
      <w:r w:rsidRPr="00AC187C">
        <w:t>hydrochloridum</w:t>
      </w:r>
      <w:proofErr w:type="spellEnd"/>
      <w:r w:rsidRPr="00AC187C">
        <w:t>)</w:t>
      </w:r>
    </w:p>
    <w:p w:rsidR="00E039C1" w:rsidRPr="00AC187C" w:rsidRDefault="00E039C1" w:rsidP="00E039C1">
      <w:pPr>
        <w:jc w:val="both"/>
        <w:rPr>
          <w:b/>
        </w:rPr>
      </w:pPr>
    </w:p>
    <w:p w:rsidR="00E039C1" w:rsidRPr="00AC187C" w:rsidRDefault="00E039C1" w:rsidP="00E039C1">
      <w:pPr>
        <w:jc w:val="both"/>
        <w:rPr>
          <w:b/>
        </w:rPr>
      </w:pPr>
      <w:r w:rsidRPr="00AC187C">
        <w:rPr>
          <w:b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</w:tblGrid>
      <w:tr w:rsidR="004B2E5F" w:rsidRPr="00AC187C" w:rsidTr="00157B5B">
        <w:tc>
          <w:tcPr>
            <w:tcW w:w="6799" w:type="dxa"/>
            <w:shd w:val="clear" w:color="auto" w:fill="auto"/>
          </w:tcPr>
          <w:p w:rsidR="004B2E5F" w:rsidRPr="00F8117A" w:rsidRDefault="00F171A5" w:rsidP="00F8117A">
            <w:pPr>
              <w:pStyle w:val="Default"/>
              <w:jc w:val="both"/>
              <w:rPr>
                <w:szCs w:val="22"/>
              </w:rPr>
            </w:pPr>
            <w:r w:rsidRPr="00F8117A">
              <w:rPr>
                <w:b/>
                <w:bCs/>
                <w:sz w:val="22"/>
                <w:szCs w:val="22"/>
                <w:lang w:val="cs-CZ"/>
              </w:rPr>
              <w:t>Kvalitativní složení pomocných látek a dalších slož</w:t>
            </w:r>
            <w:r w:rsidR="008C0DAF" w:rsidRPr="00AC187C">
              <w:rPr>
                <w:b/>
                <w:bCs/>
                <w:sz w:val="22"/>
                <w:szCs w:val="22"/>
                <w:lang w:val="cs-CZ"/>
              </w:rPr>
              <w:t>ek</w:t>
            </w:r>
          </w:p>
        </w:tc>
      </w:tr>
      <w:tr w:rsidR="004B2E5F" w:rsidRPr="00AC187C" w:rsidTr="00157B5B">
        <w:tc>
          <w:tcPr>
            <w:tcW w:w="6799" w:type="dxa"/>
            <w:shd w:val="clear" w:color="auto" w:fill="auto"/>
          </w:tcPr>
          <w:p w:rsidR="004B2E5F" w:rsidRPr="00F8117A" w:rsidRDefault="00F739D3" w:rsidP="00F739D3">
            <w:pPr>
              <w:jc w:val="both"/>
            </w:pPr>
            <w:r w:rsidRPr="00AC187C">
              <w:t>Aluminium-</w:t>
            </w:r>
            <w:proofErr w:type="spellStart"/>
            <w:r w:rsidRPr="00AC187C">
              <w:t>stearát</w:t>
            </w:r>
            <w:proofErr w:type="spellEnd"/>
          </w:p>
        </w:tc>
      </w:tr>
      <w:tr w:rsidR="00F739D3" w:rsidRPr="00AC187C" w:rsidTr="00157B5B">
        <w:tc>
          <w:tcPr>
            <w:tcW w:w="6799" w:type="dxa"/>
            <w:shd w:val="clear" w:color="auto" w:fill="auto"/>
          </w:tcPr>
          <w:p w:rsidR="00F739D3" w:rsidRPr="00F8117A" w:rsidRDefault="00F739D3" w:rsidP="00F739D3">
            <w:pPr>
              <w:jc w:val="both"/>
              <w:rPr>
                <w:rFonts w:ascii="Arial" w:hAnsi="Arial" w:cs="Arial"/>
                <w:szCs w:val="22"/>
                <w:highlight w:val="yellow"/>
              </w:rPr>
            </w:pPr>
            <w:r w:rsidRPr="00AC187C">
              <w:t>Hydrogenovaný ricinový olej</w:t>
            </w:r>
          </w:p>
        </w:tc>
      </w:tr>
      <w:tr w:rsidR="00F739D3" w:rsidRPr="00AC187C" w:rsidTr="00157B5B">
        <w:tc>
          <w:tcPr>
            <w:tcW w:w="6799" w:type="dxa"/>
            <w:shd w:val="clear" w:color="auto" w:fill="auto"/>
          </w:tcPr>
          <w:p w:rsidR="00F739D3" w:rsidRPr="00F8117A" w:rsidRDefault="000F6A10" w:rsidP="00F739D3">
            <w:pPr>
              <w:jc w:val="both"/>
            </w:pPr>
            <w:proofErr w:type="spellStart"/>
            <w:r w:rsidRPr="00AC187C">
              <w:t>Triacylglyceroly</w:t>
            </w:r>
            <w:proofErr w:type="spellEnd"/>
            <w:r w:rsidRPr="00AC187C">
              <w:t xml:space="preserve"> se středním řetězcem</w:t>
            </w:r>
          </w:p>
        </w:tc>
      </w:tr>
    </w:tbl>
    <w:p w:rsidR="004B2E5F" w:rsidRPr="00F8117A" w:rsidRDefault="004B2E5F" w:rsidP="004B2E5F">
      <w:pPr>
        <w:jc w:val="both"/>
        <w:rPr>
          <w:rFonts w:ascii="Arial" w:hAnsi="Arial" w:cs="Arial"/>
          <w:szCs w:val="22"/>
          <w:highlight w:val="yellow"/>
        </w:rPr>
      </w:pPr>
    </w:p>
    <w:p w:rsidR="00E60453" w:rsidRPr="00AC187C" w:rsidRDefault="00E60453" w:rsidP="00E60453">
      <w:pPr>
        <w:jc w:val="both"/>
        <w:outlineLvl w:val="0"/>
      </w:pPr>
      <w:r w:rsidRPr="00AC187C">
        <w:t>Homogenní smetanově bílá suspenze bez hrudek.</w:t>
      </w:r>
    </w:p>
    <w:p w:rsidR="00E039C1" w:rsidRPr="00AC187C" w:rsidRDefault="00E039C1" w:rsidP="00F8117A">
      <w:pPr>
        <w:ind w:left="0" w:firstLine="0"/>
        <w:jc w:val="both"/>
      </w:pPr>
    </w:p>
    <w:p w:rsidR="00E039C1" w:rsidRPr="00AC187C" w:rsidRDefault="00E039C1" w:rsidP="00E039C1">
      <w:pPr>
        <w:jc w:val="both"/>
      </w:pPr>
    </w:p>
    <w:p w:rsidR="00E039C1" w:rsidRPr="00AC187C" w:rsidRDefault="004B2E5F" w:rsidP="00E039C1">
      <w:pPr>
        <w:jc w:val="both"/>
        <w:rPr>
          <w:b/>
        </w:rPr>
      </w:pPr>
      <w:r w:rsidRPr="00AC187C">
        <w:rPr>
          <w:b/>
        </w:rPr>
        <w:t>3</w:t>
      </w:r>
      <w:r w:rsidR="00E039C1" w:rsidRPr="00AC187C">
        <w:rPr>
          <w:b/>
        </w:rPr>
        <w:t>.</w:t>
      </w:r>
      <w:r w:rsidR="00E039C1" w:rsidRPr="00AC187C">
        <w:rPr>
          <w:b/>
        </w:rPr>
        <w:tab/>
        <w:t xml:space="preserve">KLINICKÉ </w:t>
      </w:r>
      <w:r w:rsidRPr="00AC187C">
        <w:rPr>
          <w:b/>
          <w:bCs/>
          <w:szCs w:val="22"/>
        </w:rPr>
        <w:t>INFORMACE</w:t>
      </w:r>
    </w:p>
    <w:p w:rsidR="00E039C1" w:rsidRPr="00AC187C" w:rsidRDefault="00E039C1" w:rsidP="00E039C1">
      <w:pPr>
        <w:jc w:val="both"/>
      </w:pPr>
    </w:p>
    <w:p w:rsidR="00E039C1" w:rsidRPr="00AC187C" w:rsidRDefault="004B2E5F" w:rsidP="00E039C1">
      <w:pPr>
        <w:jc w:val="both"/>
        <w:rPr>
          <w:b/>
        </w:rPr>
      </w:pPr>
      <w:r w:rsidRPr="00AC187C">
        <w:rPr>
          <w:b/>
        </w:rPr>
        <w:t>3</w:t>
      </w:r>
      <w:r w:rsidR="00E039C1" w:rsidRPr="00AC187C">
        <w:rPr>
          <w:b/>
        </w:rPr>
        <w:t>.1</w:t>
      </w:r>
      <w:r w:rsidR="00E039C1" w:rsidRPr="00AC187C">
        <w:rPr>
          <w:b/>
        </w:rPr>
        <w:tab/>
        <w:t>Cílové druhy zvířat</w:t>
      </w:r>
    </w:p>
    <w:p w:rsidR="00FD434E" w:rsidRPr="00AC187C" w:rsidRDefault="00FD434E" w:rsidP="00E039C1">
      <w:pPr>
        <w:tabs>
          <w:tab w:val="left" w:pos="1050"/>
        </w:tabs>
        <w:jc w:val="both"/>
      </w:pPr>
    </w:p>
    <w:p w:rsidR="00E039C1" w:rsidRPr="00AC187C" w:rsidRDefault="00E039C1" w:rsidP="00E039C1">
      <w:pPr>
        <w:tabs>
          <w:tab w:val="left" w:pos="1050"/>
        </w:tabs>
        <w:jc w:val="both"/>
      </w:pPr>
      <w:r w:rsidRPr="00AC187C">
        <w:t>Prasata a skot.</w:t>
      </w:r>
    </w:p>
    <w:p w:rsidR="00E039C1" w:rsidRPr="00AC187C" w:rsidRDefault="00E039C1" w:rsidP="00E039C1">
      <w:pPr>
        <w:tabs>
          <w:tab w:val="left" w:pos="1050"/>
        </w:tabs>
        <w:jc w:val="both"/>
      </w:pPr>
    </w:p>
    <w:p w:rsidR="00E039C1" w:rsidRPr="00AC187C" w:rsidRDefault="004B2E5F" w:rsidP="00E039C1">
      <w:pPr>
        <w:jc w:val="both"/>
        <w:rPr>
          <w:b/>
        </w:rPr>
      </w:pPr>
      <w:r w:rsidRPr="00AC187C">
        <w:rPr>
          <w:b/>
        </w:rPr>
        <w:t>3</w:t>
      </w:r>
      <w:r w:rsidR="00E039C1" w:rsidRPr="00AC187C">
        <w:rPr>
          <w:b/>
        </w:rPr>
        <w:t>.2</w:t>
      </w:r>
      <w:r w:rsidR="00E039C1" w:rsidRPr="00AC187C">
        <w:rPr>
          <w:b/>
        </w:rPr>
        <w:tab/>
        <w:t>Indikace s upřesněním pro cílový druh zvířat</w:t>
      </w:r>
    </w:p>
    <w:p w:rsidR="00FD434E" w:rsidRPr="00AC187C" w:rsidRDefault="00FD434E" w:rsidP="00E039C1">
      <w:pPr>
        <w:jc w:val="both"/>
      </w:pPr>
    </w:p>
    <w:p w:rsidR="00E039C1" w:rsidRPr="00AC187C" w:rsidRDefault="00E039C1" w:rsidP="00E039C1">
      <w:pPr>
        <w:jc w:val="both"/>
      </w:pPr>
      <w:r w:rsidRPr="00AC187C">
        <w:t xml:space="preserve">Infekce vyvolané bakteriemi citlivými k </w:t>
      </w:r>
      <w:proofErr w:type="spellStart"/>
      <w:r w:rsidRPr="00AC187C">
        <w:t>ceftiofuru</w:t>
      </w:r>
      <w:proofErr w:type="spellEnd"/>
      <w:r w:rsidRPr="00AC187C">
        <w:t>:</w:t>
      </w:r>
    </w:p>
    <w:p w:rsidR="00E039C1" w:rsidRPr="00AC187C" w:rsidRDefault="00E039C1" w:rsidP="00E039C1">
      <w:pPr>
        <w:jc w:val="both"/>
      </w:pPr>
    </w:p>
    <w:p w:rsidR="00E039C1" w:rsidRPr="00AC187C" w:rsidRDefault="00E039C1" w:rsidP="00E039C1">
      <w:pPr>
        <w:jc w:val="both"/>
      </w:pPr>
      <w:r w:rsidRPr="00AC187C">
        <w:t>Prasata:</w:t>
      </w:r>
    </w:p>
    <w:p w:rsidR="00E039C1" w:rsidRPr="00AC187C" w:rsidRDefault="00E039C1" w:rsidP="00E039C1">
      <w:pPr>
        <w:ind w:left="0" w:firstLine="0"/>
        <w:jc w:val="both"/>
      </w:pPr>
      <w:r w:rsidRPr="00AC187C">
        <w:t xml:space="preserve">Léčba bakteriálních respiračních onemocnění vyvolaných </w:t>
      </w:r>
      <w:proofErr w:type="spellStart"/>
      <w:r w:rsidRPr="00AC187C">
        <w:rPr>
          <w:i/>
        </w:rPr>
        <w:t>Pasteurella</w:t>
      </w:r>
      <w:proofErr w:type="spellEnd"/>
      <w:r w:rsidRPr="00AC187C">
        <w:rPr>
          <w:i/>
        </w:rPr>
        <w:t xml:space="preserve"> </w:t>
      </w:r>
      <w:proofErr w:type="spellStart"/>
      <w:r w:rsidRPr="00AC187C">
        <w:rPr>
          <w:i/>
        </w:rPr>
        <w:t>multocida</w:t>
      </w:r>
      <w:proofErr w:type="spellEnd"/>
      <w:r w:rsidRPr="00AC187C">
        <w:rPr>
          <w:i/>
        </w:rPr>
        <w:t xml:space="preserve">, </w:t>
      </w:r>
      <w:proofErr w:type="spellStart"/>
      <w:r w:rsidRPr="00AC187C">
        <w:rPr>
          <w:i/>
        </w:rPr>
        <w:t>Actinobacillus</w:t>
      </w:r>
      <w:proofErr w:type="spellEnd"/>
      <w:r w:rsidRPr="00AC187C">
        <w:rPr>
          <w:i/>
        </w:rPr>
        <w:t xml:space="preserve"> </w:t>
      </w:r>
      <w:proofErr w:type="spellStart"/>
      <w:r w:rsidRPr="00AC187C">
        <w:rPr>
          <w:i/>
        </w:rPr>
        <w:t>pleuropneumoniae</w:t>
      </w:r>
      <w:proofErr w:type="spellEnd"/>
      <w:r w:rsidRPr="00AC187C">
        <w:rPr>
          <w:i/>
        </w:rPr>
        <w:t xml:space="preserve"> </w:t>
      </w:r>
      <w:r w:rsidRPr="00AC187C">
        <w:t>a</w:t>
      </w:r>
      <w:r w:rsidRPr="00AC187C">
        <w:rPr>
          <w:i/>
        </w:rPr>
        <w:t xml:space="preserve"> </w:t>
      </w:r>
      <w:proofErr w:type="spellStart"/>
      <w:r w:rsidRPr="00AC187C">
        <w:rPr>
          <w:i/>
        </w:rPr>
        <w:t>Streptococcus</w:t>
      </w:r>
      <w:proofErr w:type="spellEnd"/>
      <w:r w:rsidRPr="00AC187C">
        <w:rPr>
          <w:i/>
        </w:rPr>
        <w:t xml:space="preserve"> </w:t>
      </w:r>
      <w:proofErr w:type="spellStart"/>
      <w:r w:rsidRPr="00AC187C">
        <w:rPr>
          <w:i/>
        </w:rPr>
        <w:t>suis</w:t>
      </w:r>
      <w:proofErr w:type="spellEnd"/>
      <w:r w:rsidRPr="00AC187C">
        <w:t>.</w:t>
      </w:r>
    </w:p>
    <w:p w:rsidR="00E039C1" w:rsidRPr="00AC187C" w:rsidRDefault="00E039C1" w:rsidP="00E039C1">
      <w:pPr>
        <w:jc w:val="both"/>
      </w:pPr>
    </w:p>
    <w:p w:rsidR="00E039C1" w:rsidRPr="00AC187C" w:rsidRDefault="00E039C1" w:rsidP="00E039C1">
      <w:pPr>
        <w:jc w:val="both"/>
      </w:pPr>
      <w:r w:rsidRPr="00AC187C">
        <w:t>Skot:</w:t>
      </w:r>
    </w:p>
    <w:p w:rsidR="00E039C1" w:rsidRPr="00AC187C" w:rsidRDefault="00E039C1" w:rsidP="00E039C1">
      <w:pPr>
        <w:ind w:left="0" w:firstLine="0"/>
        <w:jc w:val="both"/>
        <w:rPr>
          <w:szCs w:val="22"/>
        </w:rPr>
      </w:pPr>
      <w:r w:rsidRPr="00AC187C">
        <w:rPr>
          <w:szCs w:val="22"/>
        </w:rPr>
        <w:t xml:space="preserve">Léčba bakteriálních respiračních onemocnění vyvolaných </w:t>
      </w:r>
      <w:proofErr w:type="spellStart"/>
      <w:r w:rsidRPr="00AC187C">
        <w:rPr>
          <w:i/>
          <w:szCs w:val="22"/>
        </w:rPr>
        <w:t>Mannheimia</w:t>
      </w:r>
      <w:proofErr w:type="spellEnd"/>
      <w:r w:rsidRPr="00AC187C">
        <w:rPr>
          <w:i/>
          <w:szCs w:val="22"/>
        </w:rPr>
        <w:t xml:space="preserve"> </w:t>
      </w:r>
      <w:proofErr w:type="spellStart"/>
      <w:r w:rsidRPr="00AC187C">
        <w:rPr>
          <w:i/>
          <w:szCs w:val="22"/>
        </w:rPr>
        <w:t>haemolytica</w:t>
      </w:r>
      <w:proofErr w:type="spellEnd"/>
      <w:r w:rsidRPr="00AC187C">
        <w:rPr>
          <w:szCs w:val="22"/>
        </w:rPr>
        <w:t xml:space="preserve"> (dříve </w:t>
      </w:r>
      <w:proofErr w:type="spellStart"/>
      <w:r w:rsidRPr="00AC187C">
        <w:rPr>
          <w:i/>
          <w:szCs w:val="22"/>
        </w:rPr>
        <w:t>Pasteurella</w:t>
      </w:r>
      <w:proofErr w:type="spellEnd"/>
      <w:r w:rsidRPr="00AC187C">
        <w:rPr>
          <w:i/>
          <w:szCs w:val="22"/>
        </w:rPr>
        <w:t xml:space="preserve"> </w:t>
      </w:r>
      <w:proofErr w:type="spellStart"/>
      <w:r w:rsidRPr="00AC187C">
        <w:rPr>
          <w:i/>
          <w:szCs w:val="22"/>
        </w:rPr>
        <w:t>haemolytica</w:t>
      </w:r>
      <w:proofErr w:type="spellEnd"/>
      <w:r w:rsidRPr="00AC187C">
        <w:rPr>
          <w:i/>
          <w:szCs w:val="22"/>
        </w:rPr>
        <w:t xml:space="preserve">), </w:t>
      </w:r>
      <w:proofErr w:type="spellStart"/>
      <w:r w:rsidRPr="00AC187C">
        <w:rPr>
          <w:i/>
          <w:szCs w:val="22"/>
        </w:rPr>
        <w:t>Pasteurella</w:t>
      </w:r>
      <w:proofErr w:type="spellEnd"/>
      <w:r w:rsidRPr="00AC187C">
        <w:rPr>
          <w:i/>
          <w:szCs w:val="22"/>
        </w:rPr>
        <w:t xml:space="preserve"> </w:t>
      </w:r>
      <w:proofErr w:type="spellStart"/>
      <w:r w:rsidRPr="00AC187C">
        <w:rPr>
          <w:i/>
          <w:szCs w:val="22"/>
        </w:rPr>
        <w:t>multocida</w:t>
      </w:r>
      <w:proofErr w:type="spellEnd"/>
      <w:r w:rsidRPr="00AC187C">
        <w:rPr>
          <w:szCs w:val="22"/>
        </w:rPr>
        <w:t xml:space="preserve"> a </w:t>
      </w:r>
      <w:proofErr w:type="spellStart"/>
      <w:r w:rsidRPr="00AC187C">
        <w:rPr>
          <w:i/>
          <w:szCs w:val="22"/>
        </w:rPr>
        <w:t>Histophilus</w:t>
      </w:r>
      <w:proofErr w:type="spellEnd"/>
      <w:r w:rsidRPr="00AC187C">
        <w:rPr>
          <w:i/>
          <w:szCs w:val="22"/>
        </w:rPr>
        <w:t xml:space="preserve"> </w:t>
      </w:r>
      <w:proofErr w:type="spellStart"/>
      <w:r w:rsidRPr="00AC187C">
        <w:rPr>
          <w:i/>
          <w:szCs w:val="22"/>
        </w:rPr>
        <w:t>somni</w:t>
      </w:r>
      <w:proofErr w:type="spellEnd"/>
      <w:r w:rsidRPr="00AC187C">
        <w:rPr>
          <w:szCs w:val="22"/>
        </w:rPr>
        <w:t xml:space="preserve"> (dříve </w:t>
      </w:r>
      <w:proofErr w:type="spellStart"/>
      <w:r w:rsidRPr="00AC187C">
        <w:rPr>
          <w:i/>
          <w:szCs w:val="22"/>
        </w:rPr>
        <w:t>Haemophilus</w:t>
      </w:r>
      <w:proofErr w:type="spellEnd"/>
      <w:r w:rsidRPr="00AC187C">
        <w:rPr>
          <w:i/>
          <w:szCs w:val="22"/>
        </w:rPr>
        <w:t xml:space="preserve"> </w:t>
      </w:r>
      <w:proofErr w:type="spellStart"/>
      <w:r w:rsidRPr="00AC187C">
        <w:rPr>
          <w:i/>
          <w:szCs w:val="22"/>
        </w:rPr>
        <w:t>somnus</w:t>
      </w:r>
      <w:proofErr w:type="spellEnd"/>
      <w:r w:rsidRPr="00AC187C">
        <w:rPr>
          <w:szCs w:val="22"/>
        </w:rPr>
        <w:t>).</w:t>
      </w:r>
    </w:p>
    <w:p w:rsidR="00E039C1" w:rsidRPr="00AC187C" w:rsidRDefault="00E039C1" w:rsidP="00E039C1">
      <w:pPr>
        <w:ind w:left="0" w:firstLine="0"/>
        <w:jc w:val="both"/>
      </w:pPr>
      <w:r w:rsidRPr="00AC187C">
        <w:t xml:space="preserve">Léčba akutní </w:t>
      </w:r>
      <w:proofErr w:type="spellStart"/>
      <w:r w:rsidRPr="00AC187C">
        <w:t>intedigitální</w:t>
      </w:r>
      <w:proofErr w:type="spellEnd"/>
      <w:r w:rsidRPr="00AC187C">
        <w:t xml:space="preserve"> </w:t>
      </w:r>
      <w:proofErr w:type="spellStart"/>
      <w:r w:rsidRPr="00AC187C">
        <w:t>nekrobacilózy</w:t>
      </w:r>
      <w:proofErr w:type="spellEnd"/>
      <w:r w:rsidRPr="00AC187C">
        <w:t xml:space="preserve"> skotu (panaritium, hniloba paznehtů) vyvolané </w:t>
      </w:r>
      <w:proofErr w:type="spellStart"/>
      <w:r w:rsidRPr="00AC187C">
        <w:rPr>
          <w:i/>
        </w:rPr>
        <w:t>Fusobacterium</w:t>
      </w:r>
      <w:proofErr w:type="spellEnd"/>
      <w:r w:rsidRPr="00AC187C">
        <w:rPr>
          <w:i/>
        </w:rPr>
        <w:t xml:space="preserve"> </w:t>
      </w:r>
      <w:proofErr w:type="spellStart"/>
      <w:r w:rsidRPr="00AC187C">
        <w:rPr>
          <w:i/>
        </w:rPr>
        <w:t>necrophorum</w:t>
      </w:r>
      <w:proofErr w:type="spellEnd"/>
      <w:r w:rsidRPr="00AC187C">
        <w:rPr>
          <w:i/>
        </w:rPr>
        <w:t xml:space="preserve"> </w:t>
      </w:r>
      <w:r w:rsidRPr="00AC187C">
        <w:t xml:space="preserve">a </w:t>
      </w:r>
      <w:proofErr w:type="spellStart"/>
      <w:r w:rsidRPr="00AC187C">
        <w:rPr>
          <w:i/>
        </w:rPr>
        <w:t>Porphyromonas</w:t>
      </w:r>
      <w:proofErr w:type="spellEnd"/>
      <w:r w:rsidRPr="00AC187C">
        <w:rPr>
          <w:i/>
        </w:rPr>
        <w:t xml:space="preserve"> </w:t>
      </w:r>
      <w:proofErr w:type="spellStart"/>
      <w:r w:rsidRPr="00AC187C">
        <w:rPr>
          <w:i/>
        </w:rPr>
        <w:t>asaccharolytica</w:t>
      </w:r>
      <w:proofErr w:type="spellEnd"/>
      <w:r w:rsidRPr="00AC187C">
        <w:t xml:space="preserve"> (dříve </w:t>
      </w:r>
      <w:proofErr w:type="spellStart"/>
      <w:r w:rsidRPr="00AC187C">
        <w:rPr>
          <w:i/>
        </w:rPr>
        <w:t>Bacteroides</w:t>
      </w:r>
      <w:proofErr w:type="spellEnd"/>
      <w:r w:rsidRPr="00AC187C">
        <w:rPr>
          <w:i/>
        </w:rPr>
        <w:t xml:space="preserve"> </w:t>
      </w:r>
      <w:proofErr w:type="spellStart"/>
      <w:r w:rsidRPr="00AC187C">
        <w:rPr>
          <w:i/>
        </w:rPr>
        <w:t>melaninogenicus</w:t>
      </w:r>
      <w:proofErr w:type="spellEnd"/>
      <w:r w:rsidRPr="00AC187C">
        <w:t>).</w:t>
      </w:r>
    </w:p>
    <w:p w:rsidR="00E039C1" w:rsidRPr="00AC187C" w:rsidRDefault="00E039C1" w:rsidP="00E039C1">
      <w:pPr>
        <w:ind w:left="0" w:firstLine="0"/>
        <w:jc w:val="both"/>
        <w:rPr>
          <w:bCs/>
          <w:szCs w:val="22"/>
        </w:rPr>
      </w:pPr>
      <w:r w:rsidRPr="00AC187C">
        <w:t xml:space="preserve">Léčba akutní poporodní (puerperální) metritidy bakteriálního původu do 10 dnů po otelení vyvolané </w:t>
      </w:r>
      <w:proofErr w:type="spellStart"/>
      <w:r w:rsidRPr="00AC187C">
        <w:rPr>
          <w:i/>
        </w:rPr>
        <w:t>Escherichia</w:t>
      </w:r>
      <w:proofErr w:type="spellEnd"/>
      <w:r w:rsidRPr="00AC187C">
        <w:rPr>
          <w:bCs/>
          <w:i/>
          <w:szCs w:val="22"/>
        </w:rPr>
        <w:t xml:space="preserve"> coli</w:t>
      </w:r>
      <w:r w:rsidRPr="00AC187C">
        <w:rPr>
          <w:bCs/>
          <w:szCs w:val="22"/>
        </w:rPr>
        <w:t xml:space="preserve">, </w:t>
      </w:r>
      <w:proofErr w:type="spellStart"/>
      <w:r w:rsidRPr="00AC187C">
        <w:rPr>
          <w:bCs/>
          <w:i/>
          <w:szCs w:val="22"/>
        </w:rPr>
        <w:t>Trueperella</w:t>
      </w:r>
      <w:proofErr w:type="spellEnd"/>
      <w:r w:rsidRPr="00AC187C">
        <w:rPr>
          <w:bCs/>
          <w:i/>
          <w:szCs w:val="22"/>
        </w:rPr>
        <w:t xml:space="preserve"> </w:t>
      </w:r>
      <w:proofErr w:type="spellStart"/>
      <w:r w:rsidRPr="00AC187C">
        <w:rPr>
          <w:bCs/>
          <w:i/>
          <w:szCs w:val="22"/>
        </w:rPr>
        <w:t>pyogenes</w:t>
      </w:r>
      <w:proofErr w:type="spellEnd"/>
      <w:r w:rsidRPr="00AC187C">
        <w:rPr>
          <w:bCs/>
          <w:i/>
          <w:szCs w:val="22"/>
        </w:rPr>
        <w:t xml:space="preserve"> </w:t>
      </w:r>
      <w:r w:rsidRPr="00AC187C">
        <w:rPr>
          <w:bCs/>
          <w:szCs w:val="22"/>
        </w:rPr>
        <w:t>(</w:t>
      </w:r>
      <w:r w:rsidRPr="00AC187C">
        <w:rPr>
          <w:szCs w:val="22"/>
        </w:rPr>
        <w:t xml:space="preserve">dříve </w:t>
      </w:r>
      <w:proofErr w:type="spellStart"/>
      <w:r w:rsidRPr="00AC187C">
        <w:rPr>
          <w:bCs/>
          <w:i/>
          <w:szCs w:val="22"/>
        </w:rPr>
        <w:t>Arcanobacterium</w:t>
      </w:r>
      <w:proofErr w:type="spellEnd"/>
      <w:r w:rsidRPr="00AC187C">
        <w:rPr>
          <w:bCs/>
          <w:i/>
          <w:szCs w:val="22"/>
        </w:rPr>
        <w:t xml:space="preserve"> </w:t>
      </w:r>
      <w:proofErr w:type="spellStart"/>
      <w:r w:rsidRPr="00AC187C">
        <w:rPr>
          <w:bCs/>
          <w:i/>
          <w:szCs w:val="22"/>
        </w:rPr>
        <w:t>pyogenes</w:t>
      </w:r>
      <w:proofErr w:type="spellEnd"/>
      <w:r w:rsidRPr="00AC187C">
        <w:rPr>
          <w:bCs/>
          <w:szCs w:val="22"/>
        </w:rPr>
        <w:t xml:space="preserve">) a </w:t>
      </w:r>
      <w:proofErr w:type="spellStart"/>
      <w:r w:rsidRPr="00AC187C">
        <w:rPr>
          <w:bCs/>
          <w:i/>
          <w:szCs w:val="22"/>
        </w:rPr>
        <w:t>Fusobacterium</w:t>
      </w:r>
      <w:proofErr w:type="spellEnd"/>
      <w:r w:rsidRPr="00AC187C">
        <w:rPr>
          <w:bCs/>
          <w:i/>
          <w:szCs w:val="22"/>
        </w:rPr>
        <w:t xml:space="preserve"> </w:t>
      </w:r>
      <w:proofErr w:type="spellStart"/>
      <w:r w:rsidRPr="00AC187C">
        <w:rPr>
          <w:bCs/>
          <w:i/>
          <w:szCs w:val="22"/>
        </w:rPr>
        <w:t>necrophorum</w:t>
      </w:r>
      <w:proofErr w:type="spellEnd"/>
      <w:r w:rsidRPr="00AC187C">
        <w:rPr>
          <w:bCs/>
          <w:i/>
          <w:szCs w:val="22"/>
        </w:rPr>
        <w:t xml:space="preserve">, </w:t>
      </w:r>
      <w:r w:rsidRPr="00AC187C">
        <w:rPr>
          <w:bCs/>
          <w:szCs w:val="22"/>
        </w:rPr>
        <w:t xml:space="preserve">citlivými k </w:t>
      </w:r>
      <w:proofErr w:type="spellStart"/>
      <w:r w:rsidRPr="00AC187C">
        <w:rPr>
          <w:bCs/>
          <w:szCs w:val="22"/>
        </w:rPr>
        <w:t>ceftiofuru</w:t>
      </w:r>
      <w:proofErr w:type="spellEnd"/>
      <w:r w:rsidRPr="00AC187C">
        <w:rPr>
          <w:bCs/>
          <w:szCs w:val="22"/>
        </w:rPr>
        <w:t xml:space="preserve"> v případech, kdy léčba jin</w:t>
      </w:r>
      <w:r w:rsidR="00CC0080" w:rsidRPr="00AC187C">
        <w:rPr>
          <w:bCs/>
          <w:szCs w:val="22"/>
        </w:rPr>
        <w:t>ým</w:t>
      </w:r>
      <w:r w:rsidRPr="00AC187C">
        <w:rPr>
          <w:bCs/>
          <w:szCs w:val="22"/>
        </w:rPr>
        <w:t xml:space="preserve"> </w:t>
      </w:r>
      <w:proofErr w:type="spellStart"/>
      <w:r w:rsidRPr="00AC187C">
        <w:rPr>
          <w:bCs/>
          <w:szCs w:val="22"/>
        </w:rPr>
        <w:t>antimikrob</w:t>
      </w:r>
      <w:r w:rsidR="00CC0080" w:rsidRPr="00AC187C">
        <w:rPr>
          <w:bCs/>
          <w:szCs w:val="22"/>
        </w:rPr>
        <w:t>ikem</w:t>
      </w:r>
      <w:proofErr w:type="spellEnd"/>
      <w:r w:rsidRPr="00AC187C">
        <w:rPr>
          <w:bCs/>
          <w:szCs w:val="22"/>
        </w:rPr>
        <w:t xml:space="preserve"> selhala.</w:t>
      </w:r>
    </w:p>
    <w:p w:rsidR="00E039C1" w:rsidRPr="00AC187C" w:rsidRDefault="00E039C1" w:rsidP="00E039C1">
      <w:pPr>
        <w:jc w:val="both"/>
      </w:pPr>
    </w:p>
    <w:p w:rsidR="00E039C1" w:rsidRPr="00AC187C" w:rsidRDefault="004B2E5F" w:rsidP="00E039C1">
      <w:pPr>
        <w:jc w:val="both"/>
      </w:pPr>
      <w:r w:rsidRPr="00AC187C">
        <w:rPr>
          <w:b/>
        </w:rPr>
        <w:t>3</w:t>
      </w:r>
      <w:r w:rsidR="00E039C1" w:rsidRPr="00AC187C">
        <w:rPr>
          <w:b/>
        </w:rPr>
        <w:t>.3</w:t>
      </w:r>
      <w:r w:rsidR="00E039C1" w:rsidRPr="00AC187C">
        <w:rPr>
          <w:b/>
        </w:rPr>
        <w:tab/>
        <w:t>Kontraindikace</w:t>
      </w:r>
    </w:p>
    <w:p w:rsidR="00FD434E" w:rsidRPr="00AC187C" w:rsidRDefault="00FD434E" w:rsidP="00E039C1">
      <w:pPr>
        <w:ind w:left="0" w:firstLine="0"/>
        <w:jc w:val="both"/>
      </w:pPr>
    </w:p>
    <w:p w:rsidR="00E039C1" w:rsidRPr="00AC187C" w:rsidRDefault="00E039C1" w:rsidP="00E039C1">
      <w:pPr>
        <w:ind w:left="0" w:firstLine="0"/>
        <w:jc w:val="both"/>
      </w:pPr>
      <w:r w:rsidRPr="00AC187C">
        <w:t>Nepoužívat v případech přecitlivělosti na léčivou látku, jiná beta-</w:t>
      </w:r>
      <w:proofErr w:type="spellStart"/>
      <w:r w:rsidRPr="00AC187C">
        <w:t>laktamová</w:t>
      </w:r>
      <w:proofErr w:type="spellEnd"/>
      <w:r w:rsidRPr="00AC187C">
        <w:t xml:space="preserve"> antibiotika nebo na některou z pomocných látek. Nepodávat intravenózně.</w:t>
      </w:r>
    </w:p>
    <w:p w:rsidR="00E039C1" w:rsidRPr="00AC187C" w:rsidRDefault="00E039C1" w:rsidP="00E039C1">
      <w:pPr>
        <w:ind w:left="0" w:firstLine="0"/>
        <w:jc w:val="both"/>
      </w:pPr>
      <w:r w:rsidRPr="00AC187C">
        <w:t>Nepoužívejte u drůbeže (včetně vajec) vzhledem k riziku rozšíření rezistence k </w:t>
      </w:r>
      <w:proofErr w:type="spellStart"/>
      <w:r w:rsidRPr="00AC187C">
        <w:t>antimikrobikům</w:t>
      </w:r>
      <w:proofErr w:type="spellEnd"/>
      <w:r w:rsidRPr="00AC187C">
        <w:t xml:space="preserve"> na </w:t>
      </w:r>
      <w:r w:rsidR="00CC0080" w:rsidRPr="00AC187C">
        <w:t xml:space="preserve">bakterie u </w:t>
      </w:r>
      <w:r w:rsidRPr="00AC187C">
        <w:t>člověka.</w:t>
      </w:r>
    </w:p>
    <w:p w:rsidR="00E039C1" w:rsidRPr="00AC187C" w:rsidRDefault="00E039C1" w:rsidP="00E039C1">
      <w:pPr>
        <w:jc w:val="both"/>
        <w:rPr>
          <w:b/>
        </w:rPr>
      </w:pPr>
    </w:p>
    <w:p w:rsidR="00E039C1" w:rsidRPr="00AC187C" w:rsidRDefault="004B2E5F" w:rsidP="00FD434E">
      <w:pPr>
        <w:keepNext/>
        <w:jc w:val="both"/>
        <w:rPr>
          <w:b/>
        </w:rPr>
      </w:pPr>
      <w:r w:rsidRPr="00AC187C">
        <w:rPr>
          <w:b/>
        </w:rPr>
        <w:t>3</w:t>
      </w:r>
      <w:r w:rsidR="00E039C1" w:rsidRPr="00AC187C">
        <w:rPr>
          <w:b/>
        </w:rPr>
        <w:t>.4</w:t>
      </w:r>
      <w:r w:rsidR="00E039C1" w:rsidRPr="00AC187C">
        <w:rPr>
          <w:b/>
        </w:rPr>
        <w:tab/>
        <w:t xml:space="preserve">Zvláštní upozornění </w:t>
      </w:r>
    </w:p>
    <w:p w:rsidR="00FD434E" w:rsidRPr="00AC187C" w:rsidRDefault="00FD434E" w:rsidP="00FD434E">
      <w:pPr>
        <w:keepNext/>
        <w:jc w:val="both"/>
      </w:pPr>
    </w:p>
    <w:p w:rsidR="00E039C1" w:rsidRPr="00AC187C" w:rsidRDefault="00E039C1" w:rsidP="00E039C1">
      <w:pPr>
        <w:jc w:val="both"/>
      </w:pPr>
      <w:r w:rsidRPr="00AC187C">
        <w:t xml:space="preserve">Nejsou. </w:t>
      </w:r>
    </w:p>
    <w:p w:rsidR="00E039C1" w:rsidRPr="00AC187C" w:rsidRDefault="00E039C1" w:rsidP="00E039C1">
      <w:pPr>
        <w:jc w:val="both"/>
        <w:rPr>
          <w:b/>
        </w:rPr>
      </w:pPr>
    </w:p>
    <w:p w:rsidR="00E039C1" w:rsidRPr="00AC187C" w:rsidRDefault="004B2E5F" w:rsidP="00E039C1">
      <w:pPr>
        <w:jc w:val="both"/>
      </w:pPr>
      <w:r w:rsidRPr="00AC187C">
        <w:rPr>
          <w:b/>
        </w:rPr>
        <w:t>3</w:t>
      </w:r>
      <w:r w:rsidR="00E039C1" w:rsidRPr="00AC187C">
        <w:rPr>
          <w:b/>
        </w:rPr>
        <w:t>.5</w:t>
      </w:r>
      <w:r w:rsidR="00E039C1" w:rsidRPr="00AC187C">
        <w:rPr>
          <w:b/>
        </w:rPr>
        <w:tab/>
        <w:t>Zvláštní opatření pro použití</w:t>
      </w:r>
    </w:p>
    <w:p w:rsidR="00FD434E" w:rsidRPr="00AC187C" w:rsidRDefault="00FD434E" w:rsidP="00E039C1">
      <w:pPr>
        <w:jc w:val="both"/>
        <w:rPr>
          <w:u w:val="single"/>
        </w:rPr>
      </w:pPr>
    </w:p>
    <w:p w:rsidR="00E039C1" w:rsidRPr="00AC187C" w:rsidRDefault="00E039C1" w:rsidP="00E039C1">
      <w:pPr>
        <w:jc w:val="both"/>
        <w:rPr>
          <w:u w:val="single"/>
        </w:rPr>
      </w:pPr>
      <w:r w:rsidRPr="00AC187C">
        <w:rPr>
          <w:u w:val="single"/>
        </w:rPr>
        <w:t xml:space="preserve">Zvláštní opatření pro </w:t>
      </w:r>
      <w:r w:rsidR="004B2E5F" w:rsidRPr="00AC187C">
        <w:rPr>
          <w:szCs w:val="22"/>
        </w:rPr>
        <w:t>bezpečné použití u cílových druhů zvířat:</w:t>
      </w:r>
    </w:p>
    <w:p w:rsidR="00E039C1" w:rsidRPr="00AC187C" w:rsidRDefault="00E039C1" w:rsidP="00E039C1">
      <w:pPr>
        <w:ind w:left="0" w:firstLine="0"/>
        <w:jc w:val="both"/>
        <w:rPr>
          <w:szCs w:val="22"/>
        </w:rPr>
      </w:pPr>
      <w:r w:rsidRPr="00AC187C">
        <w:rPr>
          <w:szCs w:val="22"/>
        </w:rPr>
        <w:t xml:space="preserve">Tento </w:t>
      </w:r>
      <w:r w:rsidR="00C46198" w:rsidRPr="00AC187C">
        <w:rPr>
          <w:szCs w:val="22"/>
        </w:rPr>
        <w:t xml:space="preserve">veterinární léčivý </w:t>
      </w:r>
      <w:r w:rsidRPr="00AC187C">
        <w:rPr>
          <w:szCs w:val="22"/>
        </w:rPr>
        <w:t>přípravek selektuje rezistentní kmeny, jako jsou bakterie produkující širokospektré beta-</w:t>
      </w:r>
      <w:proofErr w:type="spellStart"/>
      <w:r w:rsidRPr="00AC187C">
        <w:rPr>
          <w:szCs w:val="22"/>
        </w:rPr>
        <w:t>laktamázy</w:t>
      </w:r>
      <w:proofErr w:type="spellEnd"/>
      <w:r w:rsidRPr="00AC187C">
        <w:rPr>
          <w:szCs w:val="22"/>
        </w:rPr>
        <w:t xml:space="preserve"> (ESBL), které mohou představovat riziko pro lidské zdraví, pokud dojde k jejich rozšíření na lidskou populaci, např. prostřednictvím potravin. Z toho důvodu by měl být tento </w:t>
      </w:r>
      <w:r w:rsidR="00C46198" w:rsidRPr="00AC187C">
        <w:rPr>
          <w:szCs w:val="22"/>
        </w:rPr>
        <w:t xml:space="preserve">veterinární léčivý </w:t>
      </w:r>
      <w:r w:rsidRPr="00AC187C">
        <w:rPr>
          <w:szCs w:val="22"/>
        </w:rPr>
        <w:t>přípravek vyhrazen pro léčbu klinických stavů, které měly slabou odezvu, nebo u nichž se očekává slabá odezva na léčbu první volby (týká se velmi akutních stavů, kdy musí být léčba zahájena bez bakteriologické diagnózy).</w:t>
      </w:r>
    </w:p>
    <w:p w:rsidR="00E039C1" w:rsidRPr="00AC187C" w:rsidRDefault="00E039C1" w:rsidP="00E039C1">
      <w:pPr>
        <w:ind w:left="0" w:firstLine="0"/>
        <w:jc w:val="both"/>
        <w:rPr>
          <w:szCs w:val="22"/>
        </w:rPr>
      </w:pPr>
      <w:r w:rsidRPr="00AC187C">
        <w:rPr>
          <w:szCs w:val="22"/>
        </w:rPr>
        <w:t xml:space="preserve">Při použití tohoto </w:t>
      </w:r>
      <w:r w:rsidR="00CC0080" w:rsidRPr="00AC187C">
        <w:rPr>
          <w:szCs w:val="22"/>
        </w:rPr>
        <w:t xml:space="preserve">veterinárního léčivého </w:t>
      </w:r>
      <w:r w:rsidRPr="00AC187C">
        <w:rPr>
          <w:szCs w:val="22"/>
        </w:rPr>
        <w:t xml:space="preserve">přípravku je </w:t>
      </w:r>
      <w:r w:rsidR="00CC0080" w:rsidRPr="00AC187C">
        <w:rPr>
          <w:szCs w:val="22"/>
        </w:rPr>
        <w:t xml:space="preserve">nutno zohlednit </w:t>
      </w:r>
      <w:r w:rsidRPr="00AC187C">
        <w:rPr>
          <w:szCs w:val="22"/>
        </w:rPr>
        <w:t>oficiální národní a místní pravidla antibiotické politiky.</w:t>
      </w:r>
    </w:p>
    <w:p w:rsidR="00E039C1" w:rsidRPr="00AC187C" w:rsidRDefault="00E039C1" w:rsidP="00E039C1">
      <w:pPr>
        <w:ind w:left="0" w:firstLine="0"/>
        <w:jc w:val="both"/>
        <w:rPr>
          <w:szCs w:val="22"/>
        </w:rPr>
      </w:pPr>
      <w:r w:rsidRPr="00AC187C">
        <w:rPr>
          <w:szCs w:val="22"/>
        </w:rPr>
        <w:t>Zvýšené používání</w:t>
      </w:r>
      <w:r w:rsidR="00CC0080" w:rsidRPr="00AC187C">
        <w:rPr>
          <w:szCs w:val="22"/>
        </w:rPr>
        <w:t xml:space="preserve"> veterinárního léčivého přípravku</w:t>
      </w:r>
      <w:r w:rsidRPr="00AC187C">
        <w:rPr>
          <w:szCs w:val="22"/>
        </w:rPr>
        <w:t>, včetně použití, které neodpovídá pokynům uvedeným v souhrnu údajů o přípravku, může zvýšit prevalenci rezistence.</w:t>
      </w:r>
    </w:p>
    <w:p w:rsidR="00E039C1" w:rsidRPr="00AC187C" w:rsidRDefault="00CC0080" w:rsidP="00E039C1">
      <w:pPr>
        <w:ind w:left="0" w:firstLine="0"/>
        <w:jc w:val="both"/>
        <w:rPr>
          <w:szCs w:val="22"/>
        </w:rPr>
      </w:pPr>
      <w:r w:rsidRPr="00AC187C">
        <w:rPr>
          <w:bCs/>
          <w:szCs w:val="22"/>
        </w:rPr>
        <w:t>Veterinární léčivý p</w:t>
      </w:r>
      <w:r w:rsidR="00E039C1" w:rsidRPr="00AC187C">
        <w:rPr>
          <w:bCs/>
          <w:szCs w:val="22"/>
        </w:rPr>
        <w:t>řípravek</w:t>
      </w:r>
      <w:r w:rsidR="00E039C1" w:rsidRPr="00AC187C">
        <w:rPr>
          <w:b/>
          <w:bCs/>
          <w:szCs w:val="22"/>
        </w:rPr>
        <w:t xml:space="preserve"> </w:t>
      </w:r>
      <w:r w:rsidR="00E039C1" w:rsidRPr="00AC187C">
        <w:rPr>
          <w:szCs w:val="22"/>
        </w:rPr>
        <w:t xml:space="preserve">by se měl vždy, když je to možné, používat pouze na základě výsledků stanovení citlivosti. </w:t>
      </w:r>
    </w:p>
    <w:p w:rsidR="00E039C1" w:rsidRPr="00AC187C" w:rsidRDefault="00E039C1" w:rsidP="00E039C1">
      <w:pPr>
        <w:ind w:left="0" w:firstLine="0"/>
        <w:jc w:val="both"/>
        <w:rPr>
          <w:szCs w:val="22"/>
        </w:rPr>
      </w:pPr>
      <w:r w:rsidRPr="00AC187C">
        <w:rPr>
          <w:szCs w:val="22"/>
        </w:rPr>
        <w:t>Nepoužívejte jako profylaxi v případě zadržené placenty.</w:t>
      </w:r>
    </w:p>
    <w:p w:rsidR="00E039C1" w:rsidRPr="00AC187C" w:rsidRDefault="00E039C1" w:rsidP="00E039C1">
      <w:pPr>
        <w:ind w:left="0" w:firstLine="0"/>
        <w:jc w:val="both"/>
        <w:rPr>
          <w:szCs w:val="22"/>
        </w:rPr>
      </w:pPr>
      <w:bookmarkStart w:id="0" w:name="OLE_LINK1"/>
      <w:r w:rsidRPr="00AC187C">
        <w:t xml:space="preserve">Tento </w:t>
      </w:r>
      <w:r w:rsidR="00CC0080" w:rsidRPr="00AC187C">
        <w:t xml:space="preserve">veterinární léčivý </w:t>
      </w:r>
      <w:r w:rsidRPr="00AC187C">
        <w:t>přípravek</w:t>
      </w:r>
      <w:bookmarkEnd w:id="0"/>
      <w:r w:rsidRPr="00AC187C">
        <w:t xml:space="preserve"> </w:t>
      </w:r>
      <w:r w:rsidRPr="00AC187C">
        <w:rPr>
          <w:szCs w:val="22"/>
        </w:rPr>
        <w:t>je určen pro léčbu jednotlivých zvířat. Nepoužívat pro účely prevence onemocnění nebo jako součást programů kontroly zdraví na úrovni stáda. Léčba skupin zvířat musí být přísně omezena na případy probíhajících onemocnění v souladu se schválenými podmínkami použití.</w:t>
      </w:r>
    </w:p>
    <w:p w:rsidR="00E039C1" w:rsidRPr="00AC187C" w:rsidRDefault="00E039C1" w:rsidP="00E039C1">
      <w:pPr>
        <w:jc w:val="both"/>
      </w:pPr>
    </w:p>
    <w:p w:rsidR="00E039C1" w:rsidRPr="00AC187C" w:rsidRDefault="00E039C1" w:rsidP="00E039C1">
      <w:pPr>
        <w:keepNext/>
        <w:jc w:val="both"/>
        <w:rPr>
          <w:u w:val="single"/>
        </w:rPr>
      </w:pPr>
      <w:r w:rsidRPr="00AC187C">
        <w:rPr>
          <w:u w:val="single"/>
        </w:rPr>
        <w:t xml:space="preserve">Zvláštní opatření </w:t>
      </w:r>
      <w:r w:rsidR="004B2E5F" w:rsidRPr="00F8117A">
        <w:rPr>
          <w:szCs w:val="22"/>
          <w:u w:val="single"/>
        </w:rPr>
        <w:t>pro osobu, která podává veterinární léčivý přípravek zvířatům:</w:t>
      </w:r>
    </w:p>
    <w:p w:rsidR="00E039C1" w:rsidRPr="00AC187C" w:rsidRDefault="00E039C1" w:rsidP="00E039C1">
      <w:pPr>
        <w:tabs>
          <w:tab w:val="left" w:pos="0"/>
        </w:tabs>
        <w:ind w:left="0" w:firstLine="0"/>
        <w:jc w:val="both"/>
      </w:pPr>
      <w:r w:rsidRPr="00AC187C">
        <w:t xml:space="preserve">Peniciliny a cefalosporiny mohou po injekci, inhalaci, požití nebo po kontaktu s kůží vyvolat přecitlivělost (alergii). Přecitlivělost na peniciliny může vést ke zkříženým reakcím s cefalosporiny </w:t>
      </w:r>
      <w:r w:rsidRPr="00AC187C">
        <w:br/>
        <w:t>a naopak. Alergické reakce na tyto látky mohou být v některých případech vážné.</w:t>
      </w:r>
    </w:p>
    <w:p w:rsidR="00E039C1" w:rsidRPr="00AC187C" w:rsidRDefault="00250246" w:rsidP="00E039C1">
      <w:pPr>
        <w:tabs>
          <w:tab w:val="left" w:pos="0"/>
        </w:tabs>
        <w:ind w:left="0" w:firstLine="0"/>
        <w:jc w:val="both"/>
      </w:pPr>
      <w:r w:rsidRPr="00AC187C">
        <w:rPr>
          <w:szCs w:val="22"/>
          <w:lang w:eastAsia="en-GB"/>
        </w:rPr>
        <w:t xml:space="preserve"> Lidé se známou přecitlivělostí na cefalosporiny nebo peniciliny by se měli vy</w:t>
      </w:r>
      <w:r w:rsidR="00B566EB" w:rsidRPr="00AC187C">
        <w:rPr>
          <w:szCs w:val="22"/>
          <w:lang w:eastAsia="en-GB"/>
        </w:rPr>
        <w:t>hnout</w:t>
      </w:r>
      <w:r w:rsidRPr="00AC187C">
        <w:rPr>
          <w:szCs w:val="22"/>
          <w:lang w:eastAsia="en-GB"/>
        </w:rPr>
        <w:t xml:space="preserve"> kontaktu s</w:t>
      </w:r>
      <w:r w:rsidR="00B566EB" w:rsidRPr="00AC187C">
        <w:rPr>
          <w:szCs w:val="22"/>
          <w:lang w:eastAsia="en-GB"/>
        </w:rPr>
        <w:t> </w:t>
      </w:r>
      <w:r w:rsidRPr="00AC187C">
        <w:rPr>
          <w:szCs w:val="22"/>
          <w:lang w:eastAsia="en-GB"/>
        </w:rPr>
        <w:t>veterinárním léčivým přípravkem</w:t>
      </w:r>
      <w:r w:rsidR="00286D50" w:rsidRPr="00AC187C">
        <w:rPr>
          <w:szCs w:val="22"/>
          <w:lang w:eastAsia="en-GB"/>
        </w:rPr>
        <w:t>.</w:t>
      </w:r>
      <w:r w:rsidR="009971E1" w:rsidRPr="00F8117A">
        <w:rPr>
          <w:szCs w:val="22"/>
          <w:lang w:eastAsia="en-GB"/>
        </w:rPr>
        <w:t xml:space="preserve"> </w:t>
      </w:r>
      <w:r w:rsidR="00E039C1" w:rsidRPr="00AC187C">
        <w:t xml:space="preserve">Při </w:t>
      </w:r>
      <w:r w:rsidR="00B566EB" w:rsidRPr="00AC187C">
        <w:t xml:space="preserve">nakládání </w:t>
      </w:r>
      <w:r w:rsidR="00E039C1" w:rsidRPr="00AC187C">
        <w:t xml:space="preserve">s </w:t>
      </w:r>
      <w:r w:rsidRPr="00F8117A">
        <w:rPr>
          <w:iCs/>
          <w:szCs w:val="22"/>
          <w:lang w:eastAsia="en-GB"/>
        </w:rPr>
        <w:t>veterinární</w:t>
      </w:r>
      <w:r w:rsidR="00B566EB" w:rsidRPr="00AC187C">
        <w:rPr>
          <w:iCs/>
          <w:szCs w:val="22"/>
          <w:lang w:eastAsia="en-GB"/>
        </w:rPr>
        <w:t>m</w:t>
      </w:r>
      <w:r w:rsidRPr="00F8117A">
        <w:rPr>
          <w:iCs/>
          <w:szCs w:val="22"/>
          <w:lang w:eastAsia="en-GB"/>
        </w:rPr>
        <w:t xml:space="preserve"> léčivý</w:t>
      </w:r>
      <w:r w:rsidR="00B566EB" w:rsidRPr="00AC187C">
        <w:rPr>
          <w:iCs/>
          <w:szCs w:val="22"/>
          <w:lang w:eastAsia="en-GB"/>
        </w:rPr>
        <w:t>m</w:t>
      </w:r>
      <w:r w:rsidRPr="00F8117A">
        <w:rPr>
          <w:iCs/>
          <w:szCs w:val="22"/>
          <w:lang w:eastAsia="en-GB"/>
        </w:rPr>
        <w:t xml:space="preserve"> </w:t>
      </w:r>
      <w:r w:rsidR="00E039C1" w:rsidRPr="00AC187C">
        <w:t>přípravkem dodržujte všechna doporučená bezpečnostní opatření a buďte maximálně obezřetní, aby nedošlo k přímému kontaktu s</w:t>
      </w:r>
      <w:r w:rsidR="00B566EB" w:rsidRPr="00AC187C">
        <w:t> </w:t>
      </w:r>
      <w:r w:rsidR="00E039C1" w:rsidRPr="00AC187C">
        <w:t>přípravkem.</w:t>
      </w:r>
    </w:p>
    <w:p w:rsidR="00E039C1" w:rsidRPr="00AC187C" w:rsidRDefault="00E039C1" w:rsidP="00E039C1">
      <w:pPr>
        <w:tabs>
          <w:tab w:val="left" w:pos="0"/>
        </w:tabs>
        <w:ind w:left="0" w:firstLine="0"/>
        <w:jc w:val="both"/>
        <w:rPr>
          <w:rFonts w:cs="Arial"/>
        </w:rPr>
      </w:pPr>
      <w:r w:rsidRPr="00AC187C">
        <w:t xml:space="preserve">V případě náhodného sebepoškození injekčně </w:t>
      </w:r>
      <w:r w:rsidR="00B566EB" w:rsidRPr="00AC187C">
        <w:t xml:space="preserve">podaným </w:t>
      </w:r>
      <w:r w:rsidRPr="00AC187C">
        <w:t xml:space="preserve">přípravkem, nebo pokud se objeví příznaky jako např. vyrážka, vyhledejte ihned lékařskou pomoc a ukažte příbalovou informaci nebo etiketu praktickému lékaři. Otok obličeje, rtů či očí nebo potíže s dýcháním jsou vážné příznaky </w:t>
      </w:r>
      <w:r w:rsidRPr="00AC187C">
        <w:br/>
        <w:t>a vyžadují okamžité lékařské ošetření.</w:t>
      </w:r>
    </w:p>
    <w:p w:rsidR="00E039C1" w:rsidRPr="00AC187C" w:rsidRDefault="00E039C1" w:rsidP="00E039C1">
      <w:pPr>
        <w:tabs>
          <w:tab w:val="left" w:pos="0"/>
        </w:tabs>
        <w:ind w:left="0" w:firstLine="0"/>
        <w:jc w:val="both"/>
        <w:rPr>
          <w:rFonts w:cs="Arial"/>
        </w:rPr>
      </w:pPr>
      <w:r w:rsidRPr="00AC187C">
        <w:t>Po použití si umyjte ruce.</w:t>
      </w:r>
    </w:p>
    <w:p w:rsidR="00E039C1" w:rsidRPr="00AC187C" w:rsidRDefault="00E039C1" w:rsidP="00E039C1">
      <w:pPr>
        <w:jc w:val="both"/>
        <w:rPr>
          <w:rFonts w:cs="Arial"/>
        </w:rPr>
      </w:pPr>
    </w:p>
    <w:p w:rsidR="00286D50" w:rsidRPr="00F8117A" w:rsidRDefault="00F171A5" w:rsidP="00286D50">
      <w:pPr>
        <w:pStyle w:val="Default"/>
        <w:rPr>
          <w:sz w:val="22"/>
          <w:szCs w:val="22"/>
          <w:u w:val="single"/>
          <w:lang w:val="cs-CZ"/>
        </w:rPr>
      </w:pPr>
      <w:r w:rsidRPr="00F8117A">
        <w:rPr>
          <w:sz w:val="22"/>
          <w:szCs w:val="22"/>
          <w:u w:val="single"/>
          <w:lang w:val="cs-CZ"/>
        </w:rPr>
        <w:t xml:space="preserve">Zvláštní opatření pro ochranu životního prostředí: </w:t>
      </w:r>
    </w:p>
    <w:p w:rsidR="00286D50" w:rsidRPr="00AC187C" w:rsidRDefault="00286D50" w:rsidP="00286D50">
      <w:pPr>
        <w:jc w:val="both"/>
        <w:rPr>
          <w:szCs w:val="22"/>
        </w:rPr>
      </w:pPr>
      <w:r w:rsidRPr="00AC187C">
        <w:rPr>
          <w:szCs w:val="22"/>
        </w:rPr>
        <w:t>Neuplatňuje se.</w:t>
      </w:r>
    </w:p>
    <w:p w:rsidR="00286D50" w:rsidRPr="00AC187C" w:rsidRDefault="00286D50" w:rsidP="00286D50">
      <w:pPr>
        <w:jc w:val="both"/>
        <w:rPr>
          <w:rFonts w:cs="Arial"/>
        </w:rPr>
      </w:pPr>
    </w:p>
    <w:p w:rsidR="004B2E5F" w:rsidRPr="00AC187C" w:rsidRDefault="004B2E5F" w:rsidP="00F8117A">
      <w:pPr>
        <w:jc w:val="both"/>
      </w:pPr>
      <w:r w:rsidRPr="00AC187C">
        <w:rPr>
          <w:b/>
        </w:rPr>
        <w:t>3</w:t>
      </w:r>
      <w:r w:rsidR="00E039C1" w:rsidRPr="00AC187C">
        <w:rPr>
          <w:b/>
        </w:rPr>
        <w:t>.6</w:t>
      </w:r>
      <w:r w:rsidR="00E039C1" w:rsidRPr="00AC187C">
        <w:rPr>
          <w:b/>
        </w:rPr>
        <w:tab/>
        <w:t xml:space="preserve">Nežádoucí účinky </w:t>
      </w:r>
    </w:p>
    <w:p w:rsidR="00FD434E" w:rsidRPr="00AC187C" w:rsidRDefault="00FD434E" w:rsidP="004B2E5F">
      <w:pPr>
        <w:tabs>
          <w:tab w:val="left" w:pos="1050"/>
        </w:tabs>
        <w:jc w:val="both"/>
        <w:rPr>
          <w:bCs/>
          <w:szCs w:val="22"/>
        </w:rPr>
      </w:pPr>
    </w:p>
    <w:p w:rsidR="004B2E5F" w:rsidRPr="00AC187C" w:rsidRDefault="00942937" w:rsidP="004B2E5F">
      <w:pPr>
        <w:tabs>
          <w:tab w:val="left" w:pos="1050"/>
        </w:tabs>
        <w:jc w:val="both"/>
        <w:rPr>
          <w:bCs/>
          <w:szCs w:val="22"/>
        </w:rPr>
      </w:pPr>
      <w:r w:rsidRPr="00AC187C">
        <w:rPr>
          <w:bCs/>
          <w:szCs w:val="22"/>
        </w:rPr>
        <w:t>Prasata:</w:t>
      </w:r>
    </w:p>
    <w:p w:rsidR="00942937" w:rsidRPr="00F8117A" w:rsidRDefault="00942937" w:rsidP="004B2E5F">
      <w:pPr>
        <w:tabs>
          <w:tab w:val="left" w:pos="1050"/>
        </w:tabs>
        <w:jc w:val="both"/>
        <w:rPr>
          <w:rFonts w:ascii="Arial" w:hAnsi="Arial" w:cs="Arial"/>
          <w:bCs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4B2E5F" w:rsidRPr="00AC187C" w:rsidTr="00157B5B">
        <w:tc>
          <w:tcPr>
            <w:tcW w:w="1957" w:type="pct"/>
          </w:tcPr>
          <w:p w:rsidR="008C0DAF" w:rsidRPr="00F8117A" w:rsidRDefault="00F171A5" w:rsidP="00250246">
            <w:pPr>
              <w:pStyle w:val="Default"/>
              <w:rPr>
                <w:sz w:val="22"/>
                <w:szCs w:val="22"/>
                <w:lang w:val="cs-CZ"/>
              </w:rPr>
            </w:pPr>
            <w:r w:rsidRPr="00F8117A">
              <w:rPr>
                <w:sz w:val="22"/>
                <w:szCs w:val="22"/>
                <w:lang w:val="cs-CZ"/>
              </w:rPr>
              <w:t xml:space="preserve">Velmi vzácné </w:t>
            </w:r>
          </w:p>
          <w:p w:rsidR="00311455" w:rsidRPr="00AC187C" w:rsidRDefault="008C0DAF" w:rsidP="00F8117A">
            <w:pPr>
              <w:rPr>
                <w:szCs w:val="22"/>
              </w:rPr>
            </w:pPr>
            <w:r w:rsidRPr="00AC187C">
              <w:rPr>
                <w:szCs w:val="22"/>
              </w:rPr>
              <w:t xml:space="preserve">(&lt;1 zvíře / 10 000 ošetřených zvířat, </w:t>
            </w:r>
          </w:p>
          <w:p w:rsidR="004B2E5F" w:rsidRPr="00F8117A" w:rsidRDefault="008C0DAF" w:rsidP="00F8117A">
            <w:pPr>
              <w:spacing w:before="60" w:after="60"/>
              <w:ind w:left="0" w:firstLine="0"/>
              <w:rPr>
                <w:i/>
                <w:szCs w:val="22"/>
              </w:rPr>
            </w:pPr>
            <w:r w:rsidRPr="00AC187C">
              <w:rPr>
                <w:szCs w:val="22"/>
              </w:rPr>
              <w:t xml:space="preserve">včetně ojedinělých hlášení): </w:t>
            </w:r>
          </w:p>
        </w:tc>
        <w:tc>
          <w:tcPr>
            <w:tcW w:w="3043" w:type="pct"/>
          </w:tcPr>
          <w:p w:rsidR="00250246" w:rsidRPr="00F8117A" w:rsidRDefault="00250246" w:rsidP="00F8117A">
            <w:pPr>
              <w:rPr>
                <w:szCs w:val="22"/>
              </w:rPr>
            </w:pPr>
            <w:r w:rsidRPr="00F8117A">
              <w:rPr>
                <w:szCs w:val="22"/>
              </w:rPr>
              <w:t>Hypersenzitivní reakce</w:t>
            </w:r>
            <w:r w:rsidRPr="00F8117A">
              <w:rPr>
                <w:szCs w:val="22"/>
                <w:vertAlign w:val="superscript"/>
              </w:rPr>
              <w:t>,2</w:t>
            </w:r>
            <w:r w:rsidRPr="00F8117A">
              <w:rPr>
                <w:szCs w:val="22"/>
              </w:rPr>
              <w:t>, alergická reakce</w:t>
            </w:r>
            <w:r w:rsidRPr="00F8117A">
              <w:rPr>
                <w:szCs w:val="22"/>
                <w:vertAlign w:val="superscript"/>
              </w:rPr>
              <w:t>2</w:t>
            </w:r>
            <w:r w:rsidRPr="00F8117A">
              <w:rPr>
                <w:szCs w:val="22"/>
              </w:rPr>
              <w:t xml:space="preserve">, alergická </w:t>
            </w:r>
          </w:p>
          <w:p w:rsidR="00250246" w:rsidRPr="00F8117A" w:rsidRDefault="00250246" w:rsidP="00F8117A">
            <w:pPr>
              <w:rPr>
                <w:szCs w:val="22"/>
              </w:rPr>
            </w:pPr>
            <w:r w:rsidRPr="00F8117A">
              <w:rPr>
                <w:szCs w:val="22"/>
              </w:rPr>
              <w:t>kožní reakce</w:t>
            </w:r>
            <w:r w:rsidRPr="00F8117A">
              <w:rPr>
                <w:szCs w:val="22"/>
                <w:vertAlign w:val="superscript"/>
              </w:rPr>
              <w:t>2</w:t>
            </w:r>
            <w:r w:rsidRPr="00F8117A">
              <w:rPr>
                <w:szCs w:val="22"/>
              </w:rPr>
              <w:t>,</w:t>
            </w:r>
            <w:r w:rsidR="00CC0080" w:rsidRPr="00AC187C">
              <w:rPr>
                <w:szCs w:val="22"/>
              </w:rPr>
              <w:t xml:space="preserve"> </w:t>
            </w:r>
            <w:r w:rsidRPr="00F8117A">
              <w:rPr>
                <w:szCs w:val="22"/>
              </w:rPr>
              <w:t>anafylaxe</w:t>
            </w:r>
            <w:r w:rsidRPr="00F8117A">
              <w:rPr>
                <w:szCs w:val="22"/>
                <w:vertAlign w:val="superscript"/>
              </w:rPr>
              <w:t>2</w:t>
            </w:r>
          </w:p>
          <w:p w:rsidR="00764926" w:rsidRPr="00AC187C" w:rsidRDefault="00250246">
            <w:pPr>
              <w:rPr>
                <w:bCs/>
                <w:szCs w:val="22"/>
              </w:rPr>
            </w:pPr>
            <w:r w:rsidRPr="00F8117A">
              <w:rPr>
                <w:bCs/>
                <w:szCs w:val="22"/>
              </w:rPr>
              <w:t xml:space="preserve">Reakce v místě </w:t>
            </w:r>
            <w:r w:rsidR="00CC0080" w:rsidRPr="00AC187C">
              <w:rPr>
                <w:bCs/>
                <w:szCs w:val="22"/>
              </w:rPr>
              <w:t>injekčního podání</w:t>
            </w:r>
            <w:r w:rsidR="00807146" w:rsidRPr="00F8117A">
              <w:rPr>
                <w:bCs/>
                <w:szCs w:val="22"/>
                <w:vertAlign w:val="superscript"/>
              </w:rPr>
              <w:t>3</w:t>
            </w:r>
            <w:r w:rsidRPr="00F8117A">
              <w:rPr>
                <w:bCs/>
                <w:szCs w:val="22"/>
              </w:rPr>
              <w:t>, změna barvy fascie</w:t>
            </w:r>
          </w:p>
          <w:p w:rsidR="00250246" w:rsidRPr="00F8117A" w:rsidRDefault="00250246" w:rsidP="00F8117A">
            <w:pPr>
              <w:rPr>
                <w:bCs/>
                <w:szCs w:val="22"/>
              </w:rPr>
            </w:pPr>
            <w:r w:rsidRPr="00F8117A">
              <w:rPr>
                <w:bCs/>
                <w:szCs w:val="22"/>
              </w:rPr>
              <w:t>nebo tuku v</w:t>
            </w:r>
            <w:r w:rsidR="00807146" w:rsidRPr="00AC187C">
              <w:rPr>
                <w:bCs/>
                <w:szCs w:val="22"/>
              </w:rPr>
              <w:t> </w:t>
            </w:r>
            <w:r w:rsidRPr="00F8117A">
              <w:rPr>
                <w:bCs/>
                <w:szCs w:val="22"/>
              </w:rPr>
              <w:t>místě</w:t>
            </w:r>
            <w:r w:rsidR="00807146" w:rsidRPr="00AC187C">
              <w:rPr>
                <w:bCs/>
                <w:szCs w:val="22"/>
              </w:rPr>
              <w:t xml:space="preserve"> </w:t>
            </w:r>
            <w:r w:rsidR="00CC0080" w:rsidRPr="00AC187C">
              <w:rPr>
                <w:bCs/>
                <w:szCs w:val="22"/>
              </w:rPr>
              <w:t>injekčního podání</w:t>
            </w:r>
            <w:r w:rsidRPr="00F8117A">
              <w:rPr>
                <w:bCs/>
                <w:szCs w:val="22"/>
              </w:rPr>
              <w:t xml:space="preserve"> </w:t>
            </w:r>
            <w:r w:rsidRPr="00F8117A">
              <w:rPr>
                <w:bCs/>
                <w:szCs w:val="22"/>
                <w:vertAlign w:val="superscript"/>
              </w:rPr>
              <w:t>4</w:t>
            </w:r>
          </w:p>
          <w:p w:rsidR="004B2E5F" w:rsidRPr="00F8117A" w:rsidRDefault="004B2E5F" w:rsidP="00250246">
            <w:pPr>
              <w:spacing w:before="60" w:after="60"/>
              <w:ind w:left="0" w:firstLine="0"/>
              <w:rPr>
                <w:bCs/>
                <w:i/>
                <w:szCs w:val="22"/>
              </w:rPr>
            </w:pPr>
          </w:p>
        </w:tc>
      </w:tr>
    </w:tbl>
    <w:p w:rsidR="00250246" w:rsidRPr="00AC187C" w:rsidRDefault="00250246" w:rsidP="00250246">
      <w:pPr>
        <w:tabs>
          <w:tab w:val="left" w:pos="1590"/>
        </w:tabs>
        <w:jc w:val="both"/>
        <w:rPr>
          <w:szCs w:val="22"/>
        </w:rPr>
      </w:pPr>
      <w:r w:rsidRPr="00F8117A">
        <w:rPr>
          <w:bCs/>
          <w:szCs w:val="22"/>
          <w:vertAlign w:val="superscript"/>
        </w:rPr>
        <w:t>1</w:t>
      </w:r>
      <w:r w:rsidRPr="00F8117A">
        <w:rPr>
          <w:szCs w:val="22"/>
        </w:rPr>
        <w:t xml:space="preserve"> Může se vyskytnout alergická reakce nezávisle na dávce. V případě výskytu alergické reakce je třeba </w:t>
      </w:r>
    </w:p>
    <w:p w:rsidR="00250246" w:rsidRPr="00F8117A" w:rsidRDefault="00250246" w:rsidP="00250246">
      <w:pPr>
        <w:tabs>
          <w:tab w:val="left" w:pos="1590"/>
        </w:tabs>
        <w:jc w:val="both"/>
        <w:rPr>
          <w:szCs w:val="22"/>
        </w:rPr>
      </w:pPr>
      <w:r w:rsidRPr="00F8117A">
        <w:rPr>
          <w:szCs w:val="22"/>
        </w:rPr>
        <w:t>léčbu ukončit.</w:t>
      </w:r>
    </w:p>
    <w:p w:rsidR="00250246" w:rsidRPr="00F8117A" w:rsidRDefault="00250246" w:rsidP="00250246">
      <w:pPr>
        <w:tabs>
          <w:tab w:val="left" w:pos="1590"/>
        </w:tabs>
        <w:jc w:val="both"/>
        <w:rPr>
          <w:szCs w:val="22"/>
        </w:rPr>
      </w:pPr>
      <w:r w:rsidRPr="00F8117A">
        <w:rPr>
          <w:szCs w:val="22"/>
          <w:vertAlign w:val="superscript"/>
        </w:rPr>
        <w:t xml:space="preserve">2 </w:t>
      </w:r>
      <w:r w:rsidRPr="00F8117A">
        <w:rPr>
          <w:szCs w:val="22"/>
        </w:rPr>
        <w:t>V takovém případě by měla být léčba ukončena.</w:t>
      </w:r>
    </w:p>
    <w:p w:rsidR="00250246" w:rsidRPr="00F8117A" w:rsidRDefault="00250246" w:rsidP="00F8117A">
      <w:pPr>
        <w:rPr>
          <w:bCs/>
          <w:szCs w:val="22"/>
        </w:rPr>
      </w:pPr>
      <w:r w:rsidRPr="00F8117A">
        <w:rPr>
          <w:szCs w:val="22"/>
          <w:vertAlign w:val="superscript"/>
        </w:rPr>
        <w:t xml:space="preserve">3 </w:t>
      </w:r>
      <w:r w:rsidRPr="00F8117A">
        <w:rPr>
          <w:bCs/>
          <w:szCs w:val="22"/>
        </w:rPr>
        <w:t>Mírná</w:t>
      </w:r>
    </w:p>
    <w:p w:rsidR="00250246" w:rsidRPr="00F8117A" w:rsidRDefault="00250246" w:rsidP="00250246">
      <w:pPr>
        <w:tabs>
          <w:tab w:val="left" w:pos="1590"/>
        </w:tabs>
        <w:jc w:val="both"/>
        <w:rPr>
          <w:bCs/>
          <w:szCs w:val="22"/>
        </w:rPr>
      </w:pPr>
      <w:r w:rsidRPr="00F8117A">
        <w:rPr>
          <w:szCs w:val="22"/>
          <w:vertAlign w:val="superscript"/>
        </w:rPr>
        <w:t>4</w:t>
      </w:r>
      <w:r w:rsidRPr="00F8117A">
        <w:rPr>
          <w:bCs/>
          <w:szCs w:val="22"/>
        </w:rPr>
        <w:t xml:space="preserve"> Až 20 dní po </w:t>
      </w:r>
      <w:r w:rsidR="00764926" w:rsidRPr="00AC187C">
        <w:rPr>
          <w:bCs/>
          <w:szCs w:val="22"/>
        </w:rPr>
        <w:t>injekčním podání</w:t>
      </w:r>
    </w:p>
    <w:p w:rsidR="004B2E5F" w:rsidRPr="00F8117A" w:rsidRDefault="004B2E5F" w:rsidP="004B2E5F">
      <w:pPr>
        <w:jc w:val="both"/>
        <w:rPr>
          <w:szCs w:val="22"/>
          <w:highlight w:val="yellow"/>
        </w:rPr>
      </w:pPr>
    </w:p>
    <w:p w:rsidR="004B2E5F" w:rsidRPr="00F8117A" w:rsidRDefault="00942937" w:rsidP="004B2E5F">
      <w:pPr>
        <w:jc w:val="both"/>
        <w:rPr>
          <w:bCs/>
          <w:szCs w:val="22"/>
        </w:rPr>
      </w:pPr>
      <w:r w:rsidRPr="00F8117A">
        <w:rPr>
          <w:bCs/>
          <w:szCs w:val="22"/>
        </w:rPr>
        <w:t>Skot:</w:t>
      </w:r>
    </w:p>
    <w:p w:rsidR="00A2322A" w:rsidRPr="00F8117A" w:rsidRDefault="00A2322A" w:rsidP="00F8117A">
      <w:pPr>
        <w:ind w:left="0" w:firstLine="0"/>
        <w:jc w:val="both"/>
        <w:rPr>
          <w:bCs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4B2E5F" w:rsidRPr="00AC187C" w:rsidTr="00157B5B">
        <w:tc>
          <w:tcPr>
            <w:tcW w:w="1957" w:type="pct"/>
          </w:tcPr>
          <w:p w:rsidR="008C0DAF" w:rsidRPr="00F8117A" w:rsidRDefault="00F171A5" w:rsidP="00250246">
            <w:pPr>
              <w:pStyle w:val="Default"/>
              <w:rPr>
                <w:sz w:val="22"/>
                <w:szCs w:val="22"/>
                <w:lang w:val="cs-CZ"/>
              </w:rPr>
            </w:pPr>
            <w:r w:rsidRPr="00F8117A">
              <w:rPr>
                <w:sz w:val="22"/>
                <w:szCs w:val="22"/>
                <w:lang w:val="cs-CZ"/>
              </w:rPr>
              <w:t xml:space="preserve">Velmi časté </w:t>
            </w:r>
          </w:p>
          <w:p w:rsidR="004B2E5F" w:rsidRPr="00F8117A" w:rsidRDefault="008C0DAF" w:rsidP="00250246">
            <w:pPr>
              <w:spacing w:before="60" w:after="60"/>
              <w:rPr>
                <w:szCs w:val="22"/>
              </w:rPr>
            </w:pPr>
            <w:r w:rsidRPr="00AC187C">
              <w:rPr>
                <w:szCs w:val="22"/>
              </w:rPr>
              <w:lastRenderedPageBreak/>
              <w:t xml:space="preserve">(&gt; 1 zvíře / 10 ošetřených zvířat): </w:t>
            </w:r>
          </w:p>
        </w:tc>
        <w:tc>
          <w:tcPr>
            <w:tcW w:w="3043" w:type="pct"/>
          </w:tcPr>
          <w:p w:rsidR="004B2E5F" w:rsidRPr="00F8117A" w:rsidRDefault="00250246" w:rsidP="00157B5B">
            <w:pPr>
              <w:spacing w:before="60" w:after="60"/>
              <w:rPr>
                <w:iCs/>
                <w:szCs w:val="22"/>
              </w:rPr>
            </w:pPr>
            <w:r w:rsidRPr="00F8117A">
              <w:rPr>
                <w:bCs/>
                <w:szCs w:val="22"/>
              </w:rPr>
              <w:lastRenderedPageBreak/>
              <w:t xml:space="preserve">Chronický zánět v místě </w:t>
            </w:r>
            <w:r w:rsidR="00764926" w:rsidRPr="00AC187C">
              <w:rPr>
                <w:bCs/>
                <w:szCs w:val="22"/>
              </w:rPr>
              <w:t>injekčního podání</w:t>
            </w:r>
            <w:r w:rsidRPr="00F8117A">
              <w:rPr>
                <w:bCs/>
                <w:szCs w:val="22"/>
                <w:vertAlign w:val="superscript"/>
              </w:rPr>
              <w:t>1,2</w:t>
            </w:r>
          </w:p>
        </w:tc>
      </w:tr>
      <w:tr w:rsidR="004B2E5F" w:rsidRPr="00AC187C" w:rsidTr="00157B5B">
        <w:tc>
          <w:tcPr>
            <w:tcW w:w="1957" w:type="pct"/>
          </w:tcPr>
          <w:p w:rsidR="008C0DAF" w:rsidRPr="00F8117A" w:rsidRDefault="00F171A5" w:rsidP="008C0DAF">
            <w:pPr>
              <w:pStyle w:val="Default"/>
              <w:rPr>
                <w:sz w:val="22"/>
                <w:szCs w:val="22"/>
                <w:lang w:val="cs-CZ"/>
              </w:rPr>
            </w:pPr>
            <w:r w:rsidRPr="00F8117A">
              <w:rPr>
                <w:sz w:val="22"/>
                <w:szCs w:val="22"/>
                <w:lang w:val="cs-CZ"/>
              </w:rPr>
              <w:t xml:space="preserve">Velmi vzácné </w:t>
            </w:r>
          </w:p>
          <w:p w:rsidR="00311455" w:rsidRPr="00AC187C" w:rsidRDefault="008C0DAF" w:rsidP="00F8117A">
            <w:pPr>
              <w:rPr>
                <w:szCs w:val="22"/>
              </w:rPr>
            </w:pPr>
            <w:r w:rsidRPr="00AC187C">
              <w:rPr>
                <w:szCs w:val="22"/>
              </w:rPr>
              <w:t>(&lt; 1 zvíře / 10 000 ošetřených</w:t>
            </w:r>
            <w:r w:rsidR="00807146" w:rsidRPr="00AC187C">
              <w:rPr>
                <w:szCs w:val="22"/>
              </w:rPr>
              <w:t xml:space="preserve"> zvířat</w:t>
            </w:r>
            <w:r w:rsidRPr="00AC187C">
              <w:rPr>
                <w:szCs w:val="22"/>
              </w:rPr>
              <w:t xml:space="preserve"> </w:t>
            </w:r>
          </w:p>
          <w:p w:rsidR="004B2E5F" w:rsidRPr="00F8117A" w:rsidRDefault="008C0DAF" w:rsidP="00F8117A">
            <w:pPr>
              <w:rPr>
                <w:szCs w:val="22"/>
              </w:rPr>
            </w:pPr>
            <w:r w:rsidRPr="00AC187C">
              <w:rPr>
                <w:szCs w:val="22"/>
              </w:rPr>
              <w:t xml:space="preserve">včetně ojedinělých hlášení): </w:t>
            </w:r>
          </w:p>
        </w:tc>
        <w:tc>
          <w:tcPr>
            <w:tcW w:w="3043" w:type="pct"/>
          </w:tcPr>
          <w:p w:rsidR="00250246" w:rsidRPr="00F8117A" w:rsidRDefault="00250246" w:rsidP="00F8117A">
            <w:pPr>
              <w:rPr>
                <w:szCs w:val="22"/>
              </w:rPr>
            </w:pPr>
            <w:r w:rsidRPr="00F8117A">
              <w:rPr>
                <w:szCs w:val="22"/>
              </w:rPr>
              <w:t>Hypersenzitivní reakce</w:t>
            </w:r>
            <w:r w:rsidRPr="00F8117A">
              <w:rPr>
                <w:szCs w:val="22"/>
                <w:vertAlign w:val="superscript"/>
              </w:rPr>
              <w:t>3,4</w:t>
            </w:r>
            <w:r w:rsidRPr="00F8117A">
              <w:rPr>
                <w:szCs w:val="22"/>
              </w:rPr>
              <w:t xml:space="preserve">, </w:t>
            </w:r>
            <w:r w:rsidR="00807146" w:rsidRPr="00AC187C">
              <w:rPr>
                <w:szCs w:val="22"/>
              </w:rPr>
              <w:t>a</w:t>
            </w:r>
            <w:r w:rsidRPr="00F8117A">
              <w:rPr>
                <w:szCs w:val="22"/>
              </w:rPr>
              <w:t>lergická reakce</w:t>
            </w:r>
            <w:r w:rsidRPr="00F8117A">
              <w:rPr>
                <w:szCs w:val="22"/>
                <w:vertAlign w:val="superscript"/>
              </w:rPr>
              <w:t>4</w:t>
            </w:r>
            <w:r w:rsidRPr="00F8117A">
              <w:rPr>
                <w:szCs w:val="22"/>
              </w:rPr>
              <w:t xml:space="preserve">, alergická </w:t>
            </w:r>
          </w:p>
          <w:p w:rsidR="00250246" w:rsidRPr="00F8117A" w:rsidRDefault="00250246" w:rsidP="00F8117A">
            <w:pPr>
              <w:rPr>
                <w:szCs w:val="22"/>
              </w:rPr>
            </w:pPr>
            <w:r w:rsidRPr="00F8117A">
              <w:rPr>
                <w:szCs w:val="22"/>
              </w:rPr>
              <w:t>kožní reakce</w:t>
            </w:r>
            <w:r w:rsidRPr="00F8117A">
              <w:rPr>
                <w:szCs w:val="22"/>
                <w:vertAlign w:val="superscript"/>
              </w:rPr>
              <w:t>3</w:t>
            </w:r>
            <w:r w:rsidRPr="00F8117A">
              <w:rPr>
                <w:szCs w:val="22"/>
              </w:rPr>
              <w:t>, anafylaxe</w:t>
            </w:r>
            <w:r w:rsidRPr="00F8117A">
              <w:rPr>
                <w:szCs w:val="22"/>
                <w:vertAlign w:val="superscript"/>
              </w:rPr>
              <w:t>4</w:t>
            </w:r>
          </w:p>
          <w:p w:rsidR="00764926" w:rsidRPr="00AC187C" w:rsidRDefault="00250246">
            <w:pPr>
              <w:spacing w:before="60" w:after="60"/>
              <w:rPr>
                <w:bCs/>
                <w:szCs w:val="22"/>
              </w:rPr>
            </w:pPr>
            <w:r w:rsidRPr="00F8117A">
              <w:rPr>
                <w:bCs/>
                <w:szCs w:val="22"/>
              </w:rPr>
              <w:t xml:space="preserve">Edém v místě </w:t>
            </w:r>
            <w:r w:rsidR="00764926" w:rsidRPr="00AC187C">
              <w:rPr>
                <w:bCs/>
                <w:szCs w:val="22"/>
              </w:rPr>
              <w:t>injekčního podání</w:t>
            </w:r>
            <w:r w:rsidRPr="00F8117A">
              <w:rPr>
                <w:bCs/>
                <w:szCs w:val="22"/>
                <w:vertAlign w:val="superscript"/>
              </w:rPr>
              <w:t>5</w:t>
            </w:r>
            <w:r w:rsidRPr="00F8117A">
              <w:rPr>
                <w:bCs/>
                <w:szCs w:val="22"/>
              </w:rPr>
              <w:t xml:space="preserve">, otok v místě </w:t>
            </w:r>
            <w:r w:rsidR="00764926" w:rsidRPr="00AC187C">
              <w:rPr>
                <w:bCs/>
                <w:szCs w:val="22"/>
              </w:rPr>
              <w:t>injekčního</w:t>
            </w:r>
          </w:p>
          <w:p w:rsidR="004B2E5F" w:rsidRPr="00F8117A" w:rsidRDefault="00764926">
            <w:pPr>
              <w:spacing w:before="60" w:after="60"/>
              <w:rPr>
                <w:iCs/>
                <w:szCs w:val="22"/>
              </w:rPr>
            </w:pPr>
            <w:r w:rsidRPr="00AC187C">
              <w:rPr>
                <w:bCs/>
                <w:szCs w:val="22"/>
              </w:rPr>
              <w:t>podání</w:t>
            </w:r>
            <w:r w:rsidR="00250246" w:rsidRPr="00F8117A">
              <w:rPr>
                <w:bCs/>
                <w:szCs w:val="22"/>
                <w:vertAlign w:val="superscript"/>
              </w:rPr>
              <w:t>5</w:t>
            </w:r>
          </w:p>
        </w:tc>
      </w:tr>
    </w:tbl>
    <w:p w:rsidR="00250246" w:rsidRPr="00F8117A" w:rsidRDefault="00250246" w:rsidP="00250246">
      <w:pPr>
        <w:tabs>
          <w:tab w:val="left" w:pos="1590"/>
        </w:tabs>
        <w:jc w:val="both"/>
        <w:rPr>
          <w:bCs/>
          <w:szCs w:val="22"/>
        </w:rPr>
      </w:pPr>
      <w:r w:rsidRPr="00F8117A">
        <w:rPr>
          <w:bCs/>
          <w:szCs w:val="22"/>
          <w:vertAlign w:val="superscript"/>
        </w:rPr>
        <w:t xml:space="preserve">1 </w:t>
      </w:r>
      <w:r w:rsidRPr="00F8117A">
        <w:rPr>
          <w:bCs/>
          <w:szCs w:val="22"/>
        </w:rPr>
        <w:t xml:space="preserve">Mírná až střední </w:t>
      </w:r>
    </w:p>
    <w:p w:rsidR="00250246" w:rsidRPr="00F8117A" w:rsidRDefault="00250246" w:rsidP="00250246">
      <w:pPr>
        <w:tabs>
          <w:tab w:val="left" w:pos="1590"/>
        </w:tabs>
        <w:jc w:val="both"/>
        <w:rPr>
          <w:bCs/>
          <w:szCs w:val="22"/>
        </w:rPr>
      </w:pPr>
      <w:r w:rsidRPr="00F8117A">
        <w:rPr>
          <w:bCs/>
          <w:szCs w:val="22"/>
          <w:vertAlign w:val="superscript"/>
        </w:rPr>
        <w:t xml:space="preserve">2 </w:t>
      </w:r>
      <w:r w:rsidRPr="00F8117A">
        <w:rPr>
          <w:bCs/>
          <w:szCs w:val="22"/>
        </w:rPr>
        <w:t xml:space="preserve">Až 18 dní po </w:t>
      </w:r>
      <w:r w:rsidR="00764926" w:rsidRPr="00AC187C">
        <w:rPr>
          <w:bCs/>
          <w:szCs w:val="22"/>
        </w:rPr>
        <w:t xml:space="preserve"> injekčním podání</w:t>
      </w:r>
    </w:p>
    <w:p w:rsidR="00250246" w:rsidRPr="00F8117A" w:rsidRDefault="00250246" w:rsidP="00250246">
      <w:pPr>
        <w:tabs>
          <w:tab w:val="left" w:pos="1590"/>
        </w:tabs>
        <w:jc w:val="both"/>
        <w:rPr>
          <w:szCs w:val="22"/>
        </w:rPr>
      </w:pPr>
      <w:r w:rsidRPr="00F8117A">
        <w:rPr>
          <w:bCs/>
          <w:szCs w:val="22"/>
          <w:vertAlign w:val="superscript"/>
        </w:rPr>
        <w:t>3</w:t>
      </w:r>
      <w:r w:rsidRPr="00F8117A">
        <w:rPr>
          <w:szCs w:val="22"/>
        </w:rPr>
        <w:t xml:space="preserve"> Může se vyskytnout nezávisle na dávce. </w:t>
      </w:r>
    </w:p>
    <w:p w:rsidR="00250246" w:rsidRPr="00F8117A" w:rsidRDefault="00250246" w:rsidP="00250246">
      <w:pPr>
        <w:tabs>
          <w:tab w:val="left" w:pos="1590"/>
        </w:tabs>
        <w:jc w:val="both"/>
        <w:rPr>
          <w:szCs w:val="22"/>
        </w:rPr>
      </w:pPr>
      <w:r w:rsidRPr="00F8117A">
        <w:rPr>
          <w:szCs w:val="22"/>
          <w:vertAlign w:val="superscript"/>
        </w:rPr>
        <w:t xml:space="preserve">4 </w:t>
      </w:r>
      <w:r w:rsidRPr="00F8117A">
        <w:rPr>
          <w:szCs w:val="22"/>
        </w:rPr>
        <w:t>V takovém případě by měla být léčba ukončena.</w:t>
      </w:r>
    </w:p>
    <w:p w:rsidR="00250246" w:rsidRPr="00F8117A" w:rsidRDefault="00250246" w:rsidP="00250246">
      <w:pPr>
        <w:tabs>
          <w:tab w:val="left" w:pos="1590"/>
        </w:tabs>
        <w:jc w:val="both"/>
        <w:rPr>
          <w:szCs w:val="22"/>
        </w:rPr>
      </w:pPr>
      <w:r w:rsidRPr="00F8117A">
        <w:rPr>
          <w:szCs w:val="22"/>
          <w:vertAlign w:val="superscript"/>
        </w:rPr>
        <w:t xml:space="preserve">5 </w:t>
      </w:r>
      <w:r w:rsidRPr="00F8117A">
        <w:rPr>
          <w:szCs w:val="22"/>
        </w:rPr>
        <w:t>Po subkutánní</w:t>
      </w:r>
      <w:r w:rsidR="00764926" w:rsidRPr="00AC187C">
        <w:rPr>
          <w:szCs w:val="22"/>
        </w:rPr>
        <w:t>m injekčním podání</w:t>
      </w:r>
      <w:r w:rsidRPr="00F8117A">
        <w:rPr>
          <w:szCs w:val="22"/>
        </w:rPr>
        <w:t>.</w:t>
      </w:r>
    </w:p>
    <w:p w:rsidR="004B2E5F" w:rsidRPr="00AC187C" w:rsidRDefault="004B2E5F" w:rsidP="00F8117A">
      <w:pPr>
        <w:jc w:val="both"/>
      </w:pPr>
    </w:p>
    <w:p w:rsidR="00250246" w:rsidRPr="00AC187C" w:rsidRDefault="00250246" w:rsidP="00250246">
      <w:pPr>
        <w:jc w:val="both"/>
      </w:pPr>
      <w:r w:rsidRPr="00AC187C">
        <w:t>Hlášení nežádoucích účinků je důležité. Umožňuje nepřetržité sledování bezpečnosti veterinárního</w:t>
      </w:r>
    </w:p>
    <w:p w:rsidR="00250246" w:rsidRPr="00AC187C" w:rsidRDefault="00250246">
      <w:pPr>
        <w:jc w:val="both"/>
      </w:pPr>
      <w:r w:rsidRPr="00AC187C">
        <w:t xml:space="preserve">léčivého přípravku. Hlášení je třeba zaslat, pokud možno, prostřednictvím veterinárního lékaře, buď </w:t>
      </w:r>
    </w:p>
    <w:p w:rsidR="00250246" w:rsidRPr="00AC187C" w:rsidRDefault="00250246">
      <w:pPr>
        <w:jc w:val="both"/>
      </w:pPr>
      <w:r w:rsidRPr="00AC187C">
        <w:t xml:space="preserve">držiteli rozhodnutí o registraci, nebo jeho místnímu zástupci, nebo příslušnému vnitrostátnímu </w:t>
      </w:r>
    </w:p>
    <w:p w:rsidR="00250246" w:rsidRPr="00AC187C" w:rsidRDefault="00250246">
      <w:pPr>
        <w:jc w:val="both"/>
      </w:pPr>
      <w:r w:rsidRPr="00AC187C">
        <w:t xml:space="preserve">orgánu prostřednictvím národního systému hlášení. Podrobné kontaktní údaje naleznete v příbalové </w:t>
      </w:r>
    </w:p>
    <w:p w:rsidR="00250246" w:rsidRPr="00AC187C" w:rsidRDefault="00250246">
      <w:pPr>
        <w:jc w:val="both"/>
        <w:rPr>
          <w:szCs w:val="22"/>
        </w:rPr>
      </w:pPr>
      <w:r w:rsidRPr="00AC187C">
        <w:t>informaci.</w:t>
      </w:r>
    </w:p>
    <w:p w:rsidR="00E039C1" w:rsidRPr="00AC187C" w:rsidRDefault="00E039C1" w:rsidP="00E039C1">
      <w:pPr>
        <w:jc w:val="both"/>
        <w:rPr>
          <w:b/>
        </w:rPr>
      </w:pPr>
    </w:p>
    <w:p w:rsidR="00E039C1" w:rsidRPr="00AC187C" w:rsidRDefault="004B2E5F" w:rsidP="00E039C1">
      <w:pPr>
        <w:jc w:val="both"/>
      </w:pPr>
      <w:r w:rsidRPr="00AC187C">
        <w:rPr>
          <w:b/>
        </w:rPr>
        <w:t>3</w:t>
      </w:r>
      <w:r w:rsidR="00E039C1" w:rsidRPr="00AC187C">
        <w:rPr>
          <w:b/>
        </w:rPr>
        <w:t>.7</w:t>
      </w:r>
      <w:r w:rsidR="00E039C1" w:rsidRPr="00AC187C">
        <w:rPr>
          <w:b/>
        </w:rPr>
        <w:tab/>
        <w:t>Použití v průběhu březosti, laktace nebo snášky</w:t>
      </w:r>
    </w:p>
    <w:p w:rsidR="00FD434E" w:rsidRPr="00AC187C" w:rsidRDefault="00FD434E">
      <w:pPr>
        <w:rPr>
          <w:szCs w:val="22"/>
        </w:rPr>
      </w:pPr>
    </w:p>
    <w:p w:rsidR="00250246" w:rsidRPr="00F8117A" w:rsidRDefault="00250246" w:rsidP="00F8117A">
      <w:pPr>
        <w:rPr>
          <w:szCs w:val="22"/>
        </w:rPr>
      </w:pPr>
      <w:r w:rsidRPr="00F8117A">
        <w:rPr>
          <w:szCs w:val="22"/>
        </w:rPr>
        <w:t xml:space="preserve">Bezpečnost veterinárního léčivého přípravku nebyla během březosti stanovena. </w:t>
      </w:r>
    </w:p>
    <w:p w:rsidR="00764926" w:rsidRPr="00AC187C" w:rsidRDefault="00764926">
      <w:pPr>
        <w:rPr>
          <w:szCs w:val="22"/>
        </w:rPr>
      </w:pPr>
    </w:p>
    <w:p w:rsidR="00250246" w:rsidRPr="00F8117A" w:rsidRDefault="00250246" w:rsidP="00F8117A">
      <w:pPr>
        <w:rPr>
          <w:szCs w:val="22"/>
          <w:u w:val="single"/>
        </w:rPr>
      </w:pPr>
      <w:r w:rsidRPr="00F8117A">
        <w:rPr>
          <w:szCs w:val="22"/>
          <w:u w:val="single"/>
        </w:rPr>
        <w:t xml:space="preserve">Březost: </w:t>
      </w:r>
    </w:p>
    <w:p w:rsidR="00764926" w:rsidRPr="00AC187C" w:rsidRDefault="00250246">
      <w:pPr>
        <w:rPr>
          <w:szCs w:val="22"/>
        </w:rPr>
      </w:pPr>
      <w:r w:rsidRPr="00F8117A">
        <w:rPr>
          <w:szCs w:val="22"/>
        </w:rPr>
        <w:t>Laboratorní studie na zvířatech ne</w:t>
      </w:r>
      <w:r w:rsidR="00764926" w:rsidRPr="00AC187C">
        <w:rPr>
          <w:szCs w:val="22"/>
        </w:rPr>
        <w:t>podaly důkaz o</w:t>
      </w:r>
      <w:r w:rsidRPr="00F8117A">
        <w:rPr>
          <w:szCs w:val="22"/>
        </w:rPr>
        <w:t xml:space="preserve"> teratogenní</w:t>
      </w:r>
      <w:r w:rsidR="00764926" w:rsidRPr="00AC187C">
        <w:rPr>
          <w:szCs w:val="22"/>
        </w:rPr>
        <w:t>m a</w:t>
      </w:r>
      <w:r w:rsidRPr="00F8117A">
        <w:rPr>
          <w:szCs w:val="22"/>
        </w:rPr>
        <w:t xml:space="preserve"> </w:t>
      </w:r>
      <w:proofErr w:type="spellStart"/>
      <w:r w:rsidRPr="00F8117A">
        <w:rPr>
          <w:szCs w:val="22"/>
        </w:rPr>
        <w:t>fetotoxické</w:t>
      </w:r>
      <w:r w:rsidR="00764926" w:rsidRPr="00AC187C">
        <w:rPr>
          <w:szCs w:val="22"/>
        </w:rPr>
        <w:t>m</w:t>
      </w:r>
      <w:proofErr w:type="spellEnd"/>
      <w:r w:rsidRPr="00F8117A">
        <w:rPr>
          <w:szCs w:val="22"/>
        </w:rPr>
        <w:t xml:space="preserve"> </w:t>
      </w:r>
      <w:r w:rsidR="00764926" w:rsidRPr="00AC187C">
        <w:rPr>
          <w:szCs w:val="22"/>
        </w:rPr>
        <w:t xml:space="preserve">účinku ani </w:t>
      </w:r>
      <w:proofErr w:type="spellStart"/>
      <w:r w:rsidRPr="00F8117A">
        <w:rPr>
          <w:szCs w:val="22"/>
        </w:rPr>
        <w:t>matern</w:t>
      </w:r>
      <w:r w:rsidR="00764926" w:rsidRPr="00AC187C">
        <w:rPr>
          <w:szCs w:val="22"/>
        </w:rPr>
        <w:t>ální</w:t>
      </w:r>
      <w:proofErr w:type="spellEnd"/>
    </w:p>
    <w:p w:rsidR="00250246" w:rsidRPr="00F8117A" w:rsidRDefault="00764926" w:rsidP="00F8117A">
      <w:pPr>
        <w:rPr>
          <w:szCs w:val="22"/>
        </w:rPr>
      </w:pPr>
      <w:r w:rsidRPr="00AC187C">
        <w:rPr>
          <w:szCs w:val="22"/>
        </w:rPr>
        <w:t>toxicitě.</w:t>
      </w:r>
    </w:p>
    <w:p w:rsidR="00250246" w:rsidRPr="00F8117A" w:rsidRDefault="00250246" w:rsidP="00F8117A">
      <w:pPr>
        <w:rPr>
          <w:szCs w:val="22"/>
        </w:rPr>
      </w:pPr>
      <w:r w:rsidRPr="00F8117A">
        <w:rPr>
          <w:szCs w:val="22"/>
        </w:rPr>
        <w:t>Použí</w:t>
      </w:r>
      <w:r w:rsidR="00764926" w:rsidRPr="00AC187C">
        <w:rPr>
          <w:szCs w:val="22"/>
        </w:rPr>
        <w:t>t</w:t>
      </w:r>
      <w:r w:rsidRPr="00F8117A">
        <w:rPr>
          <w:szCs w:val="22"/>
        </w:rPr>
        <w:t xml:space="preserve"> pouze po zvážení poměru prospěchu a rizika příslušným veterinárním lékařem.</w:t>
      </w:r>
    </w:p>
    <w:p w:rsidR="00E039C1" w:rsidRPr="00AC187C" w:rsidRDefault="00E039C1" w:rsidP="00E039C1">
      <w:pPr>
        <w:jc w:val="both"/>
      </w:pPr>
    </w:p>
    <w:p w:rsidR="00E039C1" w:rsidRPr="00AC187C" w:rsidRDefault="004B2E5F" w:rsidP="00E039C1">
      <w:pPr>
        <w:jc w:val="both"/>
      </w:pPr>
      <w:r w:rsidRPr="00AC187C">
        <w:rPr>
          <w:b/>
        </w:rPr>
        <w:t>3</w:t>
      </w:r>
      <w:r w:rsidR="00E039C1" w:rsidRPr="00AC187C">
        <w:rPr>
          <w:b/>
        </w:rPr>
        <w:t>.8</w:t>
      </w:r>
      <w:r w:rsidR="00E039C1" w:rsidRPr="00AC187C">
        <w:rPr>
          <w:b/>
        </w:rPr>
        <w:tab/>
        <w:t>Interakce s dalšími léčivými přípravky a další formy interakce</w:t>
      </w:r>
    </w:p>
    <w:p w:rsidR="00FD434E" w:rsidRPr="00AC187C" w:rsidRDefault="00FD434E" w:rsidP="00E039C1">
      <w:pPr>
        <w:tabs>
          <w:tab w:val="left" w:pos="0"/>
        </w:tabs>
        <w:ind w:left="0" w:firstLine="0"/>
        <w:jc w:val="both"/>
      </w:pPr>
    </w:p>
    <w:p w:rsidR="00E039C1" w:rsidRPr="00AC187C" w:rsidRDefault="00E039C1" w:rsidP="00E039C1">
      <w:pPr>
        <w:tabs>
          <w:tab w:val="left" w:pos="0"/>
        </w:tabs>
        <w:ind w:left="0" w:firstLine="0"/>
        <w:jc w:val="both"/>
      </w:pPr>
      <w:r w:rsidRPr="00AC187C">
        <w:t xml:space="preserve">Baktericidní </w:t>
      </w:r>
      <w:r w:rsidR="00C46198" w:rsidRPr="00AC187C">
        <w:t xml:space="preserve">účinek </w:t>
      </w:r>
      <w:r w:rsidRPr="00AC187C">
        <w:t>beta-</w:t>
      </w:r>
      <w:proofErr w:type="spellStart"/>
      <w:r w:rsidRPr="00AC187C">
        <w:t>laktamových</w:t>
      </w:r>
      <w:proofErr w:type="spellEnd"/>
      <w:r w:rsidRPr="00AC187C">
        <w:t xml:space="preserve"> antibiotik </w:t>
      </w:r>
      <w:r w:rsidR="00764926" w:rsidRPr="00AC187C">
        <w:t xml:space="preserve">je neutralizován </w:t>
      </w:r>
      <w:r w:rsidRPr="00AC187C">
        <w:t>sou</w:t>
      </w:r>
      <w:r w:rsidR="00764926" w:rsidRPr="00AC187C">
        <w:t>běžným</w:t>
      </w:r>
      <w:r w:rsidRPr="00AC187C">
        <w:t xml:space="preserve"> po</w:t>
      </w:r>
      <w:r w:rsidR="00764926" w:rsidRPr="00AC187C">
        <w:t>dáním</w:t>
      </w:r>
      <w:r w:rsidRPr="00AC187C">
        <w:t xml:space="preserve"> bakteriostatických antibiotik (</w:t>
      </w:r>
      <w:proofErr w:type="spellStart"/>
      <w:r w:rsidRPr="00AC187C">
        <w:t>makrolidů</w:t>
      </w:r>
      <w:proofErr w:type="spellEnd"/>
      <w:r w:rsidRPr="00AC187C">
        <w:t>, sulfonamidů a tetracyklinů).</w:t>
      </w:r>
    </w:p>
    <w:p w:rsidR="00E039C1" w:rsidRPr="00AC187C" w:rsidRDefault="00E039C1" w:rsidP="00E039C1">
      <w:pPr>
        <w:tabs>
          <w:tab w:val="left" w:pos="0"/>
        </w:tabs>
        <w:ind w:left="0" w:firstLine="0"/>
        <w:jc w:val="both"/>
      </w:pPr>
      <w:r w:rsidRPr="00AC187C">
        <w:t>Aminoglykosidy mohou potencovat účinek cefalosporinů.</w:t>
      </w:r>
    </w:p>
    <w:p w:rsidR="00E039C1" w:rsidRPr="00AC187C" w:rsidRDefault="00E039C1" w:rsidP="00E039C1">
      <w:pPr>
        <w:jc w:val="both"/>
      </w:pPr>
    </w:p>
    <w:p w:rsidR="00E039C1" w:rsidRPr="00AC187C" w:rsidRDefault="004B2E5F" w:rsidP="00E039C1">
      <w:pPr>
        <w:jc w:val="both"/>
      </w:pPr>
      <w:r w:rsidRPr="00AC187C">
        <w:rPr>
          <w:b/>
        </w:rPr>
        <w:t>3</w:t>
      </w:r>
      <w:r w:rsidR="00E039C1" w:rsidRPr="00AC187C">
        <w:rPr>
          <w:b/>
        </w:rPr>
        <w:t>.9</w:t>
      </w:r>
      <w:r w:rsidR="00E039C1" w:rsidRPr="00AC187C">
        <w:rPr>
          <w:b/>
        </w:rPr>
        <w:tab/>
      </w:r>
      <w:r w:rsidR="00E578BA" w:rsidRPr="00AC187C">
        <w:rPr>
          <w:b/>
          <w:bCs/>
          <w:szCs w:val="22"/>
        </w:rPr>
        <w:t>Cesty podání a dávkování</w:t>
      </w:r>
    </w:p>
    <w:p w:rsidR="00FD434E" w:rsidRPr="00AC187C" w:rsidRDefault="00FD434E" w:rsidP="00E039C1">
      <w:pPr>
        <w:autoSpaceDE w:val="0"/>
        <w:ind w:left="0" w:firstLine="0"/>
        <w:jc w:val="both"/>
      </w:pPr>
    </w:p>
    <w:p w:rsidR="00E039C1" w:rsidRPr="00AC187C" w:rsidRDefault="00E039C1" w:rsidP="00E039C1">
      <w:pPr>
        <w:autoSpaceDE w:val="0"/>
        <w:ind w:left="0" w:firstLine="0"/>
        <w:jc w:val="both"/>
      </w:pPr>
      <w:r w:rsidRPr="00AC187C">
        <w:t>Prasata:</w:t>
      </w:r>
    </w:p>
    <w:p w:rsidR="00E039C1" w:rsidRPr="00AC187C" w:rsidRDefault="00E039C1" w:rsidP="00E039C1">
      <w:pPr>
        <w:autoSpaceDE w:val="0"/>
        <w:ind w:left="0" w:firstLine="0"/>
        <w:jc w:val="both"/>
      </w:pPr>
      <w:r w:rsidRPr="00AC187C">
        <w:t>Intramuskulární podání.</w:t>
      </w:r>
    </w:p>
    <w:p w:rsidR="00E039C1" w:rsidRPr="00AC187C" w:rsidRDefault="00E039C1" w:rsidP="00E039C1">
      <w:pPr>
        <w:autoSpaceDE w:val="0"/>
        <w:ind w:left="0" w:firstLine="0"/>
        <w:jc w:val="both"/>
        <w:rPr>
          <w:szCs w:val="22"/>
        </w:rPr>
      </w:pPr>
      <w:r w:rsidRPr="00AC187C">
        <w:t xml:space="preserve">3 mg </w:t>
      </w:r>
      <w:proofErr w:type="spellStart"/>
      <w:r w:rsidRPr="00AC187C">
        <w:t>ceftiofuru</w:t>
      </w:r>
      <w:proofErr w:type="spellEnd"/>
      <w:r w:rsidRPr="00AC187C">
        <w:t>/kg ž.hm./den</w:t>
      </w:r>
      <w:r w:rsidR="0080131A" w:rsidRPr="00AC187C">
        <w:t xml:space="preserve">, po 3 po sobě jdoucí dny, </w:t>
      </w:r>
      <w:r w:rsidRPr="00AC187C">
        <w:t xml:space="preserve">což odpovídá 1 ml veterinárního léčivého přípravku/16 kg ž.hm při každém podání. </w:t>
      </w:r>
    </w:p>
    <w:p w:rsidR="00E039C1" w:rsidRPr="00AC187C" w:rsidRDefault="00E039C1" w:rsidP="00E039C1">
      <w:pPr>
        <w:autoSpaceDE w:val="0"/>
        <w:ind w:left="0" w:firstLine="0"/>
        <w:jc w:val="both"/>
        <w:rPr>
          <w:szCs w:val="22"/>
        </w:rPr>
      </w:pPr>
      <w:r w:rsidRPr="00AC187C">
        <w:rPr>
          <w:szCs w:val="22"/>
        </w:rPr>
        <w:t>Maximální doporučený objem aplikovaný do jednoho místa injekčního podání je 5,4 ml.</w:t>
      </w:r>
    </w:p>
    <w:p w:rsidR="00E039C1" w:rsidRPr="00AC187C" w:rsidRDefault="00E039C1" w:rsidP="00E039C1">
      <w:pPr>
        <w:autoSpaceDE w:val="0"/>
        <w:ind w:left="0" w:firstLine="0"/>
        <w:jc w:val="both"/>
      </w:pPr>
    </w:p>
    <w:p w:rsidR="00E039C1" w:rsidRPr="00AC187C" w:rsidRDefault="00E039C1" w:rsidP="00E039C1">
      <w:pPr>
        <w:autoSpaceDE w:val="0"/>
        <w:ind w:left="0" w:firstLine="0"/>
        <w:jc w:val="both"/>
      </w:pPr>
      <w:r w:rsidRPr="00AC187C">
        <w:t>Skot:</w:t>
      </w:r>
    </w:p>
    <w:p w:rsidR="00E039C1" w:rsidRPr="00AC187C" w:rsidRDefault="00E039C1" w:rsidP="00E039C1">
      <w:pPr>
        <w:autoSpaceDE w:val="0"/>
        <w:ind w:left="0" w:firstLine="0"/>
        <w:jc w:val="both"/>
      </w:pPr>
      <w:r w:rsidRPr="00AC187C">
        <w:t>Subkutánní podání.</w:t>
      </w:r>
    </w:p>
    <w:p w:rsidR="00E039C1" w:rsidRPr="00AC187C" w:rsidRDefault="00E039C1" w:rsidP="00E039C1">
      <w:pPr>
        <w:autoSpaceDE w:val="0"/>
        <w:ind w:left="0" w:firstLine="0"/>
        <w:jc w:val="both"/>
      </w:pPr>
      <w:r w:rsidRPr="00AC187C">
        <w:t xml:space="preserve">Respirační onemocnění: 1 mg </w:t>
      </w:r>
      <w:proofErr w:type="spellStart"/>
      <w:r w:rsidRPr="00AC187C">
        <w:t>ceftiofuru</w:t>
      </w:r>
      <w:proofErr w:type="spellEnd"/>
      <w:r w:rsidRPr="00AC187C">
        <w:t>/kg ž.hm./den</w:t>
      </w:r>
      <w:r w:rsidR="0080131A" w:rsidRPr="00AC187C">
        <w:t xml:space="preserve">, </w:t>
      </w:r>
      <w:r w:rsidRPr="00AC187C">
        <w:t>po dobu 3 až 5 po sobě jdoucích dnů, což odpovídá 1 ml veterinárního léčivého přípravku/50 kg ž.hm. při každém podání.</w:t>
      </w:r>
    </w:p>
    <w:p w:rsidR="00E039C1" w:rsidRPr="00AC187C" w:rsidRDefault="00E039C1" w:rsidP="00E039C1">
      <w:pPr>
        <w:autoSpaceDE w:val="0"/>
        <w:ind w:left="0" w:firstLine="0"/>
        <w:jc w:val="both"/>
      </w:pPr>
      <w:r w:rsidRPr="00AC187C">
        <w:t xml:space="preserve">Akutní </w:t>
      </w:r>
      <w:proofErr w:type="spellStart"/>
      <w:r w:rsidRPr="00AC187C">
        <w:t>interdigitální</w:t>
      </w:r>
      <w:proofErr w:type="spellEnd"/>
      <w:r w:rsidRPr="00AC187C">
        <w:t xml:space="preserve"> </w:t>
      </w:r>
      <w:proofErr w:type="spellStart"/>
      <w:r w:rsidRPr="00AC187C">
        <w:t>nekrobacilóza</w:t>
      </w:r>
      <w:proofErr w:type="spellEnd"/>
      <w:r w:rsidRPr="00AC187C">
        <w:t xml:space="preserve">: 1 mg </w:t>
      </w:r>
      <w:proofErr w:type="spellStart"/>
      <w:r w:rsidRPr="00AC187C">
        <w:t>ceftiofuru</w:t>
      </w:r>
      <w:proofErr w:type="spellEnd"/>
      <w:r w:rsidRPr="00AC187C">
        <w:t>/kg ž.hm./den</w:t>
      </w:r>
      <w:r w:rsidR="0080131A" w:rsidRPr="00AC187C">
        <w:t xml:space="preserve">, </w:t>
      </w:r>
      <w:r w:rsidRPr="00AC187C">
        <w:t>po dobu 3 po sobě jdoucích dnů, což odpovídá 1 ml veterinárního léčivého přípravku/50 kg ž. hm. při každém podání.</w:t>
      </w:r>
    </w:p>
    <w:p w:rsidR="00E039C1" w:rsidRPr="00AC187C" w:rsidRDefault="00E039C1" w:rsidP="00E039C1">
      <w:pPr>
        <w:autoSpaceDE w:val="0"/>
        <w:ind w:left="0" w:firstLine="0"/>
        <w:jc w:val="both"/>
      </w:pPr>
      <w:r w:rsidRPr="00AC187C">
        <w:t xml:space="preserve">Akutní poporodní metritida do 10 dnů po otelení: 1 mg </w:t>
      </w:r>
      <w:proofErr w:type="spellStart"/>
      <w:r w:rsidRPr="00AC187C">
        <w:t>ceftiofuru</w:t>
      </w:r>
      <w:proofErr w:type="spellEnd"/>
      <w:r w:rsidRPr="00AC187C">
        <w:t>/kg ž.hm./den</w:t>
      </w:r>
      <w:r w:rsidR="0080131A" w:rsidRPr="00AC187C">
        <w:t xml:space="preserve">, </w:t>
      </w:r>
      <w:r w:rsidRPr="00AC187C">
        <w:t>po dobu 5 po sobě jdoucích dnů, což odpovídá 1 ml veterinárního léčivého přípravku/50 kg ž. hm. při každém podání.</w:t>
      </w:r>
    </w:p>
    <w:p w:rsidR="00E039C1" w:rsidRPr="00AC187C" w:rsidRDefault="00E039C1" w:rsidP="00E039C1">
      <w:pPr>
        <w:autoSpaceDE w:val="0"/>
        <w:ind w:left="0" w:firstLine="0"/>
        <w:jc w:val="both"/>
      </w:pPr>
    </w:p>
    <w:p w:rsidR="00E039C1" w:rsidRPr="00AC187C" w:rsidRDefault="00E039C1" w:rsidP="00E039C1">
      <w:pPr>
        <w:autoSpaceDE w:val="0"/>
        <w:ind w:left="0" w:firstLine="0"/>
        <w:jc w:val="both"/>
        <w:rPr>
          <w:szCs w:val="22"/>
        </w:rPr>
      </w:pPr>
      <w:r w:rsidRPr="00AC187C">
        <w:rPr>
          <w:szCs w:val="22"/>
        </w:rPr>
        <w:t xml:space="preserve">Maximální doporučený objem aplikovaný do jednoho místa injekčního podání je </w:t>
      </w:r>
      <w:r w:rsidRPr="00AC187C">
        <w:t xml:space="preserve">6,8 ml. </w:t>
      </w:r>
      <w:r w:rsidR="0080131A" w:rsidRPr="00AC187C">
        <w:t xml:space="preserve">Následující </w:t>
      </w:r>
      <w:r w:rsidRPr="00AC187C">
        <w:t xml:space="preserve">injekce musí být </w:t>
      </w:r>
      <w:r w:rsidR="0080131A" w:rsidRPr="00AC187C">
        <w:t xml:space="preserve">podány do </w:t>
      </w:r>
      <w:r w:rsidRPr="00AC187C">
        <w:t>různ</w:t>
      </w:r>
      <w:r w:rsidR="0080131A" w:rsidRPr="00AC187C">
        <w:t>ých</w:t>
      </w:r>
      <w:r w:rsidRPr="00AC187C">
        <w:t xml:space="preserve"> míst.</w:t>
      </w:r>
    </w:p>
    <w:p w:rsidR="00E039C1" w:rsidRPr="00AC187C" w:rsidRDefault="00E039C1" w:rsidP="00E039C1">
      <w:pPr>
        <w:autoSpaceDE w:val="0"/>
        <w:ind w:left="0" w:firstLine="0"/>
        <w:jc w:val="both"/>
      </w:pPr>
    </w:p>
    <w:p w:rsidR="00E039C1" w:rsidRPr="00AC187C" w:rsidRDefault="00E039C1" w:rsidP="00E039C1">
      <w:pPr>
        <w:autoSpaceDE w:val="0"/>
        <w:ind w:left="0" w:firstLine="0"/>
        <w:jc w:val="both"/>
      </w:pPr>
      <w:r w:rsidRPr="00AC187C">
        <w:t>V případě akutní poporodní metritidy může být v některých případech vyžadována dodatečná podpůrná léčba.</w:t>
      </w:r>
    </w:p>
    <w:p w:rsidR="00E039C1" w:rsidRPr="00AC187C" w:rsidRDefault="00E039C1" w:rsidP="00E039C1">
      <w:pPr>
        <w:autoSpaceDE w:val="0"/>
        <w:ind w:left="0" w:firstLine="0"/>
        <w:jc w:val="both"/>
      </w:pPr>
    </w:p>
    <w:p w:rsidR="00E039C1" w:rsidRPr="00AC187C" w:rsidRDefault="00E039C1" w:rsidP="00E039C1">
      <w:pPr>
        <w:ind w:left="0" w:firstLine="0"/>
        <w:jc w:val="both"/>
        <w:rPr>
          <w:rFonts w:cs="Arial"/>
        </w:rPr>
      </w:pPr>
      <w:r w:rsidRPr="00AC187C">
        <w:lastRenderedPageBreak/>
        <w:t>Lahvičku s veterinárním léčivým přípravkem před použitím důkladně protřepejte, a to po dobu nutnou k vytvoření homogenní suspenze.</w:t>
      </w:r>
    </w:p>
    <w:p w:rsidR="00E039C1" w:rsidRPr="00AC187C" w:rsidRDefault="00E039C1" w:rsidP="00E039C1">
      <w:pPr>
        <w:ind w:left="0" w:firstLine="0"/>
        <w:jc w:val="both"/>
      </w:pPr>
      <w:r w:rsidRPr="00AC187C">
        <w:t>Nepropichujte zátku více než 50krát.</w:t>
      </w:r>
    </w:p>
    <w:p w:rsidR="00E039C1" w:rsidRPr="00AC187C" w:rsidRDefault="00E039C1" w:rsidP="00E039C1">
      <w:pPr>
        <w:ind w:left="0" w:firstLine="0"/>
        <w:jc w:val="both"/>
        <w:rPr>
          <w:rFonts w:cs="Arial"/>
        </w:rPr>
      </w:pPr>
      <w:r w:rsidRPr="00AC187C">
        <w:t>Pro určení správné dávky je nutné stanovit živou hmotnost co nejpřesněji, aby nedošlo k </w:t>
      </w:r>
      <w:proofErr w:type="spellStart"/>
      <w:r w:rsidRPr="00AC187C">
        <w:t>poddávkování</w:t>
      </w:r>
      <w:proofErr w:type="spellEnd"/>
      <w:r w:rsidRPr="00AC187C">
        <w:t>.</w:t>
      </w:r>
    </w:p>
    <w:p w:rsidR="00E039C1" w:rsidRPr="00AC187C" w:rsidRDefault="00E039C1" w:rsidP="00E039C1">
      <w:pPr>
        <w:tabs>
          <w:tab w:val="left" w:pos="426"/>
        </w:tabs>
        <w:autoSpaceDE w:val="0"/>
        <w:jc w:val="both"/>
        <w:rPr>
          <w:szCs w:val="22"/>
        </w:rPr>
      </w:pPr>
    </w:p>
    <w:p w:rsidR="00E039C1" w:rsidRPr="00AC187C" w:rsidRDefault="00E578BA" w:rsidP="00FD434E">
      <w:pPr>
        <w:pStyle w:val="Zkladntextodsazen"/>
        <w:keepNext/>
        <w:ind w:left="284" w:hanging="284"/>
        <w:jc w:val="both"/>
        <w:rPr>
          <w:b/>
        </w:rPr>
      </w:pPr>
      <w:r w:rsidRPr="00AC187C">
        <w:rPr>
          <w:b/>
        </w:rPr>
        <w:t>3</w:t>
      </w:r>
      <w:r w:rsidR="00E039C1" w:rsidRPr="00AC187C">
        <w:rPr>
          <w:b/>
        </w:rPr>
        <w:t>.10</w:t>
      </w:r>
      <w:r w:rsidR="00E039C1" w:rsidRPr="00AC187C">
        <w:rPr>
          <w:b/>
        </w:rPr>
        <w:tab/>
      </w:r>
      <w:r w:rsidRPr="00AC187C">
        <w:rPr>
          <w:b/>
          <w:bCs/>
          <w:szCs w:val="22"/>
        </w:rPr>
        <w:t xml:space="preserve">Příznaky předávkování (a kde je relevantní, první pomoc a </w:t>
      </w:r>
      <w:proofErr w:type="spellStart"/>
      <w:r w:rsidRPr="00AC187C">
        <w:rPr>
          <w:b/>
          <w:bCs/>
          <w:szCs w:val="22"/>
        </w:rPr>
        <w:t>antidota</w:t>
      </w:r>
      <w:proofErr w:type="spellEnd"/>
      <w:r w:rsidRPr="00AC187C">
        <w:rPr>
          <w:b/>
          <w:bCs/>
          <w:szCs w:val="22"/>
        </w:rPr>
        <w:t>)</w:t>
      </w:r>
    </w:p>
    <w:p w:rsidR="00FD434E" w:rsidRPr="00AC187C" w:rsidRDefault="00FD434E" w:rsidP="00FD434E">
      <w:pPr>
        <w:keepNext/>
        <w:tabs>
          <w:tab w:val="left" w:pos="1125"/>
        </w:tabs>
        <w:ind w:left="0" w:firstLine="0"/>
        <w:jc w:val="both"/>
      </w:pPr>
    </w:p>
    <w:p w:rsidR="00E039C1" w:rsidRPr="00AC187C" w:rsidRDefault="0080131A" w:rsidP="00E039C1">
      <w:pPr>
        <w:tabs>
          <w:tab w:val="left" w:pos="1125"/>
        </w:tabs>
        <w:ind w:left="0" w:firstLine="0"/>
        <w:jc w:val="both"/>
      </w:pPr>
      <w:r w:rsidRPr="00AC187C">
        <w:t>U</w:t>
      </w:r>
      <w:r w:rsidR="00E039C1" w:rsidRPr="00AC187C">
        <w:t xml:space="preserve"> prasat při použití sodné soli </w:t>
      </w:r>
      <w:proofErr w:type="spellStart"/>
      <w:r w:rsidR="00E039C1" w:rsidRPr="00AC187C">
        <w:t>ceftiofuru</w:t>
      </w:r>
      <w:proofErr w:type="spellEnd"/>
      <w:r w:rsidR="00E039C1" w:rsidRPr="00AC187C">
        <w:t xml:space="preserve"> v dávce převyšující 8násobek doporučené dávky </w:t>
      </w:r>
      <w:proofErr w:type="spellStart"/>
      <w:r w:rsidR="00E039C1" w:rsidRPr="00AC187C">
        <w:t>ceftiofuru</w:t>
      </w:r>
      <w:proofErr w:type="spellEnd"/>
      <w:r w:rsidR="00E039C1" w:rsidRPr="00AC187C">
        <w:t>, podaného intramuskulárně po dobu 15 po sobě jdoucích dnů</w:t>
      </w:r>
      <w:r w:rsidRPr="00AC187C">
        <w:t xml:space="preserve"> byla prokázána nízká toxicita.</w:t>
      </w:r>
    </w:p>
    <w:p w:rsidR="00E039C1" w:rsidRPr="00AC187C" w:rsidRDefault="00E039C1" w:rsidP="00E039C1">
      <w:pPr>
        <w:tabs>
          <w:tab w:val="left" w:pos="1125"/>
        </w:tabs>
        <w:ind w:left="0" w:firstLine="0"/>
        <w:jc w:val="both"/>
      </w:pPr>
      <w:r w:rsidRPr="00AC187C">
        <w:t xml:space="preserve">U skotu nebyly po výrazném parenterálním předávkování pozorovány žádné příznaky systémové toxicity. </w:t>
      </w:r>
    </w:p>
    <w:p w:rsidR="00E039C1" w:rsidRPr="00AC187C" w:rsidRDefault="00E039C1" w:rsidP="00E039C1">
      <w:pPr>
        <w:tabs>
          <w:tab w:val="left" w:pos="1125"/>
        </w:tabs>
        <w:jc w:val="both"/>
      </w:pPr>
    </w:p>
    <w:p w:rsidR="00E578BA" w:rsidRPr="00AC187C" w:rsidRDefault="00E578BA" w:rsidP="00E578BA">
      <w:pPr>
        <w:tabs>
          <w:tab w:val="left" w:pos="1125"/>
        </w:tabs>
        <w:jc w:val="both"/>
        <w:rPr>
          <w:b/>
          <w:bCs/>
          <w:szCs w:val="22"/>
        </w:rPr>
      </w:pPr>
      <w:r w:rsidRPr="00F8117A">
        <w:rPr>
          <w:b/>
        </w:rPr>
        <w:t>3.11</w:t>
      </w:r>
      <w:r w:rsidRPr="00AC187C">
        <w:tab/>
      </w:r>
      <w:r w:rsidRPr="00AC187C">
        <w:rPr>
          <w:b/>
          <w:bCs/>
          <w:szCs w:val="22"/>
        </w:rPr>
        <w:t xml:space="preserve">Zvláštní omezení pro použití a zvláštní podmínky pro použití, včetně omezení používání antimikrobních a </w:t>
      </w:r>
      <w:proofErr w:type="spellStart"/>
      <w:r w:rsidRPr="00AC187C">
        <w:rPr>
          <w:b/>
          <w:bCs/>
          <w:szCs w:val="22"/>
        </w:rPr>
        <w:t>antiparazitárních</w:t>
      </w:r>
      <w:proofErr w:type="spellEnd"/>
      <w:r w:rsidRPr="00AC187C">
        <w:rPr>
          <w:b/>
          <w:bCs/>
          <w:szCs w:val="22"/>
        </w:rPr>
        <w:t xml:space="preserve"> veterinárních léčivých přípravků, za účelem snížení rizika rozvoje rezistence</w:t>
      </w:r>
    </w:p>
    <w:p w:rsidR="00E578BA" w:rsidRPr="00AC187C" w:rsidRDefault="00E578BA" w:rsidP="00E578BA">
      <w:pPr>
        <w:tabs>
          <w:tab w:val="left" w:pos="1125"/>
        </w:tabs>
        <w:jc w:val="both"/>
      </w:pPr>
    </w:p>
    <w:p w:rsidR="00286D50" w:rsidRPr="00AC187C" w:rsidRDefault="00286D50" w:rsidP="00286D50">
      <w:pPr>
        <w:tabs>
          <w:tab w:val="left" w:pos="1125"/>
        </w:tabs>
        <w:jc w:val="both"/>
        <w:rPr>
          <w:szCs w:val="22"/>
        </w:rPr>
      </w:pPr>
      <w:r w:rsidRPr="00AC187C">
        <w:rPr>
          <w:szCs w:val="22"/>
        </w:rPr>
        <w:t>Neuplatňuje se.</w:t>
      </w:r>
    </w:p>
    <w:p w:rsidR="00286D50" w:rsidRPr="00AC187C" w:rsidRDefault="00286D50" w:rsidP="00286D50">
      <w:pPr>
        <w:tabs>
          <w:tab w:val="left" w:pos="1125"/>
        </w:tabs>
        <w:jc w:val="both"/>
      </w:pPr>
    </w:p>
    <w:p w:rsidR="00E039C1" w:rsidRPr="00AC187C" w:rsidRDefault="00E578BA" w:rsidP="00E039C1">
      <w:pPr>
        <w:jc w:val="both"/>
      </w:pPr>
      <w:r w:rsidRPr="00AC187C">
        <w:rPr>
          <w:b/>
        </w:rPr>
        <w:t>3</w:t>
      </w:r>
      <w:r w:rsidR="00E039C1" w:rsidRPr="00AC187C">
        <w:rPr>
          <w:b/>
        </w:rPr>
        <w:t>.1</w:t>
      </w:r>
      <w:r w:rsidRPr="00AC187C">
        <w:rPr>
          <w:b/>
        </w:rPr>
        <w:t>2</w:t>
      </w:r>
      <w:r w:rsidR="00E039C1" w:rsidRPr="00AC187C">
        <w:rPr>
          <w:b/>
        </w:rPr>
        <w:tab/>
        <w:t>Ochranné lhůty</w:t>
      </w:r>
    </w:p>
    <w:p w:rsidR="00FD434E" w:rsidRPr="00AC187C" w:rsidRDefault="00FD434E" w:rsidP="00E039C1"/>
    <w:p w:rsidR="00E039C1" w:rsidRPr="00AC187C" w:rsidRDefault="00E039C1" w:rsidP="00E039C1">
      <w:r w:rsidRPr="00AC187C">
        <w:t xml:space="preserve">Prasata: </w:t>
      </w:r>
    </w:p>
    <w:p w:rsidR="00E039C1" w:rsidRPr="00AC187C" w:rsidRDefault="00E039C1" w:rsidP="00E039C1">
      <w:pPr>
        <w:numPr>
          <w:ilvl w:val="0"/>
          <w:numId w:val="40"/>
        </w:numPr>
      </w:pPr>
      <w:r w:rsidRPr="00AC187C">
        <w:t>Maso: 5 dnů</w:t>
      </w:r>
    </w:p>
    <w:p w:rsidR="00E039C1" w:rsidRPr="00AC187C" w:rsidRDefault="00E039C1" w:rsidP="00E039C1">
      <w:pPr>
        <w:jc w:val="both"/>
      </w:pPr>
      <w:r w:rsidRPr="00AC187C">
        <w:t xml:space="preserve">Skot: </w:t>
      </w:r>
    </w:p>
    <w:p w:rsidR="00E039C1" w:rsidRPr="00AC187C" w:rsidRDefault="00E039C1" w:rsidP="00E039C1">
      <w:pPr>
        <w:numPr>
          <w:ilvl w:val="0"/>
          <w:numId w:val="40"/>
        </w:numPr>
      </w:pPr>
      <w:r w:rsidRPr="00AC187C">
        <w:t>Maso: 6 dnů</w:t>
      </w:r>
    </w:p>
    <w:p w:rsidR="00E039C1" w:rsidRPr="00AC187C" w:rsidRDefault="00E039C1" w:rsidP="00E039C1">
      <w:pPr>
        <w:numPr>
          <w:ilvl w:val="0"/>
          <w:numId w:val="40"/>
        </w:numPr>
      </w:pPr>
      <w:r w:rsidRPr="00AC187C">
        <w:t>Mléko: Bez ochranných lhůt.</w:t>
      </w:r>
    </w:p>
    <w:p w:rsidR="00E039C1" w:rsidRPr="00AC187C" w:rsidRDefault="00E039C1" w:rsidP="00E039C1">
      <w:pPr>
        <w:jc w:val="both"/>
        <w:rPr>
          <w:b/>
        </w:rPr>
      </w:pPr>
    </w:p>
    <w:p w:rsidR="00FD434E" w:rsidRPr="00AC187C" w:rsidRDefault="00FD434E" w:rsidP="00E039C1">
      <w:pPr>
        <w:jc w:val="both"/>
        <w:rPr>
          <w:b/>
        </w:rPr>
      </w:pPr>
    </w:p>
    <w:p w:rsidR="00E039C1" w:rsidRPr="00AC187C" w:rsidRDefault="00E578BA" w:rsidP="00FD434E">
      <w:pPr>
        <w:keepNext/>
        <w:jc w:val="both"/>
      </w:pPr>
      <w:r w:rsidRPr="00AC187C">
        <w:rPr>
          <w:b/>
        </w:rPr>
        <w:t>4</w:t>
      </w:r>
      <w:r w:rsidR="00E039C1" w:rsidRPr="00AC187C">
        <w:rPr>
          <w:b/>
        </w:rPr>
        <w:t>.</w:t>
      </w:r>
      <w:r w:rsidR="00E039C1" w:rsidRPr="00AC187C">
        <w:rPr>
          <w:b/>
        </w:rPr>
        <w:tab/>
        <w:t xml:space="preserve">FARMAKOLOGICKÉ </w:t>
      </w:r>
      <w:r w:rsidRPr="00AC187C">
        <w:rPr>
          <w:b/>
          <w:bCs/>
          <w:szCs w:val="22"/>
        </w:rPr>
        <w:t>INFORMACE</w:t>
      </w:r>
    </w:p>
    <w:p w:rsidR="00FD434E" w:rsidRPr="00AC187C" w:rsidRDefault="00FD434E" w:rsidP="00FD434E">
      <w:pPr>
        <w:keepNext/>
        <w:ind w:left="0" w:firstLine="0"/>
        <w:jc w:val="both"/>
      </w:pPr>
    </w:p>
    <w:p w:rsidR="00E039C1" w:rsidRPr="00AC187C" w:rsidRDefault="00FD434E" w:rsidP="00FD434E">
      <w:pPr>
        <w:keepNext/>
        <w:ind w:left="0" w:firstLine="0"/>
        <w:jc w:val="both"/>
      </w:pPr>
      <w:r w:rsidRPr="00AC187C">
        <w:rPr>
          <w:b/>
        </w:rPr>
        <w:t>4.1</w:t>
      </w:r>
      <w:r w:rsidRPr="00AC187C">
        <w:rPr>
          <w:b/>
        </w:rPr>
        <w:tab/>
      </w:r>
      <w:proofErr w:type="spellStart"/>
      <w:r w:rsidR="00E039C1" w:rsidRPr="00F8117A">
        <w:rPr>
          <w:b/>
        </w:rPr>
        <w:t>ATCvet</w:t>
      </w:r>
      <w:proofErr w:type="spellEnd"/>
      <w:r w:rsidR="00E039C1" w:rsidRPr="00F8117A">
        <w:rPr>
          <w:b/>
        </w:rPr>
        <w:t xml:space="preserve"> kód:</w:t>
      </w:r>
      <w:r w:rsidR="00E039C1" w:rsidRPr="00AC187C">
        <w:t xml:space="preserve"> QJ01DD90</w:t>
      </w:r>
    </w:p>
    <w:p w:rsidR="00E039C1" w:rsidRPr="00AC187C" w:rsidRDefault="00E039C1" w:rsidP="00FD434E">
      <w:pPr>
        <w:keepNext/>
        <w:jc w:val="both"/>
      </w:pPr>
    </w:p>
    <w:p w:rsidR="00FD434E" w:rsidRPr="00AC187C" w:rsidRDefault="00E578BA" w:rsidP="00FD434E">
      <w:pPr>
        <w:keepNext/>
        <w:jc w:val="both"/>
        <w:rPr>
          <w:b/>
          <w:bCs/>
          <w:szCs w:val="22"/>
        </w:rPr>
      </w:pPr>
      <w:r w:rsidRPr="00AC187C">
        <w:rPr>
          <w:b/>
        </w:rPr>
        <w:t>4</w:t>
      </w:r>
      <w:r w:rsidR="00E039C1" w:rsidRPr="00AC187C">
        <w:rPr>
          <w:b/>
        </w:rPr>
        <w:t>.</w:t>
      </w:r>
      <w:r w:rsidR="00FD434E" w:rsidRPr="00AC187C">
        <w:rPr>
          <w:b/>
        </w:rPr>
        <w:t>2</w:t>
      </w:r>
      <w:r w:rsidR="00E039C1" w:rsidRPr="00AC187C">
        <w:rPr>
          <w:b/>
        </w:rPr>
        <w:tab/>
        <w:t>Farmakodynami</w:t>
      </w:r>
      <w:r w:rsidRPr="00AC187C">
        <w:rPr>
          <w:b/>
          <w:bCs/>
          <w:szCs w:val="22"/>
        </w:rPr>
        <w:t>ka</w:t>
      </w:r>
    </w:p>
    <w:p w:rsidR="00E039C1" w:rsidRPr="00AC187C" w:rsidRDefault="00E578BA" w:rsidP="00FD434E">
      <w:pPr>
        <w:keepNext/>
        <w:jc w:val="both"/>
        <w:rPr>
          <w:b/>
        </w:rPr>
      </w:pPr>
      <w:r w:rsidRPr="00AC187C">
        <w:rPr>
          <w:b/>
          <w:bCs/>
          <w:szCs w:val="22"/>
        </w:rPr>
        <w:t xml:space="preserve"> </w:t>
      </w:r>
    </w:p>
    <w:p w:rsidR="00E039C1" w:rsidRPr="00AC187C" w:rsidRDefault="00E039C1" w:rsidP="00E039C1">
      <w:pPr>
        <w:autoSpaceDE w:val="0"/>
        <w:ind w:left="0" w:firstLine="0"/>
        <w:jc w:val="both"/>
        <w:rPr>
          <w:szCs w:val="22"/>
        </w:rPr>
      </w:pPr>
      <w:proofErr w:type="spellStart"/>
      <w:r w:rsidRPr="00AC187C">
        <w:t>Ceftiofur</w:t>
      </w:r>
      <w:proofErr w:type="spellEnd"/>
      <w:r w:rsidRPr="00AC187C">
        <w:t xml:space="preserve"> je cefalosporin třetí generace, který je účinný proti mnohým </w:t>
      </w:r>
      <w:proofErr w:type="spellStart"/>
      <w:r w:rsidRPr="00AC187C">
        <w:t>grampozitivním</w:t>
      </w:r>
      <w:proofErr w:type="spellEnd"/>
      <w:r w:rsidRPr="00AC187C">
        <w:t xml:space="preserve"> a gramnegativním baktériím. </w:t>
      </w:r>
      <w:proofErr w:type="spellStart"/>
      <w:r w:rsidRPr="00AC187C">
        <w:t>Ceftiofur</w:t>
      </w:r>
      <w:proofErr w:type="spellEnd"/>
      <w:r w:rsidRPr="00AC187C">
        <w:t xml:space="preserve"> inhibuje syntézu bakteriální buněčné stěny, čímž vykazuje baktericidní účinek.</w:t>
      </w:r>
    </w:p>
    <w:p w:rsidR="00E039C1" w:rsidRPr="00AC187C" w:rsidRDefault="00E039C1" w:rsidP="00E039C1">
      <w:pPr>
        <w:autoSpaceDE w:val="0"/>
        <w:ind w:left="0" w:firstLine="0"/>
        <w:jc w:val="both"/>
        <w:rPr>
          <w:szCs w:val="22"/>
        </w:rPr>
      </w:pPr>
    </w:p>
    <w:p w:rsidR="00E039C1" w:rsidRPr="00AC187C" w:rsidRDefault="00E039C1" w:rsidP="00E039C1">
      <w:pPr>
        <w:autoSpaceDE w:val="0"/>
        <w:ind w:left="0" w:firstLine="0"/>
        <w:jc w:val="both"/>
        <w:rPr>
          <w:szCs w:val="22"/>
        </w:rPr>
      </w:pPr>
      <w:r w:rsidRPr="00AC187C">
        <w:t>Beta-laktamy působí tak, že zasahují do syntézy bakteriální buněčné stěny. Syntéza buněčné stěny je závislá na enzymech nazývaných penicilin-vázající proteiny (</w:t>
      </w:r>
      <w:proofErr w:type="spellStart"/>
      <w:r w:rsidRPr="00AC187C">
        <w:t>PBPs</w:t>
      </w:r>
      <w:proofErr w:type="spellEnd"/>
      <w:r w:rsidRPr="00AC187C">
        <w:t>). U bakterií vzniká rezistence k cefalosporinům čtyřmi základními mechanismy: 1) pozměněním penicilin-vázajících proteinů, které nejsou citlivé k jinak účinnému beta-</w:t>
      </w:r>
      <w:proofErr w:type="spellStart"/>
      <w:r w:rsidRPr="00AC187C">
        <w:t>laktamovému</w:t>
      </w:r>
      <w:proofErr w:type="spellEnd"/>
      <w:r w:rsidRPr="00AC187C">
        <w:t xml:space="preserve"> antibiotiku; 2) změnou permeability buněčné stěny pro beta-laktamy; 3) produkcí beta-</w:t>
      </w:r>
      <w:proofErr w:type="spellStart"/>
      <w:r w:rsidRPr="00AC187C">
        <w:t>laktamáz</w:t>
      </w:r>
      <w:proofErr w:type="spellEnd"/>
      <w:r w:rsidRPr="00AC187C">
        <w:t>, které štěpí beta-</w:t>
      </w:r>
      <w:proofErr w:type="spellStart"/>
      <w:r w:rsidRPr="00AC187C">
        <w:t>laktamový</w:t>
      </w:r>
      <w:proofErr w:type="spellEnd"/>
      <w:r w:rsidRPr="00AC187C">
        <w:t xml:space="preserve"> kruh molekuly; 4) aktivním </w:t>
      </w:r>
      <w:proofErr w:type="spellStart"/>
      <w:r w:rsidRPr="00AC187C">
        <w:t>efluxem</w:t>
      </w:r>
      <w:proofErr w:type="spellEnd"/>
      <w:r w:rsidRPr="00AC187C">
        <w:t>.</w:t>
      </w:r>
    </w:p>
    <w:p w:rsidR="00E039C1" w:rsidRPr="00AC187C" w:rsidRDefault="00E039C1" w:rsidP="00E039C1">
      <w:pPr>
        <w:autoSpaceDE w:val="0"/>
        <w:ind w:left="0" w:firstLine="0"/>
        <w:jc w:val="both"/>
        <w:rPr>
          <w:szCs w:val="22"/>
        </w:rPr>
      </w:pPr>
      <w:r w:rsidRPr="00AC187C">
        <w:t>Některé beta-</w:t>
      </w:r>
      <w:proofErr w:type="spellStart"/>
      <w:r w:rsidRPr="00AC187C">
        <w:t>laktamázy</w:t>
      </w:r>
      <w:proofErr w:type="spellEnd"/>
      <w:r w:rsidRPr="00AC187C">
        <w:t xml:space="preserve"> zjištěné u gramnegativních střevních baktérií mohou být příčinou různého stupně zvýšení MIC pro cefalosporiny třetí a čtvrté generace, stejně jako pro peniciliny, ampiciliny, kombinace s inhibitory beta-</w:t>
      </w:r>
      <w:proofErr w:type="spellStart"/>
      <w:r w:rsidRPr="00AC187C">
        <w:t>laktamáz</w:t>
      </w:r>
      <w:proofErr w:type="spellEnd"/>
      <w:r w:rsidRPr="00AC187C">
        <w:t xml:space="preserve"> a cefalosporiny první a druhé generace.</w:t>
      </w:r>
    </w:p>
    <w:p w:rsidR="00E039C1" w:rsidRPr="00AC187C" w:rsidRDefault="00E039C1" w:rsidP="00E039C1">
      <w:pPr>
        <w:autoSpaceDE w:val="0"/>
        <w:ind w:left="0" w:firstLine="0"/>
        <w:jc w:val="both"/>
      </w:pPr>
      <w:proofErr w:type="spellStart"/>
      <w:r w:rsidRPr="00AC187C">
        <w:t>Ceftiofur</w:t>
      </w:r>
      <w:proofErr w:type="spellEnd"/>
      <w:r w:rsidRPr="00AC187C">
        <w:t xml:space="preserve"> je účinný proti následujícím mikroorganismům, které vyvolávají respirační onemocnění u prasat: </w:t>
      </w:r>
      <w:proofErr w:type="spellStart"/>
      <w:r w:rsidRPr="00AC187C">
        <w:rPr>
          <w:i/>
        </w:rPr>
        <w:t>Pasteurella</w:t>
      </w:r>
      <w:proofErr w:type="spellEnd"/>
      <w:r w:rsidRPr="00AC187C">
        <w:rPr>
          <w:i/>
        </w:rPr>
        <w:t xml:space="preserve"> </w:t>
      </w:r>
      <w:proofErr w:type="spellStart"/>
      <w:r w:rsidRPr="00AC187C">
        <w:rPr>
          <w:i/>
        </w:rPr>
        <w:t>multocida</w:t>
      </w:r>
      <w:proofErr w:type="spellEnd"/>
      <w:r w:rsidRPr="00AC187C">
        <w:t xml:space="preserve">, </w:t>
      </w:r>
      <w:proofErr w:type="spellStart"/>
      <w:r w:rsidRPr="00AC187C">
        <w:rPr>
          <w:i/>
        </w:rPr>
        <w:t>Actinobacillus</w:t>
      </w:r>
      <w:proofErr w:type="spellEnd"/>
      <w:r w:rsidRPr="00AC187C">
        <w:rPr>
          <w:i/>
        </w:rPr>
        <w:t xml:space="preserve"> </w:t>
      </w:r>
      <w:proofErr w:type="spellStart"/>
      <w:r w:rsidRPr="00AC187C">
        <w:rPr>
          <w:i/>
        </w:rPr>
        <w:t>pleuropneumoniae</w:t>
      </w:r>
      <w:proofErr w:type="spellEnd"/>
      <w:r w:rsidRPr="00AC187C">
        <w:t xml:space="preserve"> a </w:t>
      </w:r>
      <w:proofErr w:type="spellStart"/>
      <w:r w:rsidRPr="00AC187C">
        <w:rPr>
          <w:i/>
        </w:rPr>
        <w:t>Streptococcus</w:t>
      </w:r>
      <w:proofErr w:type="spellEnd"/>
      <w:r w:rsidRPr="00AC187C">
        <w:rPr>
          <w:i/>
        </w:rPr>
        <w:t xml:space="preserve"> </w:t>
      </w:r>
      <w:proofErr w:type="spellStart"/>
      <w:r w:rsidRPr="00AC187C">
        <w:rPr>
          <w:i/>
        </w:rPr>
        <w:t>suis</w:t>
      </w:r>
      <w:proofErr w:type="spellEnd"/>
      <w:r w:rsidRPr="00AC187C">
        <w:t xml:space="preserve">. </w:t>
      </w:r>
    </w:p>
    <w:p w:rsidR="00E039C1" w:rsidRPr="00AC187C" w:rsidRDefault="00E039C1" w:rsidP="00E039C1">
      <w:pPr>
        <w:autoSpaceDE w:val="0"/>
        <w:ind w:left="0" w:firstLine="0"/>
        <w:jc w:val="both"/>
      </w:pPr>
      <w:proofErr w:type="spellStart"/>
      <w:r w:rsidRPr="00AC187C">
        <w:rPr>
          <w:i/>
        </w:rPr>
        <w:t>Bordetella</w:t>
      </w:r>
      <w:proofErr w:type="spellEnd"/>
      <w:r w:rsidRPr="00AC187C">
        <w:rPr>
          <w:i/>
        </w:rPr>
        <w:t xml:space="preserve"> </w:t>
      </w:r>
      <w:proofErr w:type="spellStart"/>
      <w:r w:rsidRPr="00AC187C">
        <w:rPr>
          <w:i/>
        </w:rPr>
        <w:t>bronchiseptica</w:t>
      </w:r>
      <w:proofErr w:type="spellEnd"/>
      <w:r w:rsidRPr="00AC187C">
        <w:t xml:space="preserve"> je přirozeně rezistentní k </w:t>
      </w:r>
      <w:proofErr w:type="spellStart"/>
      <w:r w:rsidRPr="00AC187C">
        <w:t>ceftiofuru</w:t>
      </w:r>
      <w:proofErr w:type="spellEnd"/>
      <w:r w:rsidRPr="00AC187C">
        <w:t>.</w:t>
      </w:r>
    </w:p>
    <w:p w:rsidR="00E039C1" w:rsidRPr="00AC187C" w:rsidRDefault="00E039C1" w:rsidP="00E039C1">
      <w:pPr>
        <w:autoSpaceDE w:val="0"/>
        <w:ind w:left="0" w:firstLine="0"/>
        <w:jc w:val="both"/>
        <w:rPr>
          <w:szCs w:val="22"/>
        </w:rPr>
      </w:pPr>
      <w:r w:rsidRPr="00AC187C">
        <w:t xml:space="preserve">Je také účinný proti bakteriím podílejícím se na  respiračních onemocněních skotu: </w:t>
      </w:r>
      <w:proofErr w:type="spellStart"/>
      <w:r w:rsidRPr="00AC187C">
        <w:rPr>
          <w:i/>
          <w:szCs w:val="22"/>
        </w:rPr>
        <w:t>Pasteurella</w:t>
      </w:r>
      <w:proofErr w:type="spellEnd"/>
      <w:r w:rsidRPr="00AC187C">
        <w:rPr>
          <w:i/>
          <w:szCs w:val="22"/>
        </w:rPr>
        <w:t xml:space="preserve"> </w:t>
      </w:r>
      <w:proofErr w:type="spellStart"/>
      <w:r w:rsidRPr="00AC187C">
        <w:rPr>
          <w:i/>
          <w:szCs w:val="22"/>
        </w:rPr>
        <w:t>multocida</w:t>
      </w:r>
      <w:proofErr w:type="spellEnd"/>
      <w:r w:rsidRPr="00AC187C">
        <w:rPr>
          <w:szCs w:val="22"/>
        </w:rPr>
        <w:t xml:space="preserve">, </w:t>
      </w:r>
      <w:proofErr w:type="spellStart"/>
      <w:r w:rsidRPr="00AC187C">
        <w:rPr>
          <w:i/>
          <w:szCs w:val="22"/>
        </w:rPr>
        <w:t>Mannheimia</w:t>
      </w:r>
      <w:proofErr w:type="spellEnd"/>
      <w:r w:rsidRPr="00AC187C">
        <w:rPr>
          <w:szCs w:val="22"/>
        </w:rPr>
        <w:t xml:space="preserve"> </w:t>
      </w:r>
      <w:proofErr w:type="spellStart"/>
      <w:r w:rsidRPr="00AC187C">
        <w:rPr>
          <w:i/>
        </w:rPr>
        <w:t>haemolytica</w:t>
      </w:r>
      <w:proofErr w:type="spellEnd"/>
      <w:r w:rsidRPr="00AC187C">
        <w:rPr>
          <w:szCs w:val="22"/>
        </w:rPr>
        <w:t xml:space="preserve"> (dříve </w:t>
      </w:r>
      <w:proofErr w:type="spellStart"/>
      <w:r w:rsidRPr="00AC187C">
        <w:rPr>
          <w:i/>
          <w:szCs w:val="22"/>
        </w:rPr>
        <w:t>Pasteurella</w:t>
      </w:r>
      <w:proofErr w:type="spellEnd"/>
      <w:r w:rsidRPr="00AC187C">
        <w:rPr>
          <w:i/>
          <w:szCs w:val="22"/>
        </w:rPr>
        <w:t xml:space="preserve"> </w:t>
      </w:r>
      <w:proofErr w:type="spellStart"/>
      <w:r w:rsidRPr="00AC187C">
        <w:rPr>
          <w:i/>
          <w:szCs w:val="22"/>
        </w:rPr>
        <w:t>haemolytica</w:t>
      </w:r>
      <w:proofErr w:type="spellEnd"/>
      <w:r w:rsidRPr="00AC187C">
        <w:rPr>
          <w:szCs w:val="22"/>
        </w:rPr>
        <w:t xml:space="preserve">), </w:t>
      </w:r>
      <w:proofErr w:type="spellStart"/>
      <w:r w:rsidRPr="00AC187C">
        <w:rPr>
          <w:i/>
        </w:rPr>
        <w:t>Histophilus</w:t>
      </w:r>
      <w:proofErr w:type="spellEnd"/>
      <w:r w:rsidRPr="00AC187C">
        <w:rPr>
          <w:i/>
        </w:rPr>
        <w:t xml:space="preserve"> </w:t>
      </w:r>
      <w:proofErr w:type="spellStart"/>
      <w:r w:rsidRPr="00AC187C">
        <w:rPr>
          <w:i/>
        </w:rPr>
        <w:t>somni</w:t>
      </w:r>
      <w:proofErr w:type="spellEnd"/>
      <w:r w:rsidRPr="00AC187C">
        <w:t xml:space="preserve"> (dříve </w:t>
      </w:r>
      <w:proofErr w:type="spellStart"/>
      <w:r w:rsidRPr="00AC187C">
        <w:rPr>
          <w:i/>
          <w:szCs w:val="22"/>
        </w:rPr>
        <w:t>Haemophilus</w:t>
      </w:r>
      <w:proofErr w:type="spellEnd"/>
      <w:r w:rsidRPr="00AC187C">
        <w:rPr>
          <w:i/>
          <w:szCs w:val="22"/>
        </w:rPr>
        <w:t xml:space="preserve"> </w:t>
      </w:r>
      <w:proofErr w:type="spellStart"/>
      <w:r w:rsidRPr="00AC187C">
        <w:rPr>
          <w:i/>
          <w:szCs w:val="22"/>
        </w:rPr>
        <w:t>somnus</w:t>
      </w:r>
      <w:proofErr w:type="spellEnd"/>
      <w:r w:rsidRPr="00AC187C">
        <w:rPr>
          <w:szCs w:val="22"/>
        </w:rPr>
        <w:t xml:space="preserve">); bakteriím </w:t>
      </w:r>
      <w:r w:rsidR="0080131A" w:rsidRPr="00AC187C">
        <w:rPr>
          <w:szCs w:val="22"/>
        </w:rPr>
        <w:t xml:space="preserve">vyvolávajícím </w:t>
      </w:r>
      <w:r w:rsidRPr="00AC187C">
        <w:rPr>
          <w:szCs w:val="22"/>
        </w:rPr>
        <w:t xml:space="preserve">akutní </w:t>
      </w:r>
      <w:proofErr w:type="spellStart"/>
      <w:r w:rsidRPr="00AC187C">
        <w:rPr>
          <w:szCs w:val="22"/>
        </w:rPr>
        <w:t>nekrobacilózu</w:t>
      </w:r>
      <w:proofErr w:type="spellEnd"/>
      <w:r w:rsidRPr="00AC187C">
        <w:rPr>
          <w:szCs w:val="22"/>
        </w:rPr>
        <w:t xml:space="preserve"> paznehtů skotu </w:t>
      </w:r>
      <w:r w:rsidRPr="00AC187C">
        <w:t>(</w:t>
      </w:r>
      <w:proofErr w:type="spellStart"/>
      <w:r w:rsidRPr="00AC187C">
        <w:t>interdigitální</w:t>
      </w:r>
      <w:proofErr w:type="spellEnd"/>
      <w:r w:rsidRPr="00AC187C">
        <w:t xml:space="preserve"> </w:t>
      </w:r>
      <w:proofErr w:type="spellStart"/>
      <w:r w:rsidRPr="00AC187C">
        <w:t>nekrobacilóza</w:t>
      </w:r>
      <w:proofErr w:type="spellEnd"/>
      <w:r w:rsidRPr="00AC187C">
        <w:t>)</w:t>
      </w:r>
      <w:r w:rsidRPr="00AC187C">
        <w:rPr>
          <w:szCs w:val="22"/>
        </w:rPr>
        <w:t xml:space="preserve">: </w:t>
      </w:r>
      <w:proofErr w:type="spellStart"/>
      <w:r w:rsidRPr="00AC187C">
        <w:rPr>
          <w:i/>
          <w:szCs w:val="22"/>
        </w:rPr>
        <w:t>Fusobacterium</w:t>
      </w:r>
      <w:proofErr w:type="spellEnd"/>
      <w:r w:rsidRPr="00AC187C">
        <w:rPr>
          <w:i/>
          <w:szCs w:val="22"/>
        </w:rPr>
        <w:t xml:space="preserve"> </w:t>
      </w:r>
      <w:proofErr w:type="spellStart"/>
      <w:r w:rsidRPr="00AC187C">
        <w:rPr>
          <w:i/>
          <w:szCs w:val="22"/>
        </w:rPr>
        <w:t>necrophorum</w:t>
      </w:r>
      <w:proofErr w:type="spellEnd"/>
      <w:r w:rsidRPr="00AC187C">
        <w:rPr>
          <w:szCs w:val="22"/>
        </w:rPr>
        <w:t xml:space="preserve">, </w:t>
      </w:r>
      <w:proofErr w:type="spellStart"/>
      <w:r w:rsidRPr="00AC187C">
        <w:rPr>
          <w:i/>
          <w:szCs w:val="22"/>
        </w:rPr>
        <w:t>Porphyromonas</w:t>
      </w:r>
      <w:proofErr w:type="spellEnd"/>
      <w:r w:rsidRPr="00AC187C">
        <w:rPr>
          <w:i/>
          <w:szCs w:val="22"/>
        </w:rPr>
        <w:t xml:space="preserve"> </w:t>
      </w:r>
      <w:proofErr w:type="spellStart"/>
      <w:r w:rsidRPr="00AC187C">
        <w:rPr>
          <w:i/>
          <w:szCs w:val="22"/>
        </w:rPr>
        <w:t>asaccharolytica</w:t>
      </w:r>
      <w:proofErr w:type="spellEnd"/>
      <w:r w:rsidRPr="00AC187C">
        <w:rPr>
          <w:i/>
          <w:szCs w:val="22"/>
        </w:rPr>
        <w:t xml:space="preserve"> </w:t>
      </w:r>
      <w:r w:rsidRPr="00AC187C">
        <w:rPr>
          <w:szCs w:val="22"/>
        </w:rPr>
        <w:t>(dříve</w:t>
      </w:r>
      <w:r w:rsidRPr="00AC187C">
        <w:rPr>
          <w:i/>
          <w:szCs w:val="22"/>
        </w:rPr>
        <w:t xml:space="preserve"> </w:t>
      </w:r>
      <w:proofErr w:type="spellStart"/>
      <w:r w:rsidRPr="00AC187C">
        <w:rPr>
          <w:i/>
          <w:szCs w:val="22"/>
        </w:rPr>
        <w:t>Bacteroides</w:t>
      </w:r>
      <w:proofErr w:type="spellEnd"/>
      <w:r w:rsidRPr="00AC187C">
        <w:rPr>
          <w:i/>
          <w:szCs w:val="22"/>
        </w:rPr>
        <w:t xml:space="preserve"> </w:t>
      </w:r>
      <w:proofErr w:type="spellStart"/>
      <w:r w:rsidRPr="00AC187C">
        <w:rPr>
          <w:i/>
          <w:szCs w:val="22"/>
        </w:rPr>
        <w:t>melaninogenicus</w:t>
      </w:r>
      <w:proofErr w:type="spellEnd"/>
      <w:r w:rsidRPr="00AC187C">
        <w:rPr>
          <w:szCs w:val="22"/>
        </w:rPr>
        <w:t xml:space="preserve">); a bakteriím vyvolávajícím akutní poporodní (puerperální) metritidu u skotu: </w:t>
      </w:r>
      <w:proofErr w:type="spellStart"/>
      <w:r w:rsidRPr="00AC187C">
        <w:rPr>
          <w:i/>
          <w:szCs w:val="22"/>
        </w:rPr>
        <w:t>Escherichia</w:t>
      </w:r>
      <w:proofErr w:type="spellEnd"/>
      <w:r w:rsidRPr="00AC187C">
        <w:rPr>
          <w:i/>
          <w:szCs w:val="22"/>
        </w:rPr>
        <w:t xml:space="preserve"> coli</w:t>
      </w:r>
      <w:r w:rsidRPr="00AC187C">
        <w:rPr>
          <w:szCs w:val="22"/>
        </w:rPr>
        <w:t xml:space="preserve">, </w:t>
      </w:r>
      <w:proofErr w:type="spellStart"/>
      <w:r w:rsidRPr="00AC187C">
        <w:rPr>
          <w:bCs/>
          <w:i/>
          <w:szCs w:val="22"/>
        </w:rPr>
        <w:t>Trueperella</w:t>
      </w:r>
      <w:proofErr w:type="spellEnd"/>
      <w:r w:rsidRPr="00AC187C">
        <w:rPr>
          <w:bCs/>
          <w:i/>
          <w:szCs w:val="22"/>
        </w:rPr>
        <w:t xml:space="preserve"> </w:t>
      </w:r>
      <w:proofErr w:type="spellStart"/>
      <w:r w:rsidRPr="00AC187C">
        <w:rPr>
          <w:bCs/>
          <w:i/>
          <w:szCs w:val="22"/>
        </w:rPr>
        <w:t>pyogenes</w:t>
      </w:r>
      <w:proofErr w:type="spellEnd"/>
      <w:r w:rsidRPr="00AC187C">
        <w:rPr>
          <w:bCs/>
          <w:szCs w:val="22"/>
        </w:rPr>
        <w:t xml:space="preserve"> (dříve </w:t>
      </w:r>
      <w:proofErr w:type="spellStart"/>
      <w:r w:rsidRPr="00AC187C">
        <w:rPr>
          <w:bCs/>
          <w:i/>
          <w:szCs w:val="22"/>
        </w:rPr>
        <w:t>Arcanobacterium</w:t>
      </w:r>
      <w:proofErr w:type="spellEnd"/>
      <w:r w:rsidRPr="00AC187C">
        <w:rPr>
          <w:bCs/>
          <w:i/>
          <w:szCs w:val="22"/>
        </w:rPr>
        <w:t xml:space="preserve"> </w:t>
      </w:r>
      <w:proofErr w:type="spellStart"/>
      <w:r w:rsidRPr="00AC187C">
        <w:rPr>
          <w:bCs/>
          <w:i/>
          <w:szCs w:val="22"/>
        </w:rPr>
        <w:t>pyogenes</w:t>
      </w:r>
      <w:proofErr w:type="spellEnd"/>
      <w:r w:rsidRPr="00AC187C">
        <w:rPr>
          <w:bCs/>
          <w:szCs w:val="22"/>
        </w:rPr>
        <w:t xml:space="preserve">) </w:t>
      </w:r>
      <w:r w:rsidRPr="00AC187C">
        <w:rPr>
          <w:szCs w:val="22"/>
        </w:rPr>
        <w:t xml:space="preserve">a </w:t>
      </w:r>
      <w:proofErr w:type="spellStart"/>
      <w:r w:rsidRPr="00AC187C">
        <w:rPr>
          <w:i/>
          <w:szCs w:val="22"/>
        </w:rPr>
        <w:t>Fusobacterium</w:t>
      </w:r>
      <w:proofErr w:type="spellEnd"/>
      <w:r w:rsidRPr="00AC187C">
        <w:rPr>
          <w:i/>
          <w:szCs w:val="22"/>
        </w:rPr>
        <w:t xml:space="preserve"> </w:t>
      </w:r>
      <w:proofErr w:type="spellStart"/>
      <w:r w:rsidRPr="00AC187C">
        <w:rPr>
          <w:i/>
          <w:szCs w:val="22"/>
        </w:rPr>
        <w:t>necrophorum</w:t>
      </w:r>
      <w:proofErr w:type="spellEnd"/>
      <w:r w:rsidRPr="00AC187C">
        <w:rPr>
          <w:szCs w:val="22"/>
        </w:rPr>
        <w:t>.</w:t>
      </w:r>
    </w:p>
    <w:p w:rsidR="00E039C1" w:rsidRPr="00AC187C" w:rsidRDefault="00E039C1" w:rsidP="00E039C1">
      <w:pPr>
        <w:autoSpaceDE w:val="0"/>
        <w:ind w:left="0" w:firstLine="0"/>
        <w:jc w:val="both"/>
        <w:rPr>
          <w:szCs w:val="22"/>
        </w:rPr>
      </w:pPr>
    </w:p>
    <w:p w:rsidR="00E039C1" w:rsidRPr="00AC187C" w:rsidRDefault="00E039C1" w:rsidP="00E039C1">
      <w:pPr>
        <w:autoSpaceDE w:val="0"/>
        <w:ind w:left="0" w:firstLine="0"/>
        <w:jc w:val="both"/>
        <w:rPr>
          <w:szCs w:val="22"/>
        </w:rPr>
      </w:pPr>
      <w:r w:rsidRPr="00AC187C">
        <w:rPr>
          <w:szCs w:val="22"/>
        </w:rPr>
        <w:lastRenderedPageBreak/>
        <w:t xml:space="preserve">Následující minimální inhibiční koncentrace (MIC) </w:t>
      </w:r>
      <w:proofErr w:type="spellStart"/>
      <w:r w:rsidRPr="00AC187C">
        <w:rPr>
          <w:szCs w:val="22"/>
        </w:rPr>
        <w:t>ceftiofuru</w:t>
      </w:r>
      <w:proofErr w:type="spellEnd"/>
      <w:r w:rsidRPr="00AC187C">
        <w:rPr>
          <w:szCs w:val="22"/>
        </w:rPr>
        <w:t xml:space="preserve"> byly stanoveny pro izoláty cílových bakterií na základě izolovaných mikroorganismů získaných z nemocných zvířat v letech 2009 - 2012:</w:t>
      </w:r>
    </w:p>
    <w:p w:rsidR="00E039C1" w:rsidRPr="00AC187C" w:rsidRDefault="00E039C1" w:rsidP="00E039C1">
      <w:pPr>
        <w:autoSpaceDE w:val="0"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03"/>
        <w:gridCol w:w="2268"/>
        <w:gridCol w:w="1701"/>
      </w:tblGrid>
      <w:tr w:rsidR="00E039C1" w:rsidRPr="00AC187C" w:rsidTr="00E6723B">
        <w:tc>
          <w:tcPr>
            <w:tcW w:w="8472" w:type="dxa"/>
            <w:gridSpan w:val="3"/>
          </w:tcPr>
          <w:p w:rsidR="00E039C1" w:rsidRPr="00AC187C" w:rsidRDefault="00E039C1" w:rsidP="00E6723B">
            <w:pPr>
              <w:tabs>
                <w:tab w:val="left" w:pos="426"/>
              </w:tabs>
              <w:autoSpaceDE w:val="0"/>
              <w:rPr>
                <w:b/>
                <w:bCs/>
                <w:szCs w:val="22"/>
              </w:rPr>
            </w:pPr>
            <w:r w:rsidRPr="00AC187C">
              <w:rPr>
                <w:b/>
                <w:bCs/>
                <w:szCs w:val="22"/>
              </w:rPr>
              <w:t>Prasata</w:t>
            </w:r>
          </w:p>
        </w:tc>
      </w:tr>
      <w:tr w:rsidR="00E039C1" w:rsidRPr="00AC187C" w:rsidTr="00E6723B">
        <w:tc>
          <w:tcPr>
            <w:tcW w:w="4503" w:type="dxa"/>
          </w:tcPr>
          <w:p w:rsidR="00E039C1" w:rsidRPr="00AC187C" w:rsidRDefault="00E039C1" w:rsidP="00E6723B">
            <w:pPr>
              <w:rPr>
                <w:b/>
              </w:rPr>
            </w:pPr>
            <w:r w:rsidRPr="00AC187C">
              <w:rPr>
                <w:b/>
              </w:rPr>
              <w:t xml:space="preserve">Druh bakterie (počet izolátů) </w:t>
            </w:r>
          </w:p>
        </w:tc>
        <w:tc>
          <w:tcPr>
            <w:tcW w:w="2268" w:type="dxa"/>
          </w:tcPr>
          <w:p w:rsidR="00E039C1" w:rsidRPr="00AC187C" w:rsidRDefault="00E039C1" w:rsidP="00E6723B">
            <w:pPr>
              <w:rPr>
                <w:b/>
              </w:rPr>
            </w:pPr>
            <w:r w:rsidRPr="00AC187C">
              <w:rPr>
                <w:b/>
              </w:rPr>
              <w:t xml:space="preserve">Rozsah MIC (µg/ml) </w:t>
            </w:r>
          </w:p>
        </w:tc>
        <w:tc>
          <w:tcPr>
            <w:tcW w:w="1701" w:type="dxa"/>
          </w:tcPr>
          <w:p w:rsidR="00E039C1" w:rsidRPr="00AC187C" w:rsidRDefault="00E039C1" w:rsidP="00E6723B">
            <w:pPr>
              <w:rPr>
                <w:b/>
              </w:rPr>
            </w:pPr>
            <w:r w:rsidRPr="00AC187C">
              <w:rPr>
                <w:b/>
              </w:rPr>
              <w:t>MIC</w:t>
            </w:r>
            <w:r w:rsidRPr="00AC187C">
              <w:rPr>
                <w:b/>
                <w:vertAlign w:val="subscript"/>
              </w:rPr>
              <w:t>90</w:t>
            </w:r>
            <w:r w:rsidRPr="00AC187C">
              <w:rPr>
                <w:b/>
              </w:rPr>
              <w:t xml:space="preserve"> (µg/ml) </w:t>
            </w:r>
          </w:p>
        </w:tc>
      </w:tr>
      <w:tr w:rsidR="00E039C1" w:rsidRPr="00AC187C" w:rsidTr="00E6723B">
        <w:tc>
          <w:tcPr>
            <w:tcW w:w="4503" w:type="dxa"/>
          </w:tcPr>
          <w:p w:rsidR="00E039C1" w:rsidRPr="00AC187C" w:rsidRDefault="00E039C1" w:rsidP="00E6723B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 w:rsidRPr="00AC187C">
              <w:rPr>
                <w:i/>
              </w:rPr>
              <w:t>Actinobacillus</w:t>
            </w:r>
            <w:proofErr w:type="spellEnd"/>
            <w:r w:rsidRPr="00AC187C">
              <w:rPr>
                <w:i/>
              </w:rPr>
              <w:t xml:space="preserve"> </w:t>
            </w:r>
            <w:proofErr w:type="spellStart"/>
            <w:r w:rsidRPr="00AC187C">
              <w:rPr>
                <w:i/>
              </w:rPr>
              <w:t>pleuropneumoniae</w:t>
            </w:r>
            <w:proofErr w:type="spellEnd"/>
            <w:r w:rsidRPr="00AC187C">
              <w:t xml:space="preserve"> (157)</w:t>
            </w:r>
          </w:p>
        </w:tc>
        <w:tc>
          <w:tcPr>
            <w:tcW w:w="2268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0,008 - 2</w:t>
            </w:r>
          </w:p>
        </w:tc>
        <w:tc>
          <w:tcPr>
            <w:tcW w:w="1701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0,03</w:t>
            </w:r>
          </w:p>
        </w:tc>
      </w:tr>
      <w:tr w:rsidR="00E039C1" w:rsidRPr="00AC187C" w:rsidTr="00E6723B">
        <w:tc>
          <w:tcPr>
            <w:tcW w:w="4503" w:type="dxa"/>
          </w:tcPr>
          <w:p w:rsidR="00E039C1" w:rsidRPr="00AC187C" w:rsidRDefault="00E039C1" w:rsidP="00E6723B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 w:rsidRPr="00AC187C">
              <w:rPr>
                <w:i/>
              </w:rPr>
              <w:t>Pasteurella</w:t>
            </w:r>
            <w:proofErr w:type="spellEnd"/>
            <w:r w:rsidRPr="00AC187C">
              <w:rPr>
                <w:i/>
              </w:rPr>
              <w:t xml:space="preserve"> </w:t>
            </w:r>
            <w:proofErr w:type="spellStart"/>
            <w:r w:rsidRPr="00AC187C">
              <w:rPr>
                <w:i/>
              </w:rPr>
              <w:t>multocida</w:t>
            </w:r>
            <w:proofErr w:type="spellEnd"/>
            <w:r w:rsidRPr="00AC187C">
              <w:t xml:space="preserve"> (152)</w:t>
            </w:r>
          </w:p>
        </w:tc>
        <w:tc>
          <w:tcPr>
            <w:tcW w:w="2268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sym w:font="Symbol" w:char="F0A3"/>
            </w:r>
            <w:r w:rsidRPr="00AC187C">
              <w:t xml:space="preserve"> 0,002 - 0,06</w:t>
            </w:r>
          </w:p>
        </w:tc>
        <w:tc>
          <w:tcPr>
            <w:tcW w:w="1701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0,004</w:t>
            </w:r>
          </w:p>
        </w:tc>
      </w:tr>
      <w:tr w:rsidR="00E039C1" w:rsidRPr="00AC187C" w:rsidTr="00E6723B">
        <w:tc>
          <w:tcPr>
            <w:tcW w:w="4503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proofErr w:type="spellStart"/>
            <w:r w:rsidRPr="00AC187C">
              <w:rPr>
                <w:i/>
              </w:rPr>
              <w:t>Streptococcus</w:t>
            </w:r>
            <w:proofErr w:type="spellEnd"/>
            <w:r w:rsidRPr="00AC187C">
              <w:rPr>
                <w:i/>
              </w:rPr>
              <w:t xml:space="preserve"> </w:t>
            </w:r>
            <w:proofErr w:type="spellStart"/>
            <w:r w:rsidRPr="00AC187C">
              <w:rPr>
                <w:i/>
              </w:rPr>
              <w:t>suis</w:t>
            </w:r>
            <w:proofErr w:type="spellEnd"/>
            <w:r w:rsidRPr="00AC187C">
              <w:t xml:space="preserve"> (151)</w:t>
            </w:r>
          </w:p>
        </w:tc>
        <w:tc>
          <w:tcPr>
            <w:tcW w:w="2268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0,06 - ≥ 16</w:t>
            </w:r>
          </w:p>
        </w:tc>
        <w:tc>
          <w:tcPr>
            <w:tcW w:w="1701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0,5</w:t>
            </w:r>
          </w:p>
        </w:tc>
      </w:tr>
      <w:tr w:rsidR="00E039C1" w:rsidRPr="00AC187C" w:rsidTr="00E6723B">
        <w:tc>
          <w:tcPr>
            <w:tcW w:w="8472" w:type="dxa"/>
            <w:gridSpan w:val="3"/>
          </w:tcPr>
          <w:p w:rsidR="00E039C1" w:rsidRPr="00AC187C" w:rsidRDefault="00E039C1" w:rsidP="00E6723B">
            <w:pPr>
              <w:tabs>
                <w:tab w:val="left" w:pos="426"/>
              </w:tabs>
              <w:autoSpaceDE w:val="0"/>
              <w:rPr>
                <w:b/>
                <w:bCs/>
                <w:szCs w:val="22"/>
              </w:rPr>
            </w:pPr>
            <w:r w:rsidRPr="00AC187C">
              <w:rPr>
                <w:b/>
                <w:bCs/>
                <w:szCs w:val="22"/>
              </w:rPr>
              <w:t>Skot</w:t>
            </w:r>
          </w:p>
        </w:tc>
      </w:tr>
      <w:tr w:rsidR="00E039C1" w:rsidRPr="00AC187C" w:rsidTr="00E6723B">
        <w:tc>
          <w:tcPr>
            <w:tcW w:w="4503" w:type="dxa"/>
          </w:tcPr>
          <w:p w:rsidR="00E039C1" w:rsidRPr="00AC187C" w:rsidRDefault="00E039C1" w:rsidP="00E6723B">
            <w:pPr>
              <w:rPr>
                <w:b/>
              </w:rPr>
            </w:pPr>
            <w:r w:rsidRPr="00AC187C">
              <w:rPr>
                <w:b/>
              </w:rPr>
              <w:t>Druh bakterie (počet izolátů)</w:t>
            </w:r>
          </w:p>
        </w:tc>
        <w:tc>
          <w:tcPr>
            <w:tcW w:w="2268" w:type="dxa"/>
          </w:tcPr>
          <w:p w:rsidR="00E039C1" w:rsidRPr="00AC187C" w:rsidRDefault="00E039C1" w:rsidP="00E6723B">
            <w:pPr>
              <w:rPr>
                <w:b/>
              </w:rPr>
            </w:pPr>
            <w:r w:rsidRPr="00AC187C">
              <w:rPr>
                <w:b/>
              </w:rPr>
              <w:t xml:space="preserve">Rozsah MIC (µg/ml) </w:t>
            </w:r>
          </w:p>
        </w:tc>
        <w:tc>
          <w:tcPr>
            <w:tcW w:w="1701" w:type="dxa"/>
          </w:tcPr>
          <w:p w:rsidR="00E039C1" w:rsidRPr="00AC187C" w:rsidRDefault="00E039C1" w:rsidP="00E6723B">
            <w:pPr>
              <w:rPr>
                <w:b/>
              </w:rPr>
            </w:pPr>
            <w:r w:rsidRPr="00AC187C">
              <w:rPr>
                <w:b/>
              </w:rPr>
              <w:t>MIC</w:t>
            </w:r>
            <w:r w:rsidRPr="00AC187C">
              <w:rPr>
                <w:b/>
                <w:vertAlign w:val="subscript"/>
              </w:rPr>
              <w:t>90</w:t>
            </w:r>
            <w:r w:rsidRPr="00AC187C">
              <w:rPr>
                <w:b/>
              </w:rPr>
              <w:t xml:space="preserve"> (µg/ml) </w:t>
            </w:r>
          </w:p>
        </w:tc>
      </w:tr>
      <w:tr w:rsidR="00E039C1" w:rsidRPr="00AC187C" w:rsidTr="00E6723B">
        <w:tc>
          <w:tcPr>
            <w:tcW w:w="4503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proofErr w:type="spellStart"/>
            <w:r w:rsidRPr="00AC187C">
              <w:rPr>
                <w:i/>
              </w:rPr>
              <w:t>Mannheimia</w:t>
            </w:r>
            <w:proofErr w:type="spellEnd"/>
            <w:r w:rsidRPr="00AC187C">
              <w:rPr>
                <w:i/>
              </w:rPr>
              <w:t xml:space="preserve"> </w:t>
            </w:r>
            <w:proofErr w:type="spellStart"/>
            <w:r w:rsidRPr="00AC187C">
              <w:rPr>
                <w:i/>
              </w:rPr>
              <w:t>haemolytica</w:t>
            </w:r>
            <w:proofErr w:type="spellEnd"/>
            <w:r w:rsidRPr="00AC187C">
              <w:t xml:space="preserve"> (149)</w:t>
            </w:r>
          </w:p>
        </w:tc>
        <w:tc>
          <w:tcPr>
            <w:tcW w:w="2268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sym w:font="Symbol" w:char="F0A3"/>
            </w:r>
            <w:r w:rsidRPr="00AC187C">
              <w:t xml:space="preserve"> 0,002 - 0,12</w:t>
            </w:r>
          </w:p>
        </w:tc>
        <w:tc>
          <w:tcPr>
            <w:tcW w:w="1701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0,015</w:t>
            </w:r>
          </w:p>
        </w:tc>
      </w:tr>
      <w:tr w:rsidR="00E039C1" w:rsidRPr="00AC187C" w:rsidTr="00E6723B">
        <w:tc>
          <w:tcPr>
            <w:tcW w:w="4503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proofErr w:type="spellStart"/>
            <w:r w:rsidRPr="00AC187C">
              <w:rPr>
                <w:i/>
              </w:rPr>
              <w:t>Pasteurella</w:t>
            </w:r>
            <w:proofErr w:type="spellEnd"/>
            <w:r w:rsidRPr="00AC187C">
              <w:rPr>
                <w:i/>
              </w:rPr>
              <w:t xml:space="preserve"> </w:t>
            </w:r>
            <w:proofErr w:type="spellStart"/>
            <w:r w:rsidRPr="00AC187C">
              <w:rPr>
                <w:i/>
              </w:rPr>
              <w:t>multocida</w:t>
            </w:r>
            <w:proofErr w:type="spellEnd"/>
            <w:r w:rsidRPr="00AC187C">
              <w:t xml:space="preserve"> (134)</w:t>
            </w:r>
          </w:p>
        </w:tc>
        <w:tc>
          <w:tcPr>
            <w:tcW w:w="2268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sym w:font="Symbol" w:char="F0A3"/>
            </w:r>
            <w:r w:rsidRPr="00AC187C">
              <w:t xml:space="preserve"> 0,002 - 0,015</w:t>
            </w:r>
          </w:p>
        </w:tc>
        <w:tc>
          <w:tcPr>
            <w:tcW w:w="1701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0,004</w:t>
            </w:r>
          </w:p>
        </w:tc>
      </w:tr>
      <w:tr w:rsidR="00E039C1" w:rsidRPr="00AC187C" w:rsidTr="00E6723B">
        <w:tc>
          <w:tcPr>
            <w:tcW w:w="4503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proofErr w:type="spellStart"/>
            <w:r w:rsidRPr="00AC187C">
              <w:rPr>
                <w:i/>
              </w:rPr>
              <w:t>Histophilus</w:t>
            </w:r>
            <w:proofErr w:type="spellEnd"/>
            <w:r w:rsidRPr="00AC187C">
              <w:rPr>
                <w:i/>
              </w:rPr>
              <w:t xml:space="preserve"> </w:t>
            </w:r>
            <w:proofErr w:type="spellStart"/>
            <w:r w:rsidRPr="00AC187C">
              <w:rPr>
                <w:i/>
              </w:rPr>
              <w:t>somni</w:t>
            </w:r>
            <w:proofErr w:type="spellEnd"/>
            <w:r w:rsidRPr="00AC187C">
              <w:t xml:space="preserve"> (66)</w:t>
            </w:r>
          </w:p>
        </w:tc>
        <w:tc>
          <w:tcPr>
            <w:tcW w:w="2268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sym w:font="Symbol" w:char="F0A3"/>
            </w:r>
            <w:r w:rsidRPr="00AC187C">
              <w:t xml:space="preserve"> 0,002 - 0,008</w:t>
            </w:r>
          </w:p>
        </w:tc>
        <w:tc>
          <w:tcPr>
            <w:tcW w:w="1701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0,004</w:t>
            </w:r>
          </w:p>
        </w:tc>
      </w:tr>
      <w:tr w:rsidR="00E039C1" w:rsidRPr="00AC187C" w:rsidTr="00E6723B">
        <w:tc>
          <w:tcPr>
            <w:tcW w:w="4503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proofErr w:type="spellStart"/>
            <w:r w:rsidRPr="00AC187C">
              <w:rPr>
                <w:i/>
              </w:rPr>
              <w:t>Trueperella</w:t>
            </w:r>
            <w:proofErr w:type="spellEnd"/>
            <w:r w:rsidRPr="00AC187C">
              <w:rPr>
                <w:i/>
              </w:rPr>
              <w:t xml:space="preserve"> </w:t>
            </w:r>
            <w:proofErr w:type="spellStart"/>
            <w:r w:rsidRPr="00AC187C">
              <w:rPr>
                <w:i/>
              </w:rPr>
              <w:t>pyogenes</w:t>
            </w:r>
            <w:proofErr w:type="spellEnd"/>
            <w:r w:rsidRPr="00AC187C">
              <w:t xml:space="preserve"> (35)</w:t>
            </w:r>
          </w:p>
        </w:tc>
        <w:tc>
          <w:tcPr>
            <w:tcW w:w="2268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0,25 - 4</w:t>
            </w:r>
          </w:p>
        </w:tc>
        <w:tc>
          <w:tcPr>
            <w:tcW w:w="1701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rPr>
                <w:szCs w:val="22"/>
              </w:rPr>
              <w:t>2</w:t>
            </w:r>
          </w:p>
        </w:tc>
      </w:tr>
      <w:tr w:rsidR="00E039C1" w:rsidRPr="00AC187C" w:rsidTr="00E6723B">
        <w:tc>
          <w:tcPr>
            <w:tcW w:w="4503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proofErr w:type="spellStart"/>
            <w:r w:rsidRPr="00AC187C">
              <w:rPr>
                <w:i/>
              </w:rPr>
              <w:t>Escherichia</w:t>
            </w:r>
            <w:proofErr w:type="spellEnd"/>
            <w:r w:rsidRPr="00AC187C">
              <w:rPr>
                <w:i/>
              </w:rPr>
              <w:t xml:space="preserve"> coli</w:t>
            </w:r>
            <w:r w:rsidRPr="00AC187C">
              <w:t xml:space="preserve"> (209)</w:t>
            </w:r>
          </w:p>
        </w:tc>
        <w:tc>
          <w:tcPr>
            <w:tcW w:w="2268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0,13 - 2</w:t>
            </w:r>
          </w:p>
        </w:tc>
        <w:tc>
          <w:tcPr>
            <w:tcW w:w="1701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rPr>
                <w:szCs w:val="22"/>
              </w:rPr>
              <w:t>0,5</w:t>
            </w:r>
          </w:p>
        </w:tc>
      </w:tr>
      <w:tr w:rsidR="00E039C1" w:rsidRPr="00AC187C" w:rsidTr="00E6723B">
        <w:tc>
          <w:tcPr>
            <w:tcW w:w="4503" w:type="dxa"/>
          </w:tcPr>
          <w:p w:rsidR="00E039C1" w:rsidRPr="00AC187C" w:rsidRDefault="00E039C1" w:rsidP="00E6723B">
            <w:pPr>
              <w:autoSpaceDE w:val="0"/>
              <w:ind w:left="0" w:firstLine="0"/>
              <w:jc w:val="both"/>
              <w:rPr>
                <w:szCs w:val="22"/>
              </w:rPr>
            </w:pPr>
            <w:proofErr w:type="spellStart"/>
            <w:r w:rsidRPr="00AC187C">
              <w:rPr>
                <w:i/>
              </w:rPr>
              <w:t>Fusobacterium</w:t>
            </w:r>
            <w:proofErr w:type="spellEnd"/>
            <w:r w:rsidRPr="00AC187C">
              <w:rPr>
                <w:i/>
              </w:rPr>
              <w:t xml:space="preserve"> </w:t>
            </w:r>
            <w:proofErr w:type="spellStart"/>
            <w:r w:rsidRPr="00AC187C">
              <w:rPr>
                <w:i/>
              </w:rPr>
              <w:t>necrophorum</w:t>
            </w:r>
            <w:proofErr w:type="spellEnd"/>
            <w:r w:rsidRPr="00AC187C">
              <w:t xml:space="preserve"> (67) (izoláty z případů </w:t>
            </w:r>
            <w:proofErr w:type="spellStart"/>
            <w:r w:rsidRPr="00AC187C">
              <w:t>nekrobacilózy</w:t>
            </w:r>
            <w:proofErr w:type="spellEnd"/>
            <w:r w:rsidRPr="00AC187C">
              <w:t>)</w:t>
            </w:r>
          </w:p>
        </w:tc>
        <w:tc>
          <w:tcPr>
            <w:tcW w:w="2268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sym w:font="Symbol" w:char="F0A3"/>
            </w:r>
            <w:r w:rsidRPr="00AC187C">
              <w:t xml:space="preserve"> 0,06 - 0,13</w:t>
            </w:r>
          </w:p>
        </w:tc>
        <w:tc>
          <w:tcPr>
            <w:tcW w:w="1701" w:type="dxa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rPr>
                <w:szCs w:val="22"/>
              </w:rPr>
              <w:t>ND</w:t>
            </w:r>
          </w:p>
        </w:tc>
      </w:tr>
      <w:tr w:rsidR="00E039C1" w:rsidRPr="00AC187C" w:rsidTr="00E6723B">
        <w:tc>
          <w:tcPr>
            <w:tcW w:w="4503" w:type="dxa"/>
          </w:tcPr>
          <w:p w:rsidR="00E039C1" w:rsidRPr="00AC187C" w:rsidRDefault="00E039C1" w:rsidP="00E6723B">
            <w:pPr>
              <w:autoSpaceDE w:val="0"/>
              <w:ind w:left="0" w:firstLine="0"/>
              <w:jc w:val="both"/>
              <w:rPr>
                <w:szCs w:val="22"/>
              </w:rPr>
            </w:pPr>
            <w:proofErr w:type="spellStart"/>
            <w:r w:rsidRPr="00AC187C">
              <w:rPr>
                <w:i/>
              </w:rPr>
              <w:t>Fusobacterium</w:t>
            </w:r>
            <w:proofErr w:type="spellEnd"/>
            <w:r w:rsidRPr="00AC187C">
              <w:rPr>
                <w:i/>
              </w:rPr>
              <w:t xml:space="preserve"> </w:t>
            </w:r>
            <w:proofErr w:type="spellStart"/>
            <w:r w:rsidRPr="00AC187C">
              <w:rPr>
                <w:i/>
              </w:rPr>
              <w:t>necrophorum</w:t>
            </w:r>
            <w:proofErr w:type="spellEnd"/>
            <w:r w:rsidRPr="00AC187C">
              <w:t xml:space="preserve"> (2) (izoláty z případů akutní metritidy)</w:t>
            </w:r>
          </w:p>
        </w:tc>
        <w:tc>
          <w:tcPr>
            <w:tcW w:w="2268" w:type="dxa"/>
          </w:tcPr>
          <w:p w:rsidR="00E039C1" w:rsidRPr="00AC187C" w:rsidRDefault="00E039C1" w:rsidP="00E6723B">
            <w:r w:rsidRPr="00AC187C">
              <w:sym w:font="Symbol" w:char="F0A3"/>
            </w:r>
            <w:r w:rsidRPr="00AC187C">
              <w:t xml:space="preserve"> 0,03 - 0,06</w:t>
            </w:r>
          </w:p>
        </w:tc>
        <w:tc>
          <w:tcPr>
            <w:tcW w:w="1701" w:type="dxa"/>
          </w:tcPr>
          <w:p w:rsidR="00E039C1" w:rsidRPr="00AC187C" w:rsidRDefault="00E039C1" w:rsidP="00E6723B">
            <w:r w:rsidRPr="00AC187C">
              <w:t>ND</w:t>
            </w:r>
          </w:p>
        </w:tc>
      </w:tr>
    </w:tbl>
    <w:p w:rsidR="00E039C1" w:rsidRPr="00AC187C" w:rsidRDefault="00E039C1" w:rsidP="00E039C1">
      <w:pPr>
        <w:tabs>
          <w:tab w:val="left" w:pos="426"/>
        </w:tabs>
        <w:autoSpaceDE w:val="0"/>
        <w:jc w:val="both"/>
        <w:rPr>
          <w:szCs w:val="22"/>
        </w:rPr>
      </w:pPr>
      <w:r w:rsidRPr="00AC187C">
        <w:rPr>
          <w:szCs w:val="22"/>
        </w:rPr>
        <w:t>ND: nezjištěny</w:t>
      </w:r>
    </w:p>
    <w:p w:rsidR="00E039C1" w:rsidRPr="00AC187C" w:rsidRDefault="00E039C1" w:rsidP="00E039C1">
      <w:pPr>
        <w:tabs>
          <w:tab w:val="left" w:pos="426"/>
        </w:tabs>
        <w:autoSpaceDE w:val="0"/>
        <w:jc w:val="both"/>
        <w:rPr>
          <w:szCs w:val="22"/>
        </w:rPr>
      </w:pPr>
    </w:p>
    <w:p w:rsidR="00E039C1" w:rsidRPr="00AC187C" w:rsidRDefault="00E039C1" w:rsidP="00E039C1">
      <w:pPr>
        <w:tabs>
          <w:tab w:val="left" w:pos="-2552"/>
        </w:tabs>
        <w:autoSpaceDE w:val="0"/>
        <w:ind w:left="0" w:firstLine="0"/>
        <w:jc w:val="both"/>
        <w:rPr>
          <w:szCs w:val="22"/>
        </w:rPr>
      </w:pPr>
      <w:r w:rsidRPr="00AC187C">
        <w:t xml:space="preserve">Pro </w:t>
      </w:r>
      <w:proofErr w:type="spellStart"/>
      <w:r w:rsidRPr="00AC187C">
        <w:t>ceftiofur</w:t>
      </w:r>
      <w:proofErr w:type="spellEnd"/>
      <w:r w:rsidRPr="00AC187C">
        <w:t xml:space="preserve"> CLSI (2013) doporučuje pro respirační patogeny prasat a skotu následující klinické hraniční hodnoty:</w:t>
      </w:r>
    </w:p>
    <w:p w:rsidR="00E039C1" w:rsidRPr="00AC187C" w:rsidRDefault="00E039C1" w:rsidP="00E039C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1"/>
        <w:gridCol w:w="2627"/>
        <w:gridCol w:w="1981"/>
      </w:tblGrid>
      <w:tr w:rsidR="00E039C1" w:rsidRPr="00AC187C" w:rsidTr="00E6723B">
        <w:tc>
          <w:tcPr>
            <w:tcW w:w="2881" w:type="dxa"/>
            <w:shd w:val="clear" w:color="auto" w:fill="auto"/>
          </w:tcPr>
          <w:p w:rsidR="00E039C1" w:rsidRPr="00AC187C" w:rsidRDefault="00E039C1" w:rsidP="00E6723B">
            <w:pPr>
              <w:autoSpaceDE w:val="0"/>
              <w:rPr>
                <w:b/>
                <w:bCs/>
                <w:szCs w:val="22"/>
              </w:rPr>
            </w:pPr>
            <w:r w:rsidRPr="00AC187C">
              <w:br w:type="page"/>
            </w:r>
            <w:r w:rsidRPr="00AC187C">
              <w:rPr>
                <w:b/>
              </w:rPr>
              <w:t>Průměr zóny (mm)</w:t>
            </w:r>
          </w:p>
        </w:tc>
        <w:tc>
          <w:tcPr>
            <w:tcW w:w="2627" w:type="dxa"/>
            <w:shd w:val="clear" w:color="auto" w:fill="auto"/>
          </w:tcPr>
          <w:p w:rsidR="00E039C1" w:rsidRPr="00AC187C" w:rsidRDefault="00E039C1" w:rsidP="00E6723B">
            <w:pPr>
              <w:autoSpaceDE w:val="0"/>
              <w:rPr>
                <w:b/>
                <w:bCs/>
                <w:szCs w:val="22"/>
              </w:rPr>
            </w:pPr>
            <w:r w:rsidRPr="00AC187C">
              <w:rPr>
                <w:b/>
              </w:rPr>
              <w:t>MIC (</w:t>
            </w:r>
            <w:proofErr w:type="spellStart"/>
            <w:r w:rsidRPr="00AC187C">
              <w:rPr>
                <w:b/>
              </w:rPr>
              <w:t>μg</w:t>
            </w:r>
            <w:proofErr w:type="spellEnd"/>
            <w:r w:rsidRPr="00AC187C">
              <w:rPr>
                <w:b/>
              </w:rPr>
              <w:t>/ml)</w:t>
            </w:r>
          </w:p>
        </w:tc>
        <w:tc>
          <w:tcPr>
            <w:tcW w:w="1980" w:type="dxa"/>
            <w:shd w:val="clear" w:color="auto" w:fill="auto"/>
          </w:tcPr>
          <w:p w:rsidR="00E039C1" w:rsidRPr="00AC187C" w:rsidRDefault="00E039C1" w:rsidP="00E6723B">
            <w:pPr>
              <w:tabs>
                <w:tab w:val="left" w:pos="426"/>
              </w:tabs>
              <w:autoSpaceDE w:val="0"/>
              <w:rPr>
                <w:b/>
                <w:bCs/>
                <w:szCs w:val="22"/>
              </w:rPr>
            </w:pPr>
            <w:r w:rsidRPr="00AC187C">
              <w:rPr>
                <w:b/>
              </w:rPr>
              <w:t>Interpretace</w:t>
            </w:r>
          </w:p>
        </w:tc>
      </w:tr>
      <w:tr w:rsidR="00E039C1" w:rsidRPr="00AC187C" w:rsidTr="00E6723B">
        <w:tc>
          <w:tcPr>
            <w:tcW w:w="2881" w:type="dxa"/>
            <w:shd w:val="clear" w:color="auto" w:fill="auto"/>
          </w:tcPr>
          <w:p w:rsidR="00E039C1" w:rsidRPr="00AC187C" w:rsidRDefault="00E039C1" w:rsidP="00E6723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C187C">
              <w:t xml:space="preserve">≥ 21 </w:t>
            </w:r>
          </w:p>
        </w:tc>
        <w:tc>
          <w:tcPr>
            <w:tcW w:w="2627" w:type="dxa"/>
            <w:shd w:val="clear" w:color="auto" w:fill="auto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≤ 2,0</w:t>
            </w:r>
          </w:p>
        </w:tc>
        <w:tc>
          <w:tcPr>
            <w:tcW w:w="1980" w:type="dxa"/>
            <w:shd w:val="clear" w:color="auto" w:fill="auto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(S) Citlivé</w:t>
            </w:r>
          </w:p>
        </w:tc>
      </w:tr>
      <w:tr w:rsidR="00E039C1" w:rsidRPr="00AC187C" w:rsidTr="00E6723B">
        <w:tc>
          <w:tcPr>
            <w:tcW w:w="2881" w:type="dxa"/>
            <w:shd w:val="clear" w:color="auto" w:fill="auto"/>
          </w:tcPr>
          <w:p w:rsidR="00E039C1" w:rsidRPr="00AC187C" w:rsidRDefault="00E039C1" w:rsidP="00E6723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C187C">
              <w:t>18 – 20</w:t>
            </w:r>
          </w:p>
        </w:tc>
        <w:tc>
          <w:tcPr>
            <w:tcW w:w="2627" w:type="dxa"/>
            <w:shd w:val="clear" w:color="auto" w:fill="auto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4,0</w:t>
            </w:r>
          </w:p>
        </w:tc>
        <w:tc>
          <w:tcPr>
            <w:tcW w:w="1980" w:type="dxa"/>
            <w:shd w:val="clear" w:color="auto" w:fill="auto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(I) Intermediární</w:t>
            </w:r>
          </w:p>
        </w:tc>
      </w:tr>
      <w:tr w:rsidR="00E039C1" w:rsidRPr="00AC187C" w:rsidTr="00E6723B">
        <w:tc>
          <w:tcPr>
            <w:tcW w:w="2881" w:type="dxa"/>
            <w:shd w:val="clear" w:color="auto" w:fill="auto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≤ 17</w:t>
            </w:r>
          </w:p>
        </w:tc>
        <w:tc>
          <w:tcPr>
            <w:tcW w:w="2627" w:type="dxa"/>
            <w:shd w:val="clear" w:color="auto" w:fill="auto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≥ 8,0</w:t>
            </w:r>
          </w:p>
        </w:tc>
        <w:tc>
          <w:tcPr>
            <w:tcW w:w="1980" w:type="dxa"/>
            <w:shd w:val="clear" w:color="auto" w:fill="auto"/>
          </w:tcPr>
          <w:p w:rsidR="00E039C1" w:rsidRPr="00AC187C" w:rsidRDefault="00E039C1" w:rsidP="00E6723B">
            <w:pPr>
              <w:autoSpaceDE w:val="0"/>
              <w:jc w:val="both"/>
              <w:rPr>
                <w:szCs w:val="22"/>
              </w:rPr>
            </w:pPr>
            <w:r w:rsidRPr="00AC187C">
              <w:t>(R) Rezistentní</w:t>
            </w:r>
          </w:p>
        </w:tc>
      </w:tr>
    </w:tbl>
    <w:p w:rsidR="00E039C1" w:rsidRPr="00AC187C" w:rsidRDefault="00E039C1" w:rsidP="00E039C1">
      <w:pPr>
        <w:tabs>
          <w:tab w:val="left" w:pos="0"/>
        </w:tabs>
        <w:autoSpaceDE w:val="0"/>
        <w:ind w:left="0" w:firstLine="0"/>
        <w:jc w:val="both"/>
        <w:rPr>
          <w:bCs/>
          <w:szCs w:val="22"/>
        </w:rPr>
      </w:pPr>
      <w:r w:rsidRPr="00AC187C">
        <w:rPr>
          <w:bCs/>
          <w:szCs w:val="22"/>
        </w:rPr>
        <w:t xml:space="preserve">Pro patogeny vyvolávající u skotu </w:t>
      </w:r>
      <w:proofErr w:type="spellStart"/>
      <w:r w:rsidRPr="00AC187C">
        <w:rPr>
          <w:bCs/>
          <w:szCs w:val="22"/>
        </w:rPr>
        <w:t>nekrobacilózu</w:t>
      </w:r>
      <w:proofErr w:type="spellEnd"/>
      <w:r w:rsidRPr="00AC187C">
        <w:rPr>
          <w:bCs/>
          <w:szCs w:val="22"/>
        </w:rPr>
        <w:t xml:space="preserve"> paznehtů nebo akutní poporodní metritidu nebyly </w:t>
      </w:r>
      <w:r w:rsidR="0080131A" w:rsidRPr="00AC187C">
        <w:rPr>
          <w:bCs/>
          <w:szCs w:val="22"/>
        </w:rPr>
        <w:t>doposud</w:t>
      </w:r>
      <w:r w:rsidRPr="00AC187C">
        <w:rPr>
          <w:bCs/>
          <w:szCs w:val="22"/>
        </w:rPr>
        <w:t xml:space="preserve"> stanoveny žádné hraniční hodnoty.</w:t>
      </w:r>
    </w:p>
    <w:p w:rsidR="00E039C1" w:rsidRPr="00AC187C" w:rsidRDefault="00E039C1" w:rsidP="00E039C1">
      <w:pPr>
        <w:jc w:val="both"/>
      </w:pPr>
    </w:p>
    <w:p w:rsidR="00FD434E" w:rsidRPr="00AC187C" w:rsidRDefault="00FD434E" w:rsidP="00E039C1">
      <w:pPr>
        <w:jc w:val="both"/>
        <w:rPr>
          <w:b/>
          <w:bCs/>
          <w:szCs w:val="22"/>
        </w:rPr>
      </w:pPr>
      <w:r w:rsidRPr="00AC187C">
        <w:rPr>
          <w:b/>
        </w:rPr>
        <w:t>4</w:t>
      </w:r>
      <w:r w:rsidR="00E039C1" w:rsidRPr="00AC187C">
        <w:rPr>
          <w:b/>
        </w:rPr>
        <w:t>.</w:t>
      </w:r>
      <w:r w:rsidR="00D14928" w:rsidRPr="00AC187C">
        <w:rPr>
          <w:b/>
        </w:rPr>
        <w:t>3</w:t>
      </w:r>
      <w:r w:rsidR="00E039C1" w:rsidRPr="00AC187C">
        <w:rPr>
          <w:b/>
        </w:rPr>
        <w:tab/>
        <w:t>Farmakokineti</w:t>
      </w:r>
      <w:r w:rsidR="00E578BA" w:rsidRPr="00AC187C">
        <w:rPr>
          <w:b/>
          <w:bCs/>
          <w:szCs w:val="22"/>
        </w:rPr>
        <w:t>ka</w:t>
      </w:r>
    </w:p>
    <w:p w:rsidR="00E039C1" w:rsidRPr="00AC187C" w:rsidRDefault="00E578BA" w:rsidP="00E039C1">
      <w:pPr>
        <w:jc w:val="both"/>
      </w:pPr>
      <w:r w:rsidRPr="00AC187C">
        <w:rPr>
          <w:b/>
          <w:bCs/>
          <w:szCs w:val="22"/>
        </w:rPr>
        <w:t xml:space="preserve"> </w:t>
      </w:r>
    </w:p>
    <w:p w:rsidR="00E039C1" w:rsidRPr="00AC187C" w:rsidRDefault="00E039C1" w:rsidP="00E039C1">
      <w:pPr>
        <w:ind w:left="0" w:firstLine="0"/>
        <w:jc w:val="both"/>
      </w:pPr>
      <w:r w:rsidRPr="00AC187C">
        <w:t xml:space="preserve">Po podání se </w:t>
      </w:r>
      <w:proofErr w:type="spellStart"/>
      <w:r w:rsidRPr="00AC187C">
        <w:t>ceftiofur</w:t>
      </w:r>
      <w:proofErr w:type="spellEnd"/>
      <w:r w:rsidRPr="00AC187C">
        <w:t xml:space="preserve"> rychle metabolizuje na </w:t>
      </w:r>
      <w:proofErr w:type="spellStart"/>
      <w:r w:rsidRPr="00AC187C">
        <w:t>desfuroylceftiofur</w:t>
      </w:r>
      <w:proofErr w:type="spellEnd"/>
      <w:r w:rsidRPr="00AC187C">
        <w:t xml:space="preserve">, hlavní účinný metabolit. </w:t>
      </w:r>
      <w:proofErr w:type="spellStart"/>
      <w:r w:rsidRPr="00AC187C">
        <w:t>Desfuroylceftiofur</w:t>
      </w:r>
      <w:proofErr w:type="spellEnd"/>
      <w:r w:rsidRPr="00AC187C">
        <w:t xml:space="preserve"> má stejný antimikrobní účinek jako </w:t>
      </w:r>
      <w:proofErr w:type="spellStart"/>
      <w:r w:rsidRPr="00AC187C">
        <w:t>ceftiofur</w:t>
      </w:r>
      <w:proofErr w:type="spellEnd"/>
      <w:r w:rsidRPr="00AC187C">
        <w:t xml:space="preserve"> proti bakteriím vyvolávajícím respirační onemocnění u zvířat. Účinný metabolit se reverzibilně váže na plazmatické bílkoviny. Díky transportu těmito proteiny se metabolit koncentruje v místě infekce, je účinný a zůstává účinný v přítomnosti nekrotické tkáně a detritu.</w:t>
      </w:r>
    </w:p>
    <w:p w:rsidR="00E039C1" w:rsidRPr="00AC187C" w:rsidRDefault="00E039C1" w:rsidP="00E039C1">
      <w:pPr>
        <w:ind w:left="0" w:firstLine="0"/>
        <w:jc w:val="both"/>
      </w:pPr>
      <w:r w:rsidRPr="00AC187C">
        <w:t xml:space="preserve">U prasat, kterým byla jednorázově intramuskulárně podána dávka 3 mg/kg živé hmotnosti, bylo dosaženo maximální plazmatické koncentrace 11,8 ± 1,67 µg/ml za 1 hodinu; terminální poločas eliminace (t½) </w:t>
      </w:r>
      <w:proofErr w:type="spellStart"/>
      <w:r w:rsidRPr="00AC187C">
        <w:t>desfuroylceftiofuru</w:t>
      </w:r>
      <w:proofErr w:type="spellEnd"/>
      <w:r w:rsidRPr="00AC187C">
        <w:t xml:space="preserve"> byl 16,7 ± 2,3 hod. Po podání dávky 3 mg </w:t>
      </w:r>
      <w:proofErr w:type="spellStart"/>
      <w:r w:rsidRPr="00AC187C">
        <w:t>ceftiofuru</w:t>
      </w:r>
      <w:proofErr w:type="spellEnd"/>
      <w:r w:rsidRPr="00AC187C">
        <w:t xml:space="preserve">/kg ž.hm./den po dobu 3 po sobě jdoucích dnů nebyla pozorována akumulace </w:t>
      </w:r>
      <w:proofErr w:type="spellStart"/>
      <w:r w:rsidRPr="00AC187C">
        <w:t>desfuroylceftiofuru</w:t>
      </w:r>
      <w:proofErr w:type="spellEnd"/>
      <w:r w:rsidRPr="00AC187C">
        <w:t>.</w:t>
      </w:r>
    </w:p>
    <w:p w:rsidR="00E039C1" w:rsidRPr="00AC187C" w:rsidRDefault="00E039C1" w:rsidP="00E039C1">
      <w:pPr>
        <w:ind w:left="0" w:firstLine="0"/>
        <w:jc w:val="both"/>
      </w:pPr>
    </w:p>
    <w:p w:rsidR="00E039C1" w:rsidRPr="00AC187C" w:rsidRDefault="00E039C1" w:rsidP="00E039C1">
      <w:pPr>
        <w:ind w:left="0" w:firstLine="0"/>
        <w:jc w:val="both"/>
      </w:pPr>
      <w:r w:rsidRPr="00AC187C">
        <w:t xml:space="preserve">Vylučuje se hlavně močí (více než 70 %). </w:t>
      </w:r>
      <w:r w:rsidRPr="00AC187C">
        <w:rPr>
          <w:bCs/>
          <w:szCs w:val="22"/>
        </w:rPr>
        <w:t xml:space="preserve">Ve </w:t>
      </w:r>
      <w:proofErr w:type="spellStart"/>
      <w:r w:rsidRPr="00AC187C">
        <w:rPr>
          <w:bCs/>
          <w:szCs w:val="22"/>
        </w:rPr>
        <w:t>faeces</w:t>
      </w:r>
      <w:proofErr w:type="spellEnd"/>
      <w:r w:rsidRPr="00AC187C">
        <w:rPr>
          <w:bCs/>
          <w:szCs w:val="22"/>
        </w:rPr>
        <w:t xml:space="preserve"> bylo zachyceno </w:t>
      </w:r>
      <w:r w:rsidRPr="00AC187C">
        <w:t>v průměru přibližně 12-15 % podané léčivé látky.</w:t>
      </w:r>
      <w:r w:rsidR="0080131A" w:rsidRPr="00AC187C">
        <w:t xml:space="preserve"> </w:t>
      </w:r>
      <w:proofErr w:type="spellStart"/>
      <w:r w:rsidRPr="00AC187C">
        <w:t>Ceftiofur</w:t>
      </w:r>
      <w:proofErr w:type="spellEnd"/>
      <w:r w:rsidRPr="00AC187C">
        <w:t xml:space="preserve"> je po intramuskulárním podání zcela biologicky dostupný.</w:t>
      </w:r>
    </w:p>
    <w:p w:rsidR="00E039C1" w:rsidRPr="00AC187C" w:rsidRDefault="00E039C1" w:rsidP="00E039C1">
      <w:pPr>
        <w:ind w:left="0" w:firstLine="0"/>
        <w:jc w:val="both"/>
      </w:pPr>
    </w:p>
    <w:p w:rsidR="00E039C1" w:rsidRPr="00AC187C" w:rsidRDefault="00E039C1" w:rsidP="00E039C1">
      <w:pPr>
        <w:ind w:left="0" w:firstLine="0"/>
        <w:jc w:val="both"/>
      </w:pPr>
      <w:r w:rsidRPr="00AC187C">
        <w:rPr>
          <w:szCs w:val="22"/>
        </w:rPr>
        <w:t xml:space="preserve">U skotu bylo po jednorázovém subkutánním podání </w:t>
      </w:r>
      <w:r w:rsidRPr="00AC187C">
        <w:t xml:space="preserve">1 mg/kg dosaženo maximální koncentrace v plazmě 2,85 ± 1,11 µg/ml v průběhu 2 hodin po podání. U zdravých krav byla hodnota </w:t>
      </w:r>
      <w:proofErr w:type="spellStart"/>
      <w:r w:rsidRPr="00AC187C">
        <w:t>Cmax</w:t>
      </w:r>
      <w:proofErr w:type="spellEnd"/>
      <w:r w:rsidRPr="00AC187C">
        <w:t xml:space="preserve"> 2,25 ± 0,79 µg/ml v děložní sliznici dosažena po 5 ± 2 hodinách po podání. Maximální dosažené koncentrace v </w:t>
      </w:r>
      <w:proofErr w:type="spellStart"/>
      <w:r w:rsidRPr="00AC187C">
        <w:t>karunkulech</w:t>
      </w:r>
      <w:proofErr w:type="spellEnd"/>
      <w:r w:rsidRPr="00AC187C">
        <w:t xml:space="preserve"> a lochiích u zdravých krav byly 1,11 ± 0,24 µg/ml, respektive 0,98 ± 0,25 µg/ml.</w:t>
      </w:r>
    </w:p>
    <w:p w:rsidR="00E039C1" w:rsidRPr="00AC187C" w:rsidRDefault="00E039C1" w:rsidP="00F8117A">
      <w:pPr>
        <w:ind w:left="0" w:firstLine="0"/>
        <w:jc w:val="both"/>
      </w:pPr>
      <w:r w:rsidRPr="00AC187C">
        <w:t xml:space="preserve">Konečný poločas eliminace (t½) </w:t>
      </w:r>
      <w:proofErr w:type="spellStart"/>
      <w:r w:rsidRPr="00AC187C">
        <w:t>desfuroylceftiofuru</w:t>
      </w:r>
      <w:proofErr w:type="spellEnd"/>
      <w:r w:rsidRPr="00AC187C">
        <w:t xml:space="preserve"> u skotu je 11,5 ± 2,57 hodin. Po 5 denní léčbě nebyla zaznamenána akumulace. Látka je vylučována především močí (více než 55%); 31 % dávky bylo zjištěno ve </w:t>
      </w:r>
      <w:proofErr w:type="spellStart"/>
      <w:r w:rsidRPr="00AC187C">
        <w:t>faeces</w:t>
      </w:r>
      <w:proofErr w:type="spellEnd"/>
      <w:r w:rsidRPr="00AC187C">
        <w:t>.</w:t>
      </w:r>
      <w:r w:rsidR="000702F9" w:rsidRPr="00AC187C">
        <w:t xml:space="preserve"> </w:t>
      </w:r>
      <w:proofErr w:type="spellStart"/>
      <w:r w:rsidRPr="00AC187C">
        <w:t>Ceftiofur</w:t>
      </w:r>
      <w:proofErr w:type="spellEnd"/>
      <w:r w:rsidRPr="00AC187C">
        <w:t xml:space="preserve"> je po subkutánním podání zcela biologicky dostupný.</w:t>
      </w:r>
    </w:p>
    <w:p w:rsidR="00E039C1" w:rsidRPr="00AC187C" w:rsidRDefault="00E039C1" w:rsidP="00E039C1">
      <w:pPr>
        <w:jc w:val="both"/>
        <w:rPr>
          <w:b/>
        </w:rPr>
      </w:pPr>
    </w:p>
    <w:p w:rsidR="00FD434E" w:rsidRPr="00AC187C" w:rsidRDefault="00FD434E" w:rsidP="00E039C1">
      <w:pPr>
        <w:jc w:val="both"/>
        <w:rPr>
          <w:b/>
        </w:rPr>
      </w:pPr>
    </w:p>
    <w:p w:rsidR="00E039C1" w:rsidRPr="00AC187C" w:rsidRDefault="00E578BA" w:rsidP="00FD434E">
      <w:pPr>
        <w:keepNext/>
        <w:jc w:val="both"/>
      </w:pPr>
      <w:r w:rsidRPr="00AC187C">
        <w:rPr>
          <w:b/>
        </w:rPr>
        <w:lastRenderedPageBreak/>
        <w:t>5</w:t>
      </w:r>
      <w:r w:rsidR="00E039C1" w:rsidRPr="00AC187C">
        <w:rPr>
          <w:b/>
        </w:rPr>
        <w:t>.</w:t>
      </w:r>
      <w:r w:rsidR="00E039C1" w:rsidRPr="00AC187C">
        <w:rPr>
          <w:b/>
        </w:rPr>
        <w:tab/>
        <w:t>FARMACEUTICKÉ ÚDAJE</w:t>
      </w:r>
    </w:p>
    <w:p w:rsidR="00E039C1" w:rsidRPr="00AC187C" w:rsidRDefault="00E039C1" w:rsidP="00FD434E">
      <w:pPr>
        <w:keepNext/>
        <w:jc w:val="both"/>
        <w:rPr>
          <w:b/>
        </w:rPr>
      </w:pPr>
    </w:p>
    <w:p w:rsidR="00E039C1" w:rsidRPr="00AC187C" w:rsidRDefault="00E578BA" w:rsidP="00FD434E">
      <w:pPr>
        <w:keepNext/>
        <w:jc w:val="both"/>
        <w:rPr>
          <w:b/>
        </w:rPr>
      </w:pPr>
      <w:r w:rsidRPr="00AC187C">
        <w:rPr>
          <w:b/>
        </w:rPr>
        <w:t>5.1</w:t>
      </w:r>
      <w:r w:rsidR="00E039C1" w:rsidRPr="00AC187C">
        <w:rPr>
          <w:b/>
        </w:rPr>
        <w:tab/>
        <w:t>Hlavní inkompatibility</w:t>
      </w:r>
    </w:p>
    <w:p w:rsidR="00FD434E" w:rsidRPr="00AC187C" w:rsidRDefault="00FD434E" w:rsidP="00FD434E">
      <w:pPr>
        <w:keepNext/>
        <w:tabs>
          <w:tab w:val="left" w:pos="0"/>
        </w:tabs>
        <w:ind w:left="0" w:firstLine="0"/>
        <w:jc w:val="both"/>
      </w:pPr>
    </w:p>
    <w:p w:rsidR="00E039C1" w:rsidRPr="00AC187C" w:rsidRDefault="00E039C1" w:rsidP="00E039C1">
      <w:pPr>
        <w:tabs>
          <w:tab w:val="left" w:pos="0"/>
        </w:tabs>
        <w:ind w:left="0" w:firstLine="0"/>
        <w:jc w:val="both"/>
      </w:pPr>
      <w:r w:rsidRPr="00AC187C">
        <w:t>Studie kompatibility nejsou k dispozici, a proto tento veterinární léčivý přípravek nesmí být mísen s žádnými dalšími veterinárními léčivými přípravky.</w:t>
      </w:r>
    </w:p>
    <w:p w:rsidR="00E039C1" w:rsidRPr="00AC187C" w:rsidRDefault="00E039C1" w:rsidP="00E039C1">
      <w:pPr>
        <w:jc w:val="both"/>
      </w:pPr>
    </w:p>
    <w:p w:rsidR="00E039C1" w:rsidRPr="00AC187C" w:rsidRDefault="00E578BA" w:rsidP="00E039C1">
      <w:pPr>
        <w:jc w:val="both"/>
      </w:pPr>
      <w:r w:rsidRPr="00AC187C">
        <w:rPr>
          <w:b/>
        </w:rPr>
        <w:t>5.2</w:t>
      </w:r>
      <w:r w:rsidR="00E039C1" w:rsidRPr="00AC187C">
        <w:rPr>
          <w:b/>
        </w:rPr>
        <w:tab/>
        <w:t>Doba použitelnosti</w:t>
      </w:r>
    </w:p>
    <w:p w:rsidR="007C580E" w:rsidRPr="00AC187C" w:rsidRDefault="007C580E" w:rsidP="00E039C1">
      <w:pPr>
        <w:ind w:right="-318"/>
        <w:jc w:val="both"/>
      </w:pPr>
    </w:p>
    <w:p w:rsidR="00E039C1" w:rsidRPr="00AC187C" w:rsidRDefault="00E039C1" w:rsidP="00E039C1">
      <w:pPr>
        <w:ind w:right="-318"/>
        <w:jc w:val="both"/>
      </w:pPr>
      <w:r w:rsidRPr="00AC187C">
        <w:t>Doba použitelnosti veterinárního léčivého přípravku v neporušeném obalu: 30 měsíců.</w:t>
      </w:r>
    </w:p>
    <w:p w:rsidR="00E039C1" w:rsidRPr="00AC187C" w:rsidRDefault="00E039C1" w:rsidP="00E039C1">
      <w:pPr>
        <w:ind w:right="-318"/>
        <w:jc w:val="both"/>
      </w:pPr>
      <w:r w:rsidRPr="00AC187C">
        <w:t>Doba použitelnosti po prvním otevření vnitřního obalu: 28 dnů.</w:t>
      </w:r>
    </w:p>
    <w:p w:rsidR="00E039C1" w:rsidRPr="00AC187C" w:rsidRDefault="00E039C1" w:rsidP="00E039C1">
      <w:pPr>
        <w:ind w:right="-318"/>
        <w:jc w:val="both"/>
      </w:pPr>
    </w:p>
    <w:p w:rsidR="00E039C1" w:rsidRPr="00AC187C" w:rsidRDefault="00E578BA" w:rsidP="00E039C1">
      <w:pPr>
        <w:jc w:val="both"/>
      </w:pPr>
      <w:r w:rsidRPr="00AC187C">
        <w:rPr>
          <w:b/>
        </w:rPr>
        <w:t>5.3</w:t>
      </w:r>
      <w:r w:rsidR="00E039C1" w:rsidRPr="00AC187C">
        <w:rPr>
          <w:b/>
        </w:rPr>
        <w:tab/>
        <w:t>Zvláštní opatření pro uchovávání</w:t>
      </w:r>
    </w:p>
    <w:p w:rsidR="007C580E" w:rsidRPr="00AC187C" w:rsidRDefault="007C580E" w:rsidP="00E039C1">
      <w:pPr>
        <w:ind w:right="-318"/>
        <w:jc w:val="both"/>
      </w:pPr>
    </w:p>
    <w:p w:rsidR="00E039C1" w:rsidRPr="00AC187C" w:rsidRDefault="00E039C1" w:rsidP="00E039C1">
      <w:pPr>
        <w:ind w:right="-318"/>
        <w:jc w:val="both"/>
      </w:pPr>
      <w:r w:rsidRPr="00AC187C">
        <w:t>Uchovávejte injekční lahvičku v krabičce, aby byla chráněna před světlem.</w:t>
      </w:r>
    </w:p>
    <w:p w:rsidR="00E039C1" w:rsidRPr="00AC187C" w:rsidRDefault="00E039C1" w:rsidP="00E039C1">
      <w:pPr>
        <w:ind w:right="-318"/>
        <w:jc w:val="both"/>
      </w:pPr>
    </w:p>
    <w:p w:rsidR="00E039C1" w:rsidRPr="00AC187C" w:rsidRDefault="00E578BA" w:rsidP="00E039C1">
      <w:pPr>
        <w:ind w:right="-318"/>
        <w:jc w:val="both"/>
      </w:pPr>
      <w:r w:rsidRPr="00AC187C">
        <w:rPr>
          <w:b/>
        </w:rPr>
        <w:t>5.4</w:t>
      </w:r>
      <w:r w:rsidR="00E039C1" w:rsidRPr="00AC187C">
        <w:rPr>
          <w:b/>
        </w:rPr>
        <w:tab/>
        <w:t>Druh a složení vnitřního obalu</w:t>
      </w:r>
    </w:p>
    <w:p w:rsidR="007C580E" w:rsidRPr="00AC187C" w:rsidRDefault="007C580E" w:rsidP="00E039C1">
      <w:pPr>
        <w:ind w:left="0" w:right="-318" w:firstLine="0"/>
      </w:pPr>
    </w:p>
    <w:p w:rsidR="00E039C1" w:rsidRPr="00AC187C" w:rsidRDefault="00E039C1" w:rsidP="00E039C1">
      <w:pPr>
        <w:ind w:left="0" w:right="-318" w:firstLine="0"/>
      </w:pPr>
      <w:r w:rsidRPr="00AC187C">
        <w:t>Bezbarvá skleněná injekční lahvička typu I s </w:t>
      </w:r>
      <w:proofErr w:type="spellStart"/>
      <w:r w:rsidRPr="00AC187C">
        <w:t>brombutylovou</w:t>
      </w:r>
      <w:proofErr w:type="spellEnd"/>
      <w:r w:rsidRPr="00AC187C">
        <w:t xml:space="preserve"> zátkou a hliníkov</w:t>
      </w:r>
      <w:r w:rsidR="000F6A10" w:rsidRPr="00AC187C">
        <w:t>ým</w:t>
      </w:r>
      <w:r w:rsidRPr="00AC187C">
        <w:t xml:space="preserve"> </w:t>
      </w:r>
      <w:proofErr w:type="spellStart"/>
      <w:r w:rsidRPr="00AC187C">
        <w:t>pertl</w:t>
      </w:r>
      <w:r w:rsidR="000F6A10" w:rsidRPr="00AC187C">
        <w:t>em</w:t>
      </w:r>
      <w:proofErr w:type="spellEnd"/>
      <w:r w:rsidRPr="00AC187C">
        <w:t>.</w:t>
      </w:r>
    </w:p>
    <w:p w:rsidR="00E039C1" w:rsidRPr="00AC187C" w:rsidRDefault="00E039C1" w:rsidP="00E039C1">
      <w:pPr>
        <w:ind w:left="0" w:right="-318" w:firstLine="0"/>
      </w:pPr>
    </w:p>
    <w:p w:rsidR="00E039C1" w:rsidRPr="00AC187C" w:rsidRDefault="00E039C1" w:rsidP="00E039C1">
      <w:pPr>
        <w:ind w:left="0" w:right="-318" w:firstLine="0"/>
        <w:rPr>
          <w:u w:val="single"/>
        </w:rPr>
      </w:pPr>
      <w:r w:rsidRPr="00AC187C">
        <w:rPr>
          <w:u w:val="single"/>
        </w:rPr>
        <w:t>Velikosti balení:</w:t>
      </w:r>
    </w:p>
    <w:p w:rsidR="00E039C1" w:rsidRPr="00AC187C" w:rsidRDefault="00E039C1" w:rsidP="00E039C1">
      <w:pPr>
        <w:ind w:left="0" w:right="-318" w:firstLine="0"/>
      </w:pPr>
      <w:r w:rsidRPr="00AC187C">
        <w:t>Papírová krabička s</w:t>
      </w:r>
      <w:r w:rsidR="000F6A10" w:rsidRPr="00AC187C">
        <w:t xml:space="preserve"> 1 </w:t>
      </w:r>
      <w:r w:rsidRPr="00AC187C">
        <w:t>injekční lahvičkou o obsahu 100 ml.</w:t>
      </w:r>
    </w:p>
    <w:p w:rsidR="00E039C1" w:rsidRPr="00AC187C" w:rsidRDefault="00E039C1" w:rsidP="00E039C1">
      <w:pPr>
        <w:ind w:left="0" w:right="-318" w:firstLine="0"/>
      </w:pPr>
      <w:r w:rsidRPr="00AC187C">
        <w:t>Papírová krabička s</w:t>
      </w:r>
      <w:r w:rsidR="000F6A10" w:rsidRPr="00AC187C">
        <w:t> </w:t>
      </w:r>
      <w:r w:rsidRPr="00AC187C">
        <w:t>1</w:t>
      </w:r>
      <w:r w:rsidR="000F6A10" w:rsidRPr="00AC187C">
        <w:t xml:space="preserve"> </w:t>
      </w:r>
      <w:r w:rsidRPr="00AC187C">
        <w:t>injekční lahvičkou o obsahu 250 ml.</w:t>
      </w:r>
    </w:p>
    <w:p w:rsidR="00E039C1" w:rsidRPr="00AC187C" w:rsidRDefault="00E039C1" w:rsidP="00E039C1">
      <w:pPr>
        <w:ind w:left="0" w:right="-318" w:firstLine="0"/>
      </w:pPr>
    </w:p>
    <w:p w:rsidR="00E039C1" w:rsidRPr="00AC187C" w:rsidRDefault="00E039C1" w:rsidP="00E039C1">
      <w:pPr>
        <w:ind w:left="0" w:right="-318" w:firstLine="0"/>
      </w:pPr>
      <w:r w:rsidRPr="00AC187C">
        <w:t>Na trhu nemusí být všechny velikosti balení.</w:t>
      </w:r>
    </w:p>
    <w:p w:rsidR="00E039C1" w:rsidRPr="00AC187C" w:rsidRDefault="00E039C1" w:rsidP="00E039C1">
      <w:pPr>
        <w:ind w:right="-318"/>
        <w:jc w:val="both"/>
      </w:pPr>
    </w:p>
    <w:p w:rsidR="00E039C1" w:rsidRPr="00AC187C" w:rsidRDefault="00E578BA" w:rsidP="00E039C1">
      <w:pPr>
        <w:ind w:left="0" w:firstLine="0"/>
        <w:jc w:val="both"/>
        <w:rPr>
          <w:b/>
        </w:rPr>
      </w:pPr>
      <w:r w:rsidRPr="00AC187C">
        <w:rPr>
          <w:b/>
        </w:rPr>
        <w:t>5.5</w:t>
      </w:r>
      <w:r w:rsidR="00E039C1" w:rsidRPr="00AC187C">
        <w:tab/>
      </w:r>
      <w:r w:rsidR="00E039C1" w:rsidRPr="00AC187C">
        <w:rPr>
          <w:b/>
        </w:rPr>
        <w:t xml:space="preserve">Zvláštní opatření pro </w:t>
      </w:r>
      <w:r w:rsidR="007C580E" w:rsidRPr="00AC187C">
        <w:rPr>
          <w:b/>
        </w:rPr>
        <w:t xml:space="preserve">likvidaci </w:t>
      </w:r>
      <w:r w:rsidR="00E039C1" w:rsidRPr="00AC187C">
        <w:rPr>
          <w:b/>
        </w:rPr>
        <w:t>nepouži</w:t>
      </w:r>
      <w:r w:rsidR="007C580E" w:rsidRPr="00AC187C">
        <w:rPr>
          <w:b/>
        </w:rPr>
        <w:t xml:space="preserve">tých </w:t>
      </w:r>
      <w:r w:rsidR="00E039C1" w:rsidRPr="00AC187C">
        <w:rPr>
          <w:b/>
        </w:rPr>
        <w:t>veterinární</w:t>
      </w:r>
      <w:r w:rsidR="007C580E" w:rsidRPr="00AC187C">
        <w:rPr>
          <w:b/>
        </w:rPr>
        <w:t xml:space="preserve">ch </w:t>
      </w:r>
      <w:r w:rsidR="00E039C1" w:rsidRPr="00AC187C">
        <w:rPr>
          <w:b/>
        </w:rPr>
        <w:t>léčiv</w:t>
      </w:r>
      <w:r w:rsidR="007C580E" w:rsidRPr="00AC187C">
        <w:rPr>
          <w:b/>
        </w:rPr>
        <w:t>ých</w:t>
      </w:r>
      <w:r w:rsidR="00E039C1" w:rsidRPr="00AC187C">
        <w:rPr>
          <w:b/>
        </w:rPr>
        <w:t xml:space="preserve"> přípravk</w:t>
      </w:r>
      <w:r w:rsidR="007C580E" w:rsidRPr="00AC187C">
        <w:rPr>
          <w:b/>
        </w:rPr>
        <w:t>ů</w:t>
      </w:r>
      <w:r w:rsidR="00E039C1" w:rsidRPr="00AC187C">
        <w:rPr>
          <w:b/>
        </w:rPr>
        <w:t xml:space="preserve"> nebo </w:t>
      </w:r>
      <w:r w:rsidR="00E039C1" w:rsidRPr="00AC187C">
        <w:rPr>
          <w:b/>
        </w:rPr>
        <w:tab/>
        <w:t>odpad</w:t>
      </w:r>
      <w:r w:rsidR="007C580E" w:rsidRPr="00AC187C">
        <w:rPr>
          <w:b/>
        </w:rPr>
        <w:t>ů</w:t>
      </w:r>
      <w:r w:rsidR="00E039C1" w:rsidRPr="00AC187C">
        <w:rPr>
          <w:b/>
        </w:rPr>
        <w:t>, kter</w:t>
      </w:r>
      <w:r w:rsidR="007C580E" w:rsidRPr="00AC187C">
        <w:rPr>
          <w:b/>
        </w:rPr>
        <w:t>é</w:t>
      </w:r>
      <w:r w:rsidR="00E039C1" w:rsidRPr="00AC187C">
        <w:rPr>
          <w:b/>
        </w:rPr>
        <w:t xml:space="preserve"> pochází z</w:t>
      </w:r>
      <w:r w:rsidR="007C580E" w:rsidRPr="00AC187C">
        <w:rPr>
          <w:b/>
        </w:rPr>
        <w:t> </w:t>
      </w:r>
      <w:r w:rsidR="00E039C1" w:rsidRPr="00AC187C">
        <w:rPr>
          <w:b/>
        </w:rPr>
        <w:t>t</w:t>
      </w:r>
      <w:r w:rsidR="007C580E" w:rsidRPr="00AC187C">
        <w:rPr>
          <w:b/>
        </w:rPr>
        <w:t xml:space="preserve">ěchto </w:t>
      </w:r>
      <w:r w:rsidR="00E039C1" w:rsidRPr="00AC187C">
        <w:rPr>
          <w:b/>
        </w:rPr>
        <w:t>přípravk</w:t>
      </w:r>
      <w:r w:rsidR="007C580E" w:rsidRPr="00AC187C">
        <w:rPr>
          <w:b/>
        </w:rPr>
        <w:t>ů</w:t>
      </w:r>
    </w:p>
    <w:p w:rsidR="00286D50" w:rsidRPr="00AC187C" w:rsidRDefault="00286D50" w:rsidP="00E039C1">
      <w:pPr>
        <w:ind w:left="0" w:firstLine="0"/>
        <w:jc w:val="both"/>
      </w:pPr>
    </w:p>
    <w:p w:rsidR="00E578BA" w:rsidRPr="00F8117A" w:rsidRDefault="00286D50" w:rsidP="00E578BA">
      <w:pPr>
        <w:ind w:right="-318"/>
        <w:jc w:val="both"/>
        <w:rPr>
          <w:rFonts w:ascii="Arial" w:hAnsi="Arial" w:cs="Arial"/>
          <w:szCs w:val="22"/>
          <w:highlight w:val="yellow"/>
        </w:rPr>
      </w:pPr>
      <w:r w:rsidRPr="00AC187C">
        <w:rPr>
          <w:szCs w:val="22"/>
        </w:rPr>
        <w:t>Léčivé přípravky se nesmí likvidovat prostřednictvím odpadní vody či domovního odpadu.</w:t>
      </w:r>
    </w:p>
    <w:p w:rsidR="00C06A91" w:rsidRPr="00AC187C" w:rsidRDefault="00286D50" w:rsidP="00E578BA">
      <w:pPr>
        <w:jc w:val="both"/>
        <w:rPr>
          <w:szCs w:val="22"/>
        </w:rPr>
      </w:pPr>
      <w:r w:rsidRPr="00AC187C">
        <w:rPr>
          <w:szCs w:val="22"/>
        </w:rPr>
        <w:t xml:space="preserve">Všechen nepoužitý veterinární léčivý přípravek nebo odpad, který pochází z tohoto přípravku, likvidujte </w:t>
      </w:r>
    </w:p>
    <w:p w:rsidR="00C06A91" w:rsidRPr="00AC187C" w:rsidRDefault="00286D50" w:rsidP="00E578BA">
      <w:pPr>
        <w:jc w:val="both"/>
        <w:rPr>
          <w:szCs w:val="22"/>
        </w:rPr>
      </w:pPr>
      <w:r w:rsidRPr="00AC187C">
        <w:rPr>
          <w:szCs w:val="22"/>
        </w:rPr>
        <w:t xml:space="preserve">odevzdáním v souladu s místními požadavky a národními systémy sběru, které jsou platné pro příslušný </w:t>
      </w:r>
    </w:p>
    <w:p w:rsidR="00286D50" w:rsidRPr="00AC187C" w:rsidRDefault="00286D50" w:rsidP="00E039C1">
      <w:pPr>
        <w:ind w:left="0" w:right="-318" w:firstLine="0"/>
        <w:jc w:val="both"/>
      </w:pPr>
      <w:r w:rsidRPr="00AC187C">
        <w:rPr>
          <w:szCs w:val="22"/>
        </w:rPr>
        <w:t xml:space="preserve">veterinární léčivý přípravek. </w:t>
      </w:r>
    </w:p>
    <w:p w:rsidR="007C580E" w:rsidRPr="00AC187C" w:rsidRDefault="007C580E" w:rsidP="005D591B">
      <w:pPr>
        <w:ind w:right="-318"/>
        <w:jc w:val="both"/>
        <w:rPr>
          <w:b/>
          <w:bCs/>
          <w:szCs w:val="22"/>
        </w:rPr>
      </w:pPr>
    </w:p>
    <w:p w:rsidR="007C580E" w:rsidRPr="00AC187C" w:rsidRDefault="007C580E" w:rsidP="005D591B">
      <w:pPr>
        <w:ind w:right="-318"/>
        <w:jc w:val="both"/>
        <w:rPr>
          <w:b/>
          <w:bCs/>
          <w:szCs w:val="22"/>
        </w:rPr>
      </w:pPr>
    </w:p>
    <w:p w:rsidR="00E039C1" w:rsidRPr="00AC187C" w:rsidRDefault="005D591B" w:rsidP="005D591B">
      <w:pPr>
        <w:ind w:right="-318"/>
        <w:jc w:val="both"/>
        <w:rPr>
          <w:b/>
          <w:bCs/>
          <w:szCs w:val="22"/>
        </w:rPr>
      </w:pPr>
      <w:r w:rsidRPr="00AC187C">
        <w:rPr>
          <w:b/>
          <w:bCs/>
          <w:szCs w:val="22"/>
        </w:rPr>
        <w:t>6.</w:t>
      </w:r>
      <w:r w:rsidR="007C580E" w:rsidRPr="00AC187C">
        <w:rPr>
          <w:b/>
          <w:bCs/>
          <w:szCs w:val="22"/>
        </w:rPr>
        <w:tab/>
      </w:r>
      <w:r w:rsidRPr="00AC187C">
        <w:rPr>
          <w:b/>
          <w:bCs/>
          <w:szCs w:val="22"/>
        </w:rPr>
        <w:t>JMÉNO DRŽITELE ROZHODNUTÍ O REGISTRACI</w:t>
      </w:r>
    </w:p>
    <w:p w:rsidR="005D591B" w:rsidRPr="00AC187C" w:rsidRDefault="005D591B" w:rsidP="005D591B">
      <w:pPr>
        <w:ind w:right="-318"/>
        <w:jc w:val="both"/>
        <w:rPr>
          <w:b/>
          <w:bCs/>
          <w:szCs w:val="22"/>
        </w:rPr>
      </w:pPr>
    </w:p>
    <w:p w:rsidR="005D591B" w:rsidRPr="00AC187C" w:rsidRDefault="005D591B" w:rsidP="005D591B">
      <w:pPr>
        <w:jc w:val="both"/>
      </w:pPr>
      <w:r w:rsidRPr="00AC187C">
        <w:t>SUPER’S DIANA, S.L.</w:t>
      </w:r>
    </w:p>
    <w:p w:rsidR="005D591B" w:rsidRPr="00AC187C" w:rsidRDefault="005D591B" w:rsidP="005D591B">
      <w:pPr>
        <w:ind w:right="-318"/>
        <w:jc w:val="both"/>
        <w:rPr>
          <w:b/>
          <w:bCs/>
          <w:szCs w:val="22"/>
        </w:rPr>
      </w:pPr>
    </w:p>
    <w:p w:rsidR="005D591B" w:rsidRPr="00AC187C" w:rsidRDefault="005D591B" w:rsidP="005D591B">
      <w:pPr>
        <w:ind w:right="-318"/>
        <w:jc w:val="both"/>
      </w:pPr>
    </w:p>
    <w:p w:rsidR="00E578BA" w:rsidRPr="00AC187C" w:rsidRDefault="00E578BA" w:rsidP="00E578BA">
      <w:pPr>
        <w:ind w:right="-318"/>
        <w:jc w:val="both"/>
        <w:rPr>
          <w:b/>
          <w:bCs/>
          <w:szCs w:val="22"/>
        </w:rPr>
      </w:pPr>
      <w:r w:rsidRPr="00AC187C">
        <w:rPr>
          <w:b/>
          <w:bCs/>
          <w:szCs w:val="22"/>
        </w:rPr>
        <w:t>7.</w:t>
      </w:r>
      <w:r w:rsidR="007C580E" w:rsidRPr="00AC187C">
        <w:rPr>
          <w:b/>
          <w:bCs/>
          <w:szCs w:val="22"/>
        </w:rPr>
        <w:tab/>
      </w:r>
      <w:r w:rsidRPr="00AC187C">
        <w:rPr>
          <w:b/>
          <w:bCs/>
          <w:szCs w:val="22"/>
        </w:rPr>
        <w:t>REGISTRAČNÍ ČÍSLO(A)</w:t>
      </w:r>
    </w:p>
    <w:p w:rsidR="00286D50" w:rsidRPr="00AC187C" w:rsidRDefault="00286D50" w:rsidP="00E578BA">
      <w:pPr>
        <w:ind w:right="-318"/>
        <w:jc w:val="both"/>
        <w:rPr>
          <w:szCs w:val="22"/>
        </w:rPr>
      </w:pPr>
    </w:p>
    <w:p w:rsidR="00E578BA" w:rsidRDefault="00F8117A" w:rsidP="00E578BA">
      <w:pPr>
        <w:ind w:right="-318"/>
        <w:jc w:val="both"/>
        <w:rPr>
          <w:szCs w:val="22"/>
        </w:rPr>
      </w:pPr>
      <w:r w:rsidRPr="00F8117A">
        <w:rPr>
          <w:szCs w:val="22"/>
        </w:rPr>
        <w:t>96/047/13-C</w:t>
      </w:r>
    </w:p>
    <w:p w:rsidR="00F8117A" w:rsidRPr="00AC187C" w:rsidRDefault="00F8117A" w:rsidP="00E578BA">
      <w:pPr>
        <w:ind w:right="-318"/>
        <w:jc w:val="both"/>
      </w:pPr>
    </w:p>
    <w:p w:rsidR="007C580E" w:rsidRPr="00AC187C" w:rsidRDefault="007C580E" w:rsidP="00E578BA">
      <w:pPr>
        <w:ind w:right="-318"/>
        <w:jc w:val="both"/>
      </w:pPr>
    </w:p>
    <w:p w:rsidR="00286D50" w:rsidRPr="00AC187C" w:rsidRDefault="00E578BA" w:rsidP="00E039C1">
      <w:pPr>
        <w:jc w:val="both"/>
        <w:rPr>
          <w:b/>
          <w:bCs/>
          <w:szCs w:val="22"/>
        </w:rPr>
      </w:pPr>
      <w:r w:rsidRPr="00AC187C">
        <w:rPr>
          <w:b/>
          <w:bCs/>
          <w:szCs w:val="22"/>
        </w:rPr>
        <w:t>8.</w:t>
      </w:r>
      <w:r w:rsidR="007C580E" w:rsidRPr="00AC187C">
        <w:rPr>
          <w:b/>
          <w:bCs/>
          <w:szCs w:val="22"/>
        </w:rPr>
        <w:tab/>
      </w:r>
      <w:r w:rsidRPr="00AC187C">
        <w:rPr>
          <w:b/>
          <w:bCs/>
          <w:szCs w:val="22"/>
        </w:rPr>
        <w:t xml:space="preserve">DATUM PRVNÍ REGISTRACE </w:t>
      </w:r>
    </w:p>
    <w:p w:rsidR="00286D50" w:rsidRPr="00AC187C" w:rsidRDefault="00286D50" w:rsidP="00E039C1">
      <w:pPr>
        <w:jc w:val="both"/>
        <w:rPr>
          <w:b/>
          <w:bCs/>
          <w:szCs w:val="22"/>
        </w:rPr>
      </w:pPr>
    </w:p>
    <w:p w:rsidR="00286D50" w:rsidRDefault="00F8117A" w:rsidP="00286D50">
      <w:pPr>
        <w:jc w:val="both"/>
        <w:rPr>
          <w:szCs w:val="22"/>
        </w:rPr>
      </w:pPr>
      <w:r w:rsidRPr="00F8117A">
        <w:rPr>
          <w:szCs w:val="22"/>
        </w:rPr>
        <w:t>14.11.2013</w:t>
      </w:r>
    </w:p>
    <w:p w:rsidR="00F8117A" w:rsidRPr="00AC187C" w:rsidRDefault="00F8117A" w:rsidP="00286D50">
      <w:pPr>
        <w:jc w:val="both"/>
        <w:rPr>
          <w:b/>
          <w:bCs/>
          <w:szCs w:val="22"/>
        </w:rPr>
      </w:pPr>
    </w:p>
    <w:p w:rsidR="007C580E" w:rsidRPr="00AC187C" w:rsidRDefault="007C580E" w:rsidP="00286D50">
      <w:pPr>
        <w:jc w:val="both"/>
        <w:rPr>
          <w:b/>
          <w:bCs/>
          <w:szCs w:val="22"/>
        </w:rPr>
      </w:pPr>
    </w:p>
    <w:p w:rsidR="00E039C1" w:rsidRPr="00AC187C" w:rsidRDefault="00E578BA" w:rsidP="00E578BA">
      <w:pPr>
        <w:ind w:right="-318"/>
        <w:jc w:val="both"/>
        <w:rPr>
          <w:b/>
          <w:bCs/>
          <w:szCs w:val="22"/>
        </w:rPr>
      </w:pPr>
      <w:r w:rsidRPr="00AC187C">
        <w:rPr>
          <w:b/>
          <w:bCs/>
          <w:szCs w:val="22"/>
        </w:rPr>
        <w:t>9.</w:t>
      </w:r>
      <w:r w:rsidR="007C580E" w:rsidRPr="00AC187C">
        <w:rPr>
          <w:b/>
          <w:bCs/>
          <w:szCs w:val="22"/>
        </w:rPr>
        <w:tab/>
      </w:r>
      <w:r w:rsidRPr="00AC187C">
        <w:rPr>
          <w:b/>
          <w:bCs/>
          <w:szCs w:val="22"/>
        </w:rPr>
        <w:t>DATUM POSLEDNÍ AKTUALIZACE SOUHRNU ÚDAJŮ O PŘÍPRAVKU</w:t>
      </w:r>
    </w:p>
    <w:p w:rsidR="00E578BA" w:rsidRPr="00AC187C" w:rsidRDefault="00E578BA" w:rsidP="00E578BA">
      <w:pPr>
        <w:ind w:right="-318"/>
        <w:jc w:val="both"/>
        <w:rPr>
          <w:b/>
          <w:bCs/>
          <w:szCs w:val="22"/>
        </w:rPr>
      </w:pPr>
    </w:p>
    <w:p w:rsidR="00E578BA" w:rsidRPr="00F8117A" w:rsidRDefault="00F8117A" w:rsidP="00E578BA">
      <w:pPr>
        <w:tabs>
          <w:tab w:val="left" w:pos="0"/>
        </w:tabs>
        <w:jc w:val="both"/>
        <w:rPr>
          <w:szCs w:val="22"/>
        </w:rPr>
      </w:pPr>
      <w:r w:rsidRPr="00F8117A">
        <w:rPr>
          <w:szCs w:val="22"/>
        </w:rPr>
        <w:t>03/2026</w:t>
      </w:r>
    </w:p>
    <w:p w:rsidR="00E578BA" w:rsidRPr="00AC187C" w:rsidRDefault="00E578BA" w:rsidP="00E578BA">
      <w:pPr>
        <w:ind w:right="-318"/>
        <w:jc w:val="both"/>
      </w:pPr>
    </w:p>
    <w:p w:rsidR="007C580E" w:rsidRPr="00AC187C" w:rsidRDefault="007C580E" w:rsidP="00E578BA">
      <w:pPr>
        <w:ind w:right="-318"/>
        <w:jc w:val="both"/>
      </w:pPr>
    </w:p>
    <w:p w:rsidR="00E578BA" w:rsidRPr="00AC187C" w:rsidRDefault="00E578BA" w:rsidP="007C580E">
      <w:pPr>
        <w:keepNext/>
        <w:ind w:right="-318"/>
        <w:jc w:val="both"/>
        <w:rPr>
          <w:b/>
          <w:bCs/>
          <w:szCs w:val="22"/>
        </w:rPr>
      </w:pPr>
      <w:r w:rsidRPr="00AC187C">
        <w:rPr>
          <w:b/>
          <w:bCs/>
          <w:szCs w:val="22"/>
        </w:rPr>
        <w:lastRenderedPageBreak/>
        <w:t>10.</w:t>
      </w:r>
      <w:r w:rsidR="007C580E" w:rsidRPr="00AC187C">
        <w:rPr>
          <w:b/>
          <w:bCs/>
          <w:szCs w:val="22"/>
        </w:rPr>
        <w:tab/>
      </w:r>
      <w:r w:rsidRPr="00AC187C">
        <w:rPr>
          <w:b/>
          <w:bCs/>
          <w:szCs w:val="22"/>
        </w:rPr>
        <w:t>KLASIFIKACE VETERINÁRNÍCH LÉČIVÝCH PŘÍPRAVKŮ</w:t>
      </w:r>
    </w:p>
    <w:p w:rsidR="00E578BA" w:rsidRPr="00AC187C" w:rsidRDefault="00E578BA" w:rsidP="007C580E">
      <w:pPr>
        <w:keepNext/>
        <w:numPr>
          <w:ilvl w:val="12"/>
          <w:numId w:val="0"/>
        </w:numPr>
        <w:jc w:val="both"/>
        <w:rPr>
          <w:rFonts w:ascii="Arial" w:hAnsi="Arial" w:cs="Arial"/>
          <w:szCs w:val="22"/>
        </w:rPr>
      </w:pPr>
    </w:p>
    <w:p w:rsidR="00E578BA" w:rsidRPr="00AC187C" w:rsidRDefault="00286D50" w:rsidP="00250246">
      <w:pPr>
        <w:ind w:right="-318"/>
        <w:jc w:val="both"/>
        <w:rPr>
          <w:szCs w:val="22"/>
        </w:rPr>
      </w:pPr>
      <w:r w:rsidRPr="00AC187C">
        <w:rPr>
          <w:szCs w:val="22"/>
        </w:rPr>
        <w:t>Veterinární léčivý přípravek je vydáván pouze na předpis.</w:t>
      </w:r>
    </w:p>
    <w:p w:rsidR="000702F9" w:rsidRPr="00AC187C" w:rsidRDefault="000702F9" w:rsidP="00250246">
      <w:pPr>
        <w:ind w:right="-318"/>
        <w:jc w:val="both"/>
        <w:rPr>
          <w:b/>
          <w:bCs/>
          <w:szCs w:val="22"/>
        </w:rPr>
      </w:pPr>
    </w:p>
    <w:p w:rsidR="000702F9" w:rsidRPr="00F8117A" w:rsidRDefault="000702F9" w:rsidP="00250246">
      <w:pPr>
        <w:ind w:right="-318"/>
        <w:jc w:val="both"/>
        <w:rPr>
          <w:bCs/>
          <w:szCs w:val="22"/>
        </w:rPr>
      </w:pPr>
      <w:r w:rsidRPr="00F8117A">
        <w:rPr>
          <w:bCs/>
          <w:szCs w:val="22"/>
        </w:rPr>
        <w:t>Přípravek s indikačním omezením.</w:t>
      </w:r>
    </w:p>
    <w:p w:rsidR="007C580E" w:rsidRPr="00AC187C" w:rsidRDefault="007C580E">
      <w:pPr>
        <w:ind w:right="-318"/>
        <w:jc w:val="both"/>
        <w:rPr>
          <w:szCs w:val="22"/>
        </w:rPr>
      </w:pPr>
    </w:p>
    <w:p w:rsidR="00F8117A" w:rsidRPr="00F8117A" w:rsidRDefault="00F8117A" w:rsidP="00F8117A">
      <w:pPr>
        <w:tabs>
          <w:tab w:val="left" w:pos="567"/>
        </w:tabs>
        <w:spacing w:line="260" w:lineRule="exact"/>
        <w:ind w:left="0" w:right="-1" w:firstLine="0"/>
        <w:rPr>
          <w:i/>
          <w:szCs w:val="22"/>
        </w:rPr>
      </w:pPr>
      <w:bookmarkStart w:id="1" w:name="_Hlk73467306"/>
      <w:r w:rsidRPr="00F8117A">
        <w:t xml:space="preserve">Podrobné informace o tomto veterinárním léčivém přípravku jsou k dispozici v databázi přípravků Unie </w:t>
      </w:r>
      <w:r w:rsidRPr="00F8117A">
        <w:rPr>
          <w:szCs w:val="22"/>
        </w:rPr>
        <w:t>(</w:t>
      </w:r>
      <w:hyperlink r:id="rId7" w:history="1">
        <w:r w:rsidRPr="00F8117A">
          <w:rPr>
            <w:color w:val="0000FF"/>
            <w:szCs w:val="22"/>
            <w:u w:val="single"/>
          </w:rPr>
          <w:t>https://medicines.health.europa.eu/veterinary</w:t>
        </w:r>
      </w:hyperlink>
      <w:r w:rsidRPr="00F8117A">
        <w:rPr>
          <w:szCs w:val="22"/>
        </w:rPr>
        <w:t>)</w:t>
      </w:r>
      <w:r w:rsidRPr="00F8117A">
        <w:rPr>
          <w:i/>
          <w:szCs w:val="22"/>
        </w:rPr>
        <w:t>.</w:t>
      </w:r>
      <w:bookmarkEnd w:id="1"/>
    </w:p>
    <w:p w:rsidR="00F8117A" w:rsidRPr="00F8117A" w:rsidRDefault="00F8117A" w:rsidP="00F8117A">
      <w:pPr>
        <w:tabs>
          <w:tab w:val="left" w:pos="567"/>
        </w:tabs>
        <w:spacing w:line="260" w:lineRule="exact"/>
        <w:ind w:left="0" w:right="-1" w:firstLine="0"/>
        <w:rPr>
          <w:szCs w:val="22"/>
        </w:rPr>
      </w:pPr>
    </w:p>
    <w:p w:rsidR="00F8117A" w:rsidRPr="00F8117A" w:rsidRDefault="00F8117A" w:rsidP="00F8117A">
      <w:pPr>
        <w:tabs>
          <w:tab w:val="left" w:pos="567"/>
        </w:tabs>
        <w:spacing w:line="260" w:lineRule="exact"/>
        <w:ind w:left="0" w:right="-1" w:firstLine="0"/>
        <w:rPr>
          <w:szCs w:val="22"/>
        </w:rPr>
      </w:pPr>
      <w:bookmarkStart w:id="2" w:name="_Hlk219459630"/>
      <w:r w:rsidRPr="00F8117A">
        <w:rPr>
          <w:szCs w:val="22"/>
        </w:rPr>
        <w:t>Podrobné informace o tomto veterinárním léčivém přípravku naleznete také v národní databázi (</w:t>
      </w:r>
      <w:hyperlink r:id="rId8" w:history="1">
        <w:r w:rsidRPr="00F8117A">
          <w:rPr>
            <w:color w:val="0000FF"/>
            <w:szCs w:val="22"/>
            <w:u w:val="single"/>
          </w:rPr>
          <w:t>https://www.uskvbl.cz</w:t>
        </w:r>
      </w:hyperlink>
      <w:r w:rsidRPr="00F8117A">
        <w:rPr>
          <w:szCs w:val="22"/>
        </w:rPr>
        <w:t>).</w:t>
      </w:r>
    </w:p>
    <w:p w:rsidR="00E039C1" w:rsidRPr="00AC187C" w:rsidRDefault="00E039C1" w:rsidP="00E039C1">
      <w:pPr>
        <w:jc w:val="both"/>
        <w:rPr>
          <w:b/>
        </w:rPr>
      </w:pPr>
      <w:bookmarkStart w:id="3" w:name="_GoBack"/>
      <w:bookmarkEnd w:id="2"/>
      <w:bookmarkEnd w:id="3"/>
    </w:p>
    <w:p w:rsidR="00E039C1" w:rsidRPr="00AC187C" w:rsidRDefault="00E039C1" w:rsidP="00E039C1">
      <w:pPr>
        <w:jc w:val="both"/>
      </w:pPr>
    </w:p>
    <w:p w:rsidR="00E039C1" w:rsidRPr="00AC187C" w:rsidRDefault="00E039C1" w:rsidP="00E039C1"/>
    <w:p w:rsidR="00990659" w:rsidRPr="00AC187C" w:rsidRDefault="00990659"/>
    <w:sectPr w:rsidR="00990659" w:rsidRPr="00AC187C" w:rsidSect="00923504">
      <w:footerReference w:type="default" r:id="rId9"/>
      <w:headerReference w:type="first" r:id="rId10"/>
      <w:footerReference w:type="first" r:id="rId11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6F6" w:rsidRDefault="00A846F6">
      <w:r>
        <w:separator/>
      </w:r>
    </w:p>
  </w:endnote>
  <w:endnote w:type="continuationSeparator" w:id="0">
    <w:p w:rsidR="00A846F6" w:rsidRDefault="00A8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659" w:rsidRDefault="00990659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990659" w:rsidRDefault="00F171A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B66C91">
      <w:instrText xml:space="preserve"> PAGE  \* MERGEFORMAT </w:instrText>
    </w:r>
    <w:r>
      <w:fldChar w:fldCharType="separate"/>
    </w:r>
    <w:r w:rsidR="00A05CFF"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659" w:rsidRDefault="00990659">
    <w:pPr>
      <w:pStyle w:val="Zpat"/>
      <w:tabs>
        <w:tab w:val="clear" w:pos="8930"/>
        <w:tab w:val="right" w:pos="8931"/>
      </w:tabs>
    </w:pPr>
  </w:p>
  <w:p w:rsidR="00990659" w:rsidRDefault="00F171A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B66C91">
      <w:instrText xml:space="preserve"> PAGE  \* MERGEFORMAT </w:instrText>
    </w:r>
    <w:r>
      <w:fldChar w:fldCharType="separate"/>
    </w:r>
    <w:r w:rsidR="00A05CF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6F6" w:rsidRDefault="00A846F6">
      <w:r>
        <w:separator/>
      </w:r>
    </w:p>
  </w:footnote>
  <w:footnote w:type="continuationSeparator" w:id="0">
    <w:p w:rsidR="00A846F6" w:rsidRDefault="00A8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F75" w:rsidRDefault="006F6F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Restart w:val="2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Restart w:val="2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Restart w:val="2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Restart w:val="2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Restart w:val="2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1D17F99"/>
    <w:multiLevelType w:val="hybridMultilevel"/>
    <w:tmpl w:val="B234EE9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86557"/>
    <w:multiLevelType w:val="hybridMultilevel"/>
    <w:tmpl w:val="EE969E6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1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6"/>
  </w:num>
  <w:num w:numId="5">
    <w:abstractNumId w:val="35"/>
  </w:num>
  <w:num w:numId="6">
    <w:abstractNumId w:val="11"/>
  </w:num>
  <w:num w:numId="7">
    <w:abstractNumId w:val="22"/>
  </w:num>
  <w:num w:numId="8">
    <w:abstractNumId w:val="20"/>
  </w:num>
  <w:num w:numId="9">
    <w:abstractNumId w:val="6"/>
  </w:num>
  <w:num w:numId="10">
    <w:abstractNumId w:val="33"/>
  </w:num>
  <w:num w:numId="11">
    <w:abstractNumId w:val="34"/>
  </w:num>
  <w:num w:numId="12">
    <w:abstractNumId w:val="16"/>
  </w:num>
  <w:num w:numId="13">
    <w:abstractNumId w:val="13"/>
  </w:num>
  <w:num w:numId="14">
    <w:abstractNumId w:val="2"/>
  </w:num>
  <w:num w:numId="15">
    <w:abstractNumId w:val="32"/>
  </w:num>
  <w:num w:numId="16">
    <w:abstractNumId w:val="18"/>
  </w:num>
  <w:num w:numId="17">
    <w:abstractNumId w:val="37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5"/>
  </w:num>
  <w:num w:numId="24">
    <w:abstractNumId w:val="10"/>
  </w:num>
  <w:num w:numId="25">
    <w:abstractNumId w:val="31"/>
  </w:num>
  <w:num w:numId="26">
    <w:abstractNumId w:val="24"/>
  </w:num>
  <w:num w:numId="27">
    <w:abstractNumId w:val="12"/>
  </w:num>
  <w:num w:numId="28">
    <w:abstractNumId w:val="9"/>
  </w:num>
  <w:num w:numId="29">
    <w:abstractNumId w:val="19"/>
  </w:num>
  <w:num w:numId="30">
    <w:abstractNumId w:val="23"/>
  </w:num>
  <w:num w:numId="31">
    <w:abstractNumId w:val="14"/>
  </w:num>
  <w:num w:numId="32">
    <w:abstractNumId w:val="8"/>
  </w:num>
  <w:num w:numId="33">
    <w:abstractNumId w:val="29"/>
  </w:num>
  <w:num w:numId="34">
    <w:abstractNumId w:val="30"/>
  </w:num>
  <w:num w:numId="35">
    <w:abstractNumId w:val="28"/>
  </w:num>
  <w:num w:numId="36">
    <w:abstractNumId w:val="15"/>
  </w:num>
  <w:num w:numId="37">
    <w:abstractNumId w:val="4"/>
  </w:num>
  <w:num w:numId="38">
    <w:abstractNumId w:val="38"/>
  </w:num>
  <w:num w:numId="39">
    <w:abstractNumId w:val="21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A82534"/>
    <w:rsid w:val="000329F3"/>
    <w:rsid w:val="00047044"/>
    <w:rsid w:val="00063803"/>
    <w:rsid w:val="000702F9"/>
    <w:rsid w:val="000A3360"/>
    <w:rsid w:val="000F6A10"/>
    <w:rsid w:val="00165296"/>
    <w:rsid w:val="002058EA"/>
    <w:rsid w:val="00250246"/>
    <w:rsid w:val="0028385A"/>
    <w:rsid w:val="00286D50"/>
    <w:rsid w:val="002A0BAF"/>
    <w:rsid w:val="002E07B3"/>
    <w:rsid w:val="00305965"/>
    <w:rsid w:val="00311455"/>
    <w:rsid w:val="00386C53"/>
    <w:rsid w:val="003B18D6"/>
    <w:rsid w:val="003E6C0C"/>
    <w:rsid w:val="0041453B"/>
    <w:rsid w:val="004B2E5F"/>
    <w:rsid w:val="0054608D"/>
    <w:rsid w:val="00552E55"/>
    <w:rsid w:val="00557372"/>
    <w:rsid w:val="00557387"/>
    <w:rsid w:val="005D591B"/>
    <w:rsid w:val="00672834"/>
    <w:rsid w:val="0069671F"/>
    <w:rsid w:val="006F6F75"/>
    <w:rsid w:val="00744FAA"/>
    <w:rsid w:val="00762260"/>
    <w:rsid w:val="00764926"/>
    <w:rsid w:val="007C580E"/>
    <w:rsid w:val="007E42E4"/>
    <w:rsid w:val="007F48BB"/>
    <w:rsid w:val="0080131A"/>
    <w:rsid w:val="00805970"/>
    <w:rsid w:val="00807146"/>
    <w:rsid w:val="008817D2"/>
    <w:rsid w:val="008C0DAF"/>
    <w:rsid w:val="00913BA8"/>
    <w:rsid w:val="00923504"/>
    <w:rsid w:val="00924C04"/>
    <w:rsid w:val="00942937"/>
    <w:rsid w:val="00990659"/>
    <w:rsid w:val="0099372C"/>
    <w:rsid w:val="009971E1"/>
    <w:rsid w:val="009D4B81"/>
    <w:rsid w:val="009E1B58"/>
    <w:rsid w:val="00A05CFF"/>
    <w:rsid w:val="00A2322A"/>
    <w:rsid w:val="00A56662"/>
    <w:rsid w:val="00A57046"/>
    <w:rsid w:val="00A82534"/>
    <w:rsid w:val="00A846F6"/>
    <w:rsid w:val="00A90943"/>
    <w:rsid w:val="00AC187C"/>
    <w:rsid w:val="00AC2BD2"/>
    <w:rsid w:val="00B566EB"/>
    <w:rsid w:val="00B66C91"/>
    <w:rsid w:val="00C06A91"/>
    <w:rsid w:val="00C34967"/>
    <w:rsid w:val="00C46198"/>
    <w:rsid w:val="00CC0080"/>
    <w:rsid w:val="00D0480B"/>
    <w:rsid w:val="00D14928"/>
    <w:rsid w:val="00D51CFC"/>
    <w:rsid w:val="00DC5310"/>
    <w:rsid w:val="00E039C1"/>
    <w:rsid w:val="00E07C73"/>
    <w:rsid w:val="00E578BA"/>
    <w:rsid w:val="00E60453"/>
    <w:rsid w:val="00E71162"/>
    <w:rsid w:val="00EB3F40"/>
    <w:rsid w:val="00ED024A"/>
    <w:rsid w:val="00F0724D"/>
    <w:rsid w:val="00F135AE"/>
    <w:rsid w:val="00F171A5"/>
    <w:rsid w:val="00F26BD0"/>
    <w:rsid w:val="00F739D3"/>
    <w:rsid w:val="00F8117A"/>
    <w:rsid w:val="00FA3AB3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90846"/>
  <w15:docId w15:val="{C60F5EE0-F308-409D-B659-C988194F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23504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923504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923504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923504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923504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923504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923504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92350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923504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923504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3504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923504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923504"/>
    <w:pPr>
      <w:ind w:left="1760"/>
    </w:pPr>
  </w:style>
  <w:style w:type="character" w:styleId="Odkaznavysvtlivky">
    <w:name w:val="endnote reference"/>
    <w:rsid w:val="00923504"/>
    <w:rPr>
      <w:vertAlign w:val="superscript"/>
    </w:rPr>
  </w:style>
  <w:style w:type="character" w:styleId="Znakapoznpodarou">
    <w:name w:val="footnote reference"/>
    <w:rsid w:val="00923504"/>
    <w:rPr>
      <w:vertAlign w:val="superscript"/>
    </w:rPr>
  </w:style>
  <w:style w:type="paragraph" w:styleId="Textpoznpodarou">
    <w:name w:val="footnote text"/>
    <w:basedOn w:val="Normln"/>
    <w:rsid w:val="00923504"/>
    <w:pPr>
      <w:jc w:val="both"/>
    </w:pPr>
    <w:rPr>
      <w:sz w:val="20"/>
    </w:rPr>
  </w:style>
  <w:style w:type="paragraph" w:styleId="Zkladntext">
    <w:name w:val="Body Text"/>
    <w:basedOn w:val="Normln"/>
    <w:rsid w:val="00923504"/>
    <w:pPr>
      <w:jc w:val="both"/>
    </w:pPr>
  </w:style>
  <w:style w:type="paragraph" w:styleId="Textvbloku">
    <w:name w:val="Block Text"/>
    <w:basedOn w:val="Normln"/>
    <w:rsid w:val="00923504"/>
    <w:pPr>
      <w:ind w:left="2268" w:right="1711"/>
    </w:pPr>
    <w:rPr>
      <w:b/>
    </w:rPr>
  </w:style>
  <w:style w:type="paragraph" w:styleId="Zkladntext2">
    <w:name w:val="Body Text 2"/>
    <w:basedOn w:val="Normln"/>
    <w:rsid w:val="00923504"/>
    <w:rPr>
      <w:b/>
    </w:rPr>
  </w:style>
  <w:style w:type="paragraph" w:styleId="Zkladntext3">
    <w:name w:val="Body Text 3"/>
    <w:basedOn w:val="Normln"/>
    <w:rsid w:val="00923504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923504"/>
  </w:style>
  <w:style w:type="character" w:styleId="Odkaznakoment">
    <w:name w:val="annotation reference"/>
    <w:rsid w:val="00923504"/>
    <w:rPr>
      <w:sz w:val="16"/>
    </w:rPr>
  </w:style>
  <w:style w:type="paragraph" w:styleId="Zkladntextodsazen2">
    <w:name w:val="Body Text Indent 2"/>
    <w:basedOn w:val="Normln"/>
    <w:rsid w:val="00923504"/>
    <w:pPr>
      <w:jc w:val="both"/>
    </w:pPr>
    <w:rPr>
      <w:b/>
    </w:rPr>
  </w:style>
  <w:style w:type="paragraph" w:styleId="Textkomente">
    <w:name w:val="annotation text"/>
    <w:basedOn w:val="Normln"/>
    <w:link w:val="TextkomenteChar"/>
    <w:rsid w:val="00923504"/>
    <w:rPr>
      <w:sz w:val="20"/>
    </w:rPr>
  </w:style>
  <w:style w:type="paragraph" w:styleId="Zkladntextodsazen3">
    <w:name w:val="Body Text Indent 3"/>
    <w:basedOn w:val="Normln"/>
    <w:rsid w:val="00923504"/>
  </w:style>
  <w:style w:type="paragraph" w:customStyle="1" w:styleId="Bullet">
    <w:name w:val="Bullet"/>
    <w:basedOn w:val="Normln"/>
    <w:rsid w:val="00923504"/>
    <w:pPr>
      <w:numPr>
        <w:numId w:val="2"/>
      </w:numPr>
    </w:pPr>
  </w:style>
  <w:style w:type="paragraph" w:styleId="Textbubliny">
    <w:name w:val="Balloon Text"/>
    <w:basedOn w:val="Normln"/>
    <w:rsid w:val="00923504"/>
    <w:rPr>
      <w:rFonts w:ascii="Tahoma" w:hAnsi="Tahoma" w:cs="Tahoma"/>
      <w:sz w:val="16"/>
      <w:szCs w:val="16"/>
    </w:rPr>
  </w:style>
  <w:style w:type="character" w:styleId="Hypertextovodkaz">
    <w:name w:val="Hyperlink"/>
    <w:rsid w:val="00923504"/>
    <w:rPr>
      <w:color w:val="0000FF"/>
      <w:u w:val="single"/>
    </w:rPr>
  </w:style>
  <w:style w:type="paragraph" w:customStyle="1" w:styleId="AHeader1">
    <w:name w:val="AHeader 1"/>
    <w:basedOn w:val="Normln"/>
    <w:rsid w:val="00923504"/>
    <w:pPr>
      <w:numPr>
        <w:numId w:val="32"/>
      </w:numPr>
      <w:tabs>
        <w:tab w:val="clear" w:pos="720"/>
        <w:tab w:val="num" w:pos="360"/>
      </w:tabs>
      <w:spacing w:after="120"/>
      <w:ind w:left="567" w:hanging="567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923504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923504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923504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923504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923504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C3496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9D4B81"/>
    <w:rPr>
      <w:sz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286D50"/>
    <w:rPr>
      <w:b/>
      <w:bCs/>
    </w:rPr>
  </w:style>
  <w:style w:type="character" w:customStyle="1" w:styleId="TextkomenteChar">
    <w:name w:val="Text komentáře Char"/>
    <w:link w:val="Textkomente"/>
    <w:rsid w:val="00286D50"/>
    <w:rPr>
      <w:lang w:val="cs-CZ" w:eastAsia="en-US"/>
    </w:rPr>
  </w:style>
  <w:style w:type="character" w:customStyle="1" w:styleId="PedmtkomenteChar">
    <w:name w:val="Předmět komentáře Char"/>
    <w:link w:val="Pedmtkomente"/>
    <w:rsid w:val="00286D50"/>
    <w:rPr>
      <w:b/>
      <w:bCs/>
      <w:lang w:val="cs-CZ" w:eastAsia="en-US"/>
    </w:rPr>
  </w:style>
  <w:style w:type="paragraph" w:customStyle="1" w:styleId="Default">
    <w:name w:val="Default"/>
    <w:rsid w:val="00286D50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character" w:styleId="Nevyeenzmnka">
    <w:name w:val="Unresolved Mention"/>
    <w:basedOn w:val="Standardnpsmoodstavce"/>
    <w:uiPriority w:val="99"/>
    <w:semiHidden/>
    <w:unhideWhenUsed/>
    <w:rsid w:val="00070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2199</Words>
  <Characters>12978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[Version 7</vt:lpstr>
      <vt:lpstr>[Version 7</vt:lpstr>
    </vt:vector>
  </TitlesOfParts>
  <Company>Translation Centre</Company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Acer-i3</dc:creator>
  <cp:lastModifiedBy>Neugebauerová Kateřina</cp:lastModifiedBy>
  <cp:revision>25</cp:revision>
  <cp:lastPrinted>2026-03-19T12:08:00Z</cp:lastPrinted>
  <dcterms:created xsi:type="dcterms:W3CDTF">2025-10-07T06:44:00Z</dcterms:created>
  <dcterms:modified xsi:type="dcterms:W3CDTF">2026-03-19T12:08:00Z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</Properties>
</file>