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99E52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9AB8189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3954522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089CD18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18DDDD9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A84964B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B86612A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D4A384A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35E32EA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FD43882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B88DD06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C93E428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0A4961D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51FD097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0922D03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2D5A52E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92EAE6D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EE667D5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82A4738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8FB1E51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4C6BD5A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75AFAD0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854E496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BD24567" w14:textId="77777777" w:rsidR="004C4408" w:rsidRPr="005E65EF" w:rsidRDefault="00C17D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5E65EF">
        <w:rPr>
          <w:b/>
          <w:szCs w:val="22"/>
        </w:rPr>
        <w:t>PŘÍLOHA I</w:t>
      </w:r>
    </w:p>
    <w:p w14:paraId="7CBD6472" w14:textId="77777777" w:rsidR="004C4408" w:rsidRPr="005E65E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8C35624" w14:textId="77777777" w:rsidR="004C4408" w:rsidRPr="005E65EF" w:rsidRDefault="00C17D40">
      <w:pPr>
        <w:pStyle w:val="TITLEA1"/>
      </w:pPr>
      <w:r w:rsidRPr="005E65EF">
        <w:t>SOUHRN ÚDAJŮ O PŘÍPRAVKU</w:t>
      </w:r>
    </w:p>
    <w:p w14:paraId="48CC45C5" w14:textId="77777777" w:rsidR="004C4408" w:rsidRPr="005E65EF" w:rsidRDefault="00C17D40" w:rsidP="00E52BF1">
      <w:pPr>
        <w:pStyle w:val="Style1"/>
        <w:ind w:right="-1"/>
      </w:pPr>
      <w:r w:rsidRPr="005E65EF">
        <w:br w:type="page"/>
      </w:r>
      <w:r w:rsidRPr="005E65EF">
        <w:lastRenderedPageBreak/>
        <w:t>1.</w:t>
      </w:r>
      <w:r w:rsidRPr="005E65EF">
        <w:tab/>
        <w:t>NÁZEV VETERINÁRNÍHO LÉČIVÉHO PŘÍPRAVKU</w:t>
      </w:r>
    </w:p>
    <w:p w14:paraId="5F9D743A" w14:textId="77777777" w:rsidR="004C4408" w:rsidRPr="005E65EF" w:rsidRDefault="004C4408" w:rsidP="00E52BF1">
      <w:pPr>
        <w:tabs>
          <w:tab w:val="clear" w:pos="567"/>
        </w:tabs>
        <w:spacing w:line="240" w:lineRule="auto"/>
        <w:ind w:right="-1"/>
        <w:rPr>
          <w:szCs w:val="22"/>
        </w:rPr>
      </w:pPr>
    </w:p>
    <w:p w14:paraId="0B191A40" w14:textId="57CF8FAA" w:rsidR="00141F79" w:rsidRPr="005E65EF" w:rsidRDefault="00141F79" w:rsidP="00E52BF1">
      <w:pPr>
        <w:ind w:right="-1"/>
        <w:jc w:val="both"/>
        <w:rPr>
          <w:bCs/>
          <w:szCs w:val="22"/>
        </w:rPr>
      </w:pPr>
      <w:r w:rsidRPr="005E65EF">
        <w:rPr>
          <w:bCs/>
          <w:szCs w:val="22"/>
        </w:rPr>
        <w:t xml:space="preserve">ORBENIN DC 500 mg intramamární suspenze </w:t>
      </w:r>
    </w:p>
    <w:p w14:paraId="178B58B2" w14:textId="77777777" w:rsidR="00E52BF1" w:rsidRPr="005E65EF" w:rsidRDefault="00E52BF1" w:rsidP="00E52BF1">
      <w:pPr>
        <w:ind w:right="-1"/>
        <w:jc w:val="both"/>
        <w:rPr>
          <w:bCs/>
          <w:szCs w:val="22"/>
        </w:rPr>
      </w:pPr>
    </w:p>
    <w:p w14:paraId="020DAEF5" w14:textId="77777777" w:rsidR="004C4408" w:rsidRPr="005E65EF" w:rsidRDefault="004C4408" w:rsidP="00E52BF1">
      <w:pPr>
        <w:tabs>
          <w:tab w:val="clear" w:pos="567"/>
        </w:tabs>
        <w:spacing w:line="240" w:lineRule="auto"/>
        <w:ind w:right="-1"/>
        <w:rPr>
          <w:szCs w:val="22"/>
        </w:rPr>
      </w:pPr>
    </w:p>
    <w:p w14:paraId="5B21D36D" w14:textId="77777777" w:rsidR="004C4408" w:rsidRPr="005E65EF" w:rsidRDefault="00C17D40" w:rsidP="00E52BF1">
      <w:pPr>
        <w:pStyle w:val="Style1"/>
        <w:ind w:right="-1"/>
      </w:pPr>
      <w:r w:rsidRPr="005E65EF">
        <w:t>2.</w:t>
      </w:r>
      <w:r w:rsidRPr="005E65EF">
        <w:tab/>
        <w:t>KVALITATIVNÍ A KVANTITATIVNÍ SLOŽENÍ</w:t>
      </w:r>
    </w:p>
    <w:p w14:paraId="3BB8D085" w14:textId="77777777" w:rsidR="004C4408" w:rsidRPr="005E65EF" w:rsidRDefault="004C4408" w:rsidP="00E52BF1">
      <w:pPr>
        <w:tabs>
          <w:tab w:val="clear" w:pos="567"/>
        </w:tabs>
        <w:spacing w:line="240" w:lineRule="auto"/>
        <w:ind w:right="-1"/>
        <w:rPr>
          <w:szCs w:val="22"/>
        </w:rPr>
      </w:pPr>
    </w:p>
    <w:p w14:paraId="05FEBF3B" w14:textId="77777777" w:rsidR="003D4D5B" w:rsidRPr="005E65EF" w:rsidRDefault="003D4D5B" w:rsidP="00E52BF1">
      <w:pPr>
        <w:ind w:right="-1"/>
        <w:jc w:val="both"/>
        <w:rPr>
          <w:color w:val="000000"/>
          <w:szCs w:val="22"/>
        </w:rPr>
      </w:pPr>
      <w:r w:rsidRPr="005E65EF">
        <w:rPr>
          <w:color w:val="000000"/>
          <w:szCs w:val="22"/>
        </w:rPr>
        <w:t>Jeden aplikátor (3 g) obsahuje:</w:t>
      </w:r>
    </w:p>
    <w:p w14:paraId="737A2A4B" w14:textId="77777777" w:rsidR="00A136E1" w:rsidRPr="005E65EF" w:rsidRDefault="00A136E1" w:rsidP="00E52BF1">
      <w:pPr>
        <w:tabs>
          <w:tab w:val="left" w:pos="851"/>
          <w:tab w:val="left" w:pos="3150"/>
          <w:tab w:val="left" w:pos="5040"/>
          <w:tab w:val="right" w:pos="7230"/>
        </w:tabs>
        <w:ind w:right="-1"/>
        <w:rPr>
          <w:b/>
          <w:bCs/>
        </w:rPr>
      </w:pPr>
    </w:p>
    <w:p w14:paraId="11B7F450" w14:textId="18306F3E" w:rsidR="00371AF2" w:rsidRPr="005E65EF" w:rsidRDefault="00371AF2" w:rsidP="00E52BF1">
      <w:pPr>
        <w:tabs>
          <w:tab w:val="left" w:pos="851"/>
          <w:tab w:val="left" w:pos="3150"/>
          <w:tab w:val="left" w:pos="5040"/>
          <w:tab w:val="right" w:pos="7230"/>
        </w:tabs>
        <w:ind w:right="-1"/>
      </w:pPr>
      <w:r w:rsidRPr="005E65EF">
        <w:rPr>
          <w:b/>
          <w:bCs/>
        </w:rPr>
        <w:t>Léčiv</w:t>
      </w:r>
      <w:r w:rsidR="00D06A5D" w:rsidRPr="005E65EF">
        <w:rPr>
          <w:b/>
          <w:bCs/>
        </w:rPr>
        <w:t>á</w:t>
      </w:r>
      <w:r w:rsidRPr="005E65EF">
        <w:rPr>
          <w:b/>
          <w:bCs/>
        </w:rPr>
        <w:t xml:space="preserve"> látk</w:t>
      </w:r>
      <w:r w:rsidR="00D06A5D" w:rsidRPr="005E65EF">
        <w:rPr>
          <w:b/>
          <w:bCs/>
        </w:rPr>
        <w:t>a</w:t>
      </w:r>
      <w:r w:rsidRPr="005E65EF">
        <w:rPr>
          <w:b/>
          <w:bCs/>
        </w:rPr>
        <w:t>:</w:t>
      </w:r>
    </w:p>
    <w:p w14:paraId="08B7B3AC" w14:textId="4DA032D8" w:rsidR="00AC6C7A" w:rsidRPr="005E65EF" w:rsidRDefault="00AC6C7A" w:rsidP="00E52BF1">
      <w:pPr>
        <w:tabs>
          <w:tab w:val="left" w:pos="851"/>
          <w:tab w:val="left" w:pos="3150"/>
          <w:tab w:val="left" w:pos="5040"/>
          <w:tab w:val="right" w:pos="7230"/>
        </w:tabs>
        <w:ind w:right="-1"/>
      </w:pPr>
    </w:p>
    <w:p w14:paraId="5FD69F87" w14:textId="0D699D58" w:rsidR="00FA1D35" w:rsidRPr="005E65EF" w:rsidRDefault="00FA1D35" w:rsidP="00E52BF1">
      <w:pPr>
        <w:ind w:right="-1"/>
        <w:jc w:val="both"/>
        <w:rPr>
          <w:szCs w:val="22"/>
        </w:rPr>
      </w:pPr>
      <w:r w:rsidRPr="005E65EF">
        <w:rPr>
          <w:szCs w:val="22"/>
        </w:rPr>
        <w:t>Cloxacillinum (jako</w:t>
      </w:r>
      <w:r w:rsidR="004A0B8D" w:rsidRPr="005E65EF">
        <w:rPr>
          <w:szCs w:val="22"/>
        </w:rPr>
        <w:t xml:space="preserve"> </w:t>
      </w:r>
      <w:bookmarkStart w:id="0" w:name="_Hlk159497520"/>
      <w:r w:rsidR="00AE6421" w:rsidRPr="005E65EF">
        <w:rPr>
          <w:szCs w:val="22"/>
        </w:rPr>
        <w:t>benzathini cloxacillinum</w:t>
      </w:r>
      <w:bookmarkEnd w:id="0"/>
      <w:r w:rsidRPr="005E65EF">
        <w:rPr>
          <w:szCs w:val="22"/>
        </w:rPr>
        <w:t>) 500 mg</w:t>
      </w:r>
    </w:p>
    <w:p w14:paraId="0A759063" w14:textId="5B30CF2D" w:rsidR="000D6F89" w:rsidRPr="005E65EF" w:rsidRDefault="000D6F89" w:rsidP="00E52BF1">
      <w:pPr>
        <w:ind w:right="-1"/>
        <w:rPr>
          <w:szCs w:val="22"/>
        </w:rPr>
      </w:pPr>
    </w:p>
    <w:p w14:paraId="705DE0F3" w14:textId="3D5DC916" w:rsidR="00AC6C7A" w:rsidRPr="005E65EF" w:rsidRDefault="00AC6C7A" w:rsidP="00E52BF1">
      <w:pPr>
        <w:ind w:right="-1"/>
        <w:rPr>
          <w:b/>
          <w:szCs w:val="22"/>
        </w:rPr>
      </w:pPr>
      <w:r w:rsidRPr="005E65EF">
        <w:rPr>
          <w:b/>
          <w:szCs w:val="22"/>
        </w:rPr>
        <w:t>Pomocné látky:</w:t>
      </w:r>
    </w:p>
    <w:p w14:paraId="12E2AADF" w14:textId="77777777" w:rsidR="00F269DD" w:rsidRPr="005E65EF" w:rsidRDefault="00F269DD" w:rsidP="00E52BF1">
      <w:pPr>
        <w:ind w:right="-1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</w:tblGrid>
      <w:tr w:rsidR="005D3D0C" w:rsidRPr="005E65EF" w14:paraId="7D78CE83" w14:textId="77777777" w:rsidTr="00304043">
        <w:tc>
          <w:tcPr>
            <w:tcW w:w="5382" w:type="dxa"/>
            <w:shd w:val="clear" w:color="auto" w:fill="auto"/>
            <w:vAlign w:val="center"/>
          </w:tcPr>
          <w:p w14:paraId="6327807B" w14:textId="77777777" w:rsidR="005D3D0C" w:rsidRPr="005E65EF" w:rsidRDefault="005D3D0C" w:rsidP="00E52BF1">
            <w:pPr>
              <w:spacing w:before="60" w:after="60"/>
              <w:ind w:right="-1"/>
              <w:rPr>
                <w:b/>
                <w:bCs/>
                <w:iCs/>
                <w:szCs w:val="22"/>
              </w:rPr>
            </w:pPr>
            <w:r w:rsidRPr="005E65EF">
              <w:rPr>
                <w:b/>
                <w:bCs/>
                <w:iCs/>
                <w:szCs w:val="22"/>
              </w:rPr>
              <w:t>Kvalitativní složení pomocných látek a dalších složek:</w:t>
            </w:r>
          </w:p>
        </w:tc>
      </w:tr>
      <w:tr w:rsidR="005D3D0C" w:rsidRPr="005E65EF" w14:paraId="35B0037D" w14:textId="77777777" w:rsidTr="00304043">
        <w:tc>
          <w:tcPr>
            <w:tcW w:w="5382" w:type="dxa"/>
            <w:shd w:val="clear" w:color="auto" w:fill="auto"/>
            <w:vAlign w:val="center"/>
          </w:tcPr>
          <w:p w14:paraId="1E978402" w14:textId="0E034D95" w:rsidR="005D3D0C" w:rsidRPr="005E65EF" w:rsidRDefault="00BD3BBF" w:rsidP="00E52BF1">
            <w:pPr>
              <w:ind w:right="-1"/>
              <w:jc w:val="both"/>
            </w:pPr>
            <w:r w:rsidRPr="005E65EF" w:rsidDel="00BD3BBF">
              <w:t>Aluminum-stearát</w:t>
            </w:r>
          </w:p>
        </w:tc>
      </w:tr>
      <w:tr w:rsidR="005D3D0C" w:rsidRPr="005E65EF" w14:paraId="7B2E0F65" w14:textId="77777777" w:rsidTr="00304043">
        <w:tc>
          <w:tcPr>
            <w:tcW w:w="5382" w:type="dxa"/>
            <w:shd w:val="clear" w:color="auto" w:fill="auto"/>
            <w:vAlign w:val="center"/>
          </w:tcPr>
          <w:p w14:paraId="3C82A62E" w14:textId="10F9E216" w:rsidR="005D3D0C" w:rsidRPr="005E65EF" w:rsidRDefault="00165C5F" w:rsidP="00E52BF1">
            <w:pPr>
              <w:ind w:right="-1"/>
              <w:jc w:val="both"/>
            </w:pPr>
            <w:r w:rsidRPr="005E65EF">
              <w:t>Kyselina stearová</w:t>
            </w:r>
          </w:p>
        </w:tc>
      </w:tr>
      <w:tr w:rsidR="005D3D0C" w:rsidRPr="005E65EF" w14:paraId="08E7386E" w14:textId="77777777" w:rsidTr="00304043">
        <w:tc>
          <w:tcPr>
            <w:tcW w:w="5382" w:type="dxa"/>
            <w:shd w:val="clear" w:color="auto" w:fill="auto"/>
            <w:vAlign w:val="center"/>
          </w:tcPr>
          <w:p w14:paraId="311189FB" w14:textId="65936E61" w:rsidR="005D3D0C" w:rsidRPr="005E65EF" w:rsidRDefault="00165C5F" w:rsidP="00E52BF1">
            <w:pPr>
              <w:ind w:right="-1"/>
              <w:jc w:val="both"/>
              <w:rPr>
                <w:bCs/>
              </w:rPr>
            </w:pPr>
            <w:r w:rsidRPr="005E65EF">
              <w:rPr>
                <w:bCs/>
              </w:rPr>
              <w:t>Tekutý parafín</w:t>
            </w:r>
          </w:p>
        </w:tc>
      </w:tr>
    </w:tbl>
    <w:p w14:paraId="11F9D466" w14:textId="0AAC6D93" w:rsidR="000D2416" w:rsidRPr="005E65EF" w:rsidRDefault="000D2416" w:rsidP="00E52BF1">
      <w:pPr>
        <w:ind w:right="-1"/>
        <w:jc w:val="both"/>
      </w:pPr>
    </w:p>
    <w:p w14:paraId="385616A3" w14:textId="57D65810" w:rsidR="000D2416" w:rsidRPr="005E65EF" w:rsidRDefault="000D2416" w:rsidP="00E52BF1">
      <w:pPr>
        <w:spacing w:line="240" w:lineRule="auto"/>
        <w:ind w:right="-1"/>
        <w:jc w:val="both"/>
      </w:pPr>
      <w:bookmarkStart w:id="1" w:name="_Hlk62211193"/>
      <w:r w:rsidRPr="005E65EF">
        <w:t>Bílá olejová suspenze.</w:t>
      </w:r>
    </w:p>
    <w:p w14:paraId="54FD4EE1" w14:textId="77777777" w:rsidR="00E52BF1" w:rsidRPr="005E65EF" w:rsidRDefault="00E52BF1" w:rsidP="00E52BF1">
      <w:pPr>
        <w:spacing w:line="240" w:lineRule="auto"/>
        <w:ind w:right="-1"/>
        <w:jc w:val="both"/>
      </w:pPr>
    </w:p>
    <w:bookmarkEnd w:id="1"/>
    <w:p w14:paraId="71C3F707" w14:textId="77777777" w:rsidR="004C4408" w:rsidRPr="005E65E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05E8CF04" w14:textId="77777777" w:rsidR="004C4408" w:rsidRPr="005E65EF" w:rsidRDefault="00C17D40" w:rsidP="00E52BF1">
      <w:pPr>
        <w:pStyle w:val="Style1"/>
        <w:ind w:right="-1"/>
        <w:jc w:val="both"/>
      </w:pPr>
      <w:r w:rsidRPr="005E65EF">
        <w:t>3.</w:t>
      </w:r>
      <w:r w:rsidRPr="005E65EF">
        <w:tab/>
        <w:t>KLINICKÉ INFORMACE</w:t>
      </w:r>
    </w:p>
    <w:p w14:paraId="4F5A8F83" w14:textId="77777777" w:rsidR="004C4408" w:rsidRPr="005E65E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6040843B" w14:textId="77777777" w:rsidR="004C4408" w:rsidRPr="005E65EF" w:rsidRDefault="00C17D40" w:rsidP="00E52BF1">
      <w:pPr>
        <w:pStyle w:val="Style1"/>
        <w:ind w:right="-1"/>
        <w:jc w:val="both"/>
      </w:pPr>
      <w:r w:rsidRPr="005E65EF">
        <w:t>3.1</w:t>
      </w:r>
      <w:r w:rsidRPr="005E65EF">
        <w:tab/>
        <w:t>Cílové druhy zvířat</w:t>
      </w:r>
    </w:p>
    <w:p w14:paraId="261DBE00" w14:textId="77777777" w:rsidR="004C4408" w:rsidRPr="005E65EF" w:rsidRDefault="004C4408" w:rsidP="00E52BF1">
      <w:pPr>
        <w:spacing w:line="240" w:lineRule="auto"/>
        <w:ind w:right="-1"/>
        <w:jc w:val="both"/>
        <w:rPr>
          <w:szCs w:val="22"/>
        </w:rPr>
      </w:pPr>
    </w:p>
    <w:p w14:paraId="19E99D2B" w14:textId="77777777" w:rsidR="007F3F82" w:rsidRPr="005E65EF" w:rsidRDefault="007F3F82" w:rsidP="00E52BF1">
      <w:pPr>
        <w:spacing w:line="240" w:lineRule="auto"/>
        <w:ind w:right="-1"/>
        <w:jc w:val="both"/>
        <w:rPr>
          <w:b/>
          <w:bCs/>
          <w:szCs w:val="22"/>
        </w:rPr>
      </w:pPr>
      <w:r w:rsidRPr="005E65EF">
        <w:rPr>
          <w:szCs w:val="22"/>
        </w:rPr>
        <w:t>Skot – dojnice v období zaprahování</w:t>
      </w:r>
    </w:p>
    <w:p w14:paraId="7A1E7EC0" w14:textId="77777777" w:rsidR="004C4408" w:rsidRPr="005E65E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7EF188E0" w14:textId="77777777" w:rsidR="004C4408" w:rsidRPr="005E65EF" w:rsidRDefault="00C17D40" w:rsidP="00E52BF1">
      <w:pPr>
        <w:pStyle w:val="Style1"/>
        <w:ind w:right="-1"/>
        <w:jc w:val="both"/>
      </w:pPr>
      <w:r w:rsidRPr="005E65EF">
        <w:t>3.2</w:t>
      </w:r>
      <w:r w:rsidRPr="005E65EF">
        <w:tab/>
        <w:t>Indikace pro použití pro každý cílový druh zvířat</w:t>
      </w:r>
    </w:p>
    <w:p w14:paraId="131D06C5" w14:textId="75620A2D" w:rsidR="004C4408" w:rsidRPr="005E65EF" w:rsidRDefault="004C4408" w:rsidP="00E52BF1">
      <w:pPr>
        <w:spacing w:line="240" w:lineRule="auto"/>
        <w:ind w:right="-1"/>
        <w:jc w:val="both"/>
        <w:rPr>
          <w:szCs w:val="22"/>
        </w:rPr>
      </w:pPr>
    </w:p>
    <w:p w14:paraId="2CC91BA1" w14:textId="77777777" w:rsidR="00877D9A" w:rsidRPr="005E65EF" w:rsidRDefault="00877D9A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Léčba mastitid krav v zaprahlosti a zlepšení ochrany před možnou infekcí během zaprahlosti.</w:t>
      </w:r>
    </w:p>
    <w:p w14:paraId="59FE89EC" w14:textId="77777777" w:rsidR="004C4408" w:rsidRPr="005E65E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14FE05CB" w14:textId="77777777" w:rsidR="004C4408" w:rsidRPr="005E65EF" w:rsidRDefault="00C17D40" w:rsidP="00E52BF1">
      <w:pPr>
        <w:pStyle w:val="Style1"/>
        <w:ind w:right="-1"/>
        <w:jc w:val="both"/>
      </w:pPr>
      <w:r w:rsidRPr="005E65EF">
        <w:t>3.3</w:t>
      </w:r>
      <w:r w:rsidRPr="005E65EF">
        <w:tab/>
        <w:t>Kontraindikace</w:t>
      </w:r>
    </w:p>
    <w:p w14:paraId="46AF7858" w14:textId="77777777" w:rsidR="00204CA4" w:rsidRPr="005E65EF" w:rsidRDefault="00204CA4" w:rsidP="00E52BF1">
      <w:pPr>
        <w:numPr>
          <w:ilvl w:val="12"/>
          <w:numId w:val="0"/>
        </w:numPr>
        <w:tabs>
          <w:tab w:val="left" w:pos="360"/>
        </w:tabs>
        <w:spacing w:line="240" w:lineRule="auto"/>
        <w:ind w:right="-1"/>
        <w:jc w:val="both"/>
        <w:rPr>
          <w:szCs w:val="22"/>
        </w:rPr>
      </w:pPr>
    </w:p>
    <w:p w14:paraId="056C4FAD" w14:textId="4F0455DC" w:rsidR="000B2844" w:rsidRPr="005E65EF" w:rsidRDefault="000B2844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 xml:space="preserve">Nepoužívat u zvířat se známou přecitlivělostí na </w:t>
      </w:r>
      <w:r w:rsidR="00B55D69" w:rsidRPr="005E65EF">
        <w:rPr>
          <w:szCs w:val="22"/>
        </w:rPr>
        <w:t>léčivou látku, jiná beta-laktamová antibiotika nebo na některou z pomocných látek.</w:t>
      </w:r>
    </w:p>
    <w:p w14:paraId="27394038" w14:textId="44A8CDA7" w:rsidR="000B2844" w:rsidRPr="005E65EF" w:rsidRDefault="000B2844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Nepoužívat u krav během laktace.</w:t>
      </w:r>
    </w:p>
    <w:p w14:paraId="53498B69" w14:textId="77777777" w:rsidR="004C4408" w:rsidRPr="005E65E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47762219" w14:textId="77777777" w:rsidR="004C4408" w:rsidRPr="005E65EF" w:rsidRDefault="00C17D40" w:rsidP="00E52BF1">
      <w:pPr>
        <w:pStyle w:val="Style1"/>
        <w:ind w:right="-1"/>
        <w:jc w:val="both"/>
      </w:pPr>
      <w:r w:rsidRPr="005E65EF">
        <w:t>3.4</w:t>
      </w:r>
      <w:r w:rsidRPr="005E65EF">
        <w:tab/>
        <w:t>Zvláštní upozornění</w:t>
      </w:r>
    </w:p>
    <w:p w14:paraId="152F759A" w14:textId="02DE29A1" w:rsidR="004C4408" w:rsidRPr="005E65EF" w:rsidRDefault="004C4408" w:rsidP="00E52BF1">
      <w:pPr>
        <w:spacing w:line="240" w:lineRule="auto"/>
        <w:ind w:right="-1"/>
        <w:jc w:val="both"/>
        <w:rPr>
          <w:szCs w:val="22"/>
        </w:rPr>
      </w:pPr>
    </w:p>
    <w:p w14:paraId="5BA91FAB" w14:textId="77777777" w:rsidR="009D70E9" w:rsidRPr="005E65EF" w:rsidRDefault="009D70E9" w:rsidP="00E52BF1">
      <w:pPr>
        <w:spacing w:line="240" w:lineRule="auto"/>
        <w:ind w:right="-1"/>
        <w:jc w:val="both"/>
        <w:rPr>
          <w:b/>
          <w:bCs/>
        </w:rPr>
      </w:pPr>
      <w:r w:rsidRPr="005E65EF">
        <w:t>Nejsou.</w:t>
      </w:r>
    </w:p>
    <w:p w14:paraId="3FA00E02" w14:textId="77777777" w:rsidR="004C4408" w:rsidRPr="005E65E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7A462EED" w14:textId="77777777" w:rsidR="004C4408" w:rsidRPr="005E65EF" w:rsidRDefault="00C17D40" w:rsidP="00E52BF1">
      <w:pPr>
        <w:pStyle w:val="Style1"/>
        <w:ind w:right="-1"/>
        <w:jc w:val="both"/>
      </w:pPr>
      <w:r w:rsidRPr="005E65EF">
        <w:t>3.5</w:t>
      </w:r>
      <w:r w:rsidRPr="005E65EF">
        <w:tab/>
        <w:t>Zvláštní opatření pro použití</w:t>
      </w:r>
    </w:p>
    <w:p w14:paraId="03434CF4" w14:textId="77777777" w:rsidR="00A72A88" w:rsidRPr="005E65EF" w:rsidRDefault="00A72A88" w:rsidP="00E52BF1">
      <w:pPr>
        <w:spacing w:line="240" w:lineRule="auto"/>
        <w:ind w:right="-1"/>
        <w:jc w:val="both"/>
        <w:rPr>
          <w:szCs w:val="22"/>
        </w:rPr>
      </w:pPr>
    </w:p>
    <w:p w14:paraId="50D0DF9F" w14:textId="4E71EAA3" w:rsidR="004C4408" w:rsidRPr="005E65EF" w:rsidRDefault="00C17D40" w:rsidP="00E52BF1">
      <w:pPr>
        <w:spacing w:line="240" w:lineRule="auto"/>
        <w:ind w:right="-1"/>
        <w:jc w:val="both"/>
        <w:rPr>
          <w:szCs w:val="22"/>
          <w:u w:val="single"/>
        </w:rPr>
      </w:pPr>
      <w:r w:rsidRPr="005E65EF">
        <w:rPr>
          <w:szCs w:val="22"/>
          <w:u w:val="single"/>
        </w:rPr>
        <w:t xml:space="preserve">Zvláštní opatření </w:t>
      </w:r>
      <w:r w:rsidR="009A1D10" w:rsidRPr="005E65EF">
        <w:rPr>
          <w:szCs w:val="22"/>
          <w:u w:val="single"/>
        </w:rPr>
        <w:t>pro bezpečné použití u cílových druhů zvířat</w:t>
      </w:r>
      <w:r w:rsidR="008F4544" w:rsidRPr="005E65EF">
        <w:rPr>
          <w:szCs w:val="22"/>
          <w:u w:val="single"/>
        </w:rPr>
        <w:t>:</w:t>
      </w:r>
    </w:p>
    <w:p w14:paraId="3185CC9D" w14:textId="77777777" w:rsidR="00A72A88" w:rsidRPr="005E65EF" w:rsidRDefault="00A72A88" w:rsidP="00E52BF1">
      <w:pPr>
        <w:tabs>
          <w:tab w:val="left" w:pos="720"/>
        </w:tabs>
        <w:spacing w:line="240" w:lineRule="auto"/>
        <w:ind w:right="-1"/>
        <w:jc w:val="both"/>
        <w:rPr>
          <w:szCs w:val="22"/>
        </w:rPr>
      </w:pPr>
    </w:p>
    <w:p w14:paraId="189537BC" w14:textId="66FE239B" w:rsidR="00066FD2" w:rsidRPr="005E65EF" w:rsidRDefault="00066FD2" w:rsidP="00E52BF1">
      <w:pPr>
        <w:tabs>
          <w:tab w:val="left" w:pos="720"/>
        </w:tabs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Použití přípravku by mělo být založeno na výsledku testování citlivosti bakterií izolovaných ze vzorků mléka od konkrétního zvířete. Pokud to není možné, měla by být léčba založena na místní (na</w:t>
      </w:r>
      <w:r w:rsidR="00E52BF1" w:rsidRPr="005E65EF">
        <w:rPr>
          <w:szCs w:val="22"/>
        </w:rPr>
        <w:t xml:space="preserve"> </w:t>
      </w:r>
      <w:r w:rsidRPr="005E65EF">
        <w:rPr>
          <w:szCs w:val="22"/>
        </w:rPr>
        <w:t>úrovni regionu, statku) epidemiologické informaci o citlivosti cílových bakterií.</w:t>
      </w:r>
    </w:p>
    <w:p w14:paraId="08E69ADB" w14:textId="745EA918" w:rsidR="00066FD2" w:rsidRPr="005E65EF" w:rsidRDefault="00066FD2" w:rsidP="00E52BF1">
      <w:pPr>
        <w:tabs>
          <w:tab w:val="left" w:pos="720"/>
        </w:tabs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Použití přípravku, které je odlišné od pokynů uvedených v tomto souhrnu údajů o přípravku (SPC),</w:t>
      </w:r>
      <w:r w:rsidR="00E52BF1" w:rsidRPr="005E65EF">
        <w:rPr>
          <w:szCs w:val="22"/>
        </w:rPr>
        <w:t xml:space="preserve"> </w:t>
      </w:r>
      <w:r w:rsidRPr="005E65EF">
        <w:rPr>
          <w:szCs w:val="22"/>
        </w:rPr>
        <w:t>může zvýšit prevalenci bakterií rezistentních k</w:t>
      </w:r>
      <w:r w:rsidR="000355D0" w:rsidRPr="005E65EF">
        <w:rPr>
          <w:szCs w:val="22"/>
        </w:rPr>
        <w:t>e</w:t>
      </w:r>
      <w:r w:rsidRPr="005E65EF">
        <w:rPr>
          <w:szCs w:val="22"/>
        </w:rPr>
        <w:t> </w:t>
      </w:r>
      <w:r w:rsidR="000355D0" w:rsidRPr="005E65EF">
        <w:rPr>
          <w:szCs w:val="22"/>
        </w:rPr>
        <w:t>kl</w:t>
      </w:r>
      <w:r w:rsidRPr="005E65EF">
        <w:rPr>
          <w:szCs w:val="22"/>
        </w:rPr>
        <w:t>oxacilinu a příbuzným látkám a snížit účinnost terapie jinými beta-laktamovými antibiotiky</w:t>
      </w:r>
      <w:r w:rsidR="00C6317A" w:rsidRPr="005E65EF">
        <w:rPr>
          <w:szCs w:val="22"/>
        </w:rPr>
        <w:t xml:space="preserve"> z důvodu možné zkřížené rezistence.</w:t>
      </w:r>
    </w:p>
    <w:p w14:paraId="6101EFD3" w14:textId="436444AC" w:rsidR="00066FD2" w:rsidRPr="005E65EF" w:rsidRDefault="00066FD2" w:rsidP="00E52BF1">
      <w:pPr>
        <w:tabs>
          <w:tab w:val="left" w:pos="720"/>
        </w:tabs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Léčebné protokoly u krav v období zaprahlosti by měly brát v úvahu místní a oficiální pravidla</w:t>
      </w:r>
      <w:r w:rsidR="00E52BF1" w:rsidRPr="005E65EF">
        <w:rPr>
          <w:szCs w:val="22"/>
        </w:rPr>
        <w:t xml:space="preserve"> </w:t>
      </w:r>
      <w:r w:rsidRPr="005E65EF">
        <w:rPr>
          <w:szCs w:val="22"/>
        </w:rPr>
        <w:t>antibiotické politiky a měly by být pravidelně revidovány veterinárním lékařem.</w:t>
      </w:r>
    </w:p>
    <w:p w14:paraId="225A633F" w14:textId="3EC0A6C1" w:rsidR="00066FD2" w:rsidRPr="005E65EF" w:rsidRDefault="00066FD2" w:rsidP="00E52BF1">
      <w:pPr>
        <w:tabs>
          <w:tab w:val="left" w:pos="720"/>
        </w:tabs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lastRenderedPageBreak/>
        <w:t>Je třeba zamezit podávání mléka obsahujícího rezidua kloxacilinu telatům, a to až do konce ochranné lhůty pro mléko, s výjimkou kolostrální fáze, protože by mohlo dojít k selekci bakterií rezistentních k</w:t>
      </w:r>
      <w:r w:rsidR="002F1F13" w:rsidRPr="005E65EF">
        <w:rPr>
          <w:szCs w:val="22"/>
        </w:rPr>
        <w:t> </w:t>
      </w:r>
      <w:r w:rsidRPr="005E65EF">
        <w:rPr>
          <w:szCs w:val="22"/>
        </w:rPr>
        <w:t>beta-laktamům.</w:t>
      </w:r>
    </w:p>
    <w:p w14:paraId="3EA773C5" w14:textId="77777777" w:rsidR="003F5B47" w:rsidRPr="005E65EF" w:rsidRDefault="003F5B47" w:rsidP="00E52BF1">
      <w:pPr>
        <w:spacing w:line="240" w:lineRule="auto"/>
        <w:ind w:right="-1"/>
        <w:jc w:val="both"/>
        <w:rPr>
          <w:szCs w:val="22"/>
        </w:rPr>
      </w:pPr>
    </w:p>
    <w:p w14:paraId="3290A0A7" w14:textId="1E2586F0" w:rsidR="004C4408" w:rsidRPr="005E65EF" w:rsidRDefault="00C17D40" w:rsidP="00E52BF1">
      <w:pPr>
        <w:spacing w:line="240" w:lineRule="auto"/>
        <w:ind w:right="-1"/>
        <w:jc w:val="both"/>
        <w:rPr>
          <w:szCs w:val="22"/>
          <w:u w:val="single"/>
        </w:rPr>
      </w:pPr>
      <w:r w:rsidRPr="005E65EF">
        <w:rPr>
          <w:szCs w:val="22"/>
          <w:u w:val="single"/>
        </w:rPr>
        <w:t xml:space="preserve">Zvláštní opatření </w:t>
      </w:r>
      <w:r w:rsidR="002E24FF" w:rsidRPr="005E65EF">
        <w:rPr>
          <w:szCs w:val="22"/>
          <w:u w:val="single"/>
        </w:rPr>
        <w:t>pro osobu, která podává veterinární léčivý přípravek zvířatům:</w:t>
      </w:r>
    </w:p>
    <w:p w14:paraId="433AADDE" w14:textId="3D2CF085" w:rsidR="008616AE" w:rsidRPr="005E65EF" w:rsidRDefault="008616AE" w:rsidP="00E52BF1">
      <w:pPr>
        <w:autoSpaceDE w:val="0"/>
        <w:autoSpaceDN w:val="0"/>
        <w:adjustRightInd w:val="0"/>
        <w:spacing w:line="240" w:lineRule="auto"/>
        <w:ind w:right="-1"/>
        <w:jc w:val="both"/>
        <w:rPr>
          <w:szCs w:val="22"/>
        </w:rPr>
      </w:pPr>
    </w:p>
    <w:p w14:paraId="491D6D54" w14:textId="5AE85077" w:rsidR="00834EFE" w:rsidRPr="005E65EF" w:rsidRDefault="00834EFE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Peniciliny a cefalosporiny mohou po injekci, inhalaci, požití nebo kontaktu s kůží vyvolat přecitlivělost (alergii). Přecitlivělost na peniciliny může vést ke zkříženým reakcím s cefalosporiny a</w:t>
      </w:r>
      <w:r w:rsidR="00FA0091" w:rsidRPr="005E65EF">
        <w:rPr>
          <w:szCs w:val="22"/>
        </w:rPr>
        <w:t> </w:t>
      </w:r>
      <w:r w:rsidRPr="005E65EF">
        <w:rPr>
          <w:szCs w:val="22"/>
        </w:rPr>
        <w:t xml:space="preserve">naopak. Alergické reakce na tyto látky mohou být v některých případech vážné. </w:t>
      </w:r>
    </w:p>
    <w:p w14:paraId="08F81054" w14:textId="77777777" w:rsidR="00834EFE" w:rsidRPr="005E65EF" w:rsidRDefault="00834EFE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Lidé se známou přecitlivělostí na peniciliny, cefalosporiny nebo některou z pomocných látek by se měli vyhnout kontaktu s veterinárním léčivým přípravkem.</w:t>
      </w:r>
    </w:p>
    <w:p w14:paraId="2F970DB4" w14:textId="77777777" w:rsidR="00834EFE" w:rsidRPr="005E65EF" w:rsidRDefault="00834EFE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Pokud se u vás objeví postexpoziční příznaky, jako např. kožní vyrážka, vyhledejte lékařskou pomoc a ukažte příbalovou informaci nebo etiketu lékaři. Otok obličeje, rtů, očí nebo potíže s dýcháním jsou vážné příznaky a vyžadují okamžitou lékařskou pomoc.</w:t>
      </w:r>
    </w:p>
    <w:p w14:paraId="50F58C27" w14:textId="77777777" w:rsidR="00834EFE" w:rsidRPr="005E65EF" w:rsidRDefault="00834EFE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Po použití si umyjte ruce.</w:t>
      </w:r>
    </w:p>
    <w:p w14:paraId="4C252C33" w14:textId="77777777" w:rsidR="00834EFE" w:rsidRPr="005E65EF" w:rsidRDefault="00834EFE" w:rsidP="00E52BF1">
      <w:pPr>
        <w:autoSpaceDE w:val="0"/>
        <w:autoSpaceDN w:val="0"/>
        <w:adjustRightInd w:val="0"/>
        <w:spacing w:line="240" w:lineRule="auto"/>
        <w:ind w:right="-1"/>
        <w:jc w:val="both"/>
        <w:rPr>
          <w:szCs w:val="22"/>
        </w:rPr>
      </w:pPr>
    </w:p>
    <w:p w14:paraId="37CB1E33" w14:textId="77777777" w:rsidR="00C03C21" w:rsidRPr="005E65EF" w:rsidRDefault="00C03C21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  <w:u w:val="single"/>
        </w:rPr>
      </w:pPr>
      <w:r w:rsidRPr="005E65EF">
        <w:rPr>
          <w:szCs w:val="22"/>
          <w:u w:val="single"/>
        </w:rPr>
        <w:t>Zvláštní opatření pro ochranu životního prostředí:</w:t>
      </w:r>
    </w:p>
    <w:p w14:paraId="06526724" w14:textId="77777777" w:rsidR="00C03C21" w:rsidRPr="005E65EF" w:rsidRDefault="00C03C21" w:rsidP="00E52BF1">
      <w:pPr>
        <w:tabs>
          <w:tab w:val="clear" w:pos="567"/>
        </w:tabs>
        <w:spacing w:line="240" w:lineRule="auto"/>
        <w:ind w:right="-1"/>
        <w:jc w:val="both"/>
      </w:pPr>
    </w:p>
    <w:p w14:paraId="224B970A" w14:textId="77777777" w:rsidR="00C03C21" w:rsidRPr="005E65EF" w:rsidRDefault="00C03C21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r w:rsidRPr="005E65EF">
        <w:t>Neuplatňuje se.</w:t>
      </w:r>
    </w:p>
    <w:p w14:paraId="42F741F2" w14:textId="77777777" w:rsidR="004C4408" w:rsidRPr="005E65E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07599937" w14:textId="54BDCCC6" w:rsidR="00293B88" w:rsidRPr="005E65EF" w:rsidRDefault="00C17D40" w:rsidP="00E52BF1">
      <w:pPr>
        <w:pStyle w:val="Style1"/>
        <w:ind w:left="0" w:right="-1" w:firstLine="0"/>
        <w:jc w:val="both"/>
      </w:pPr>
      <w:r w:rsidRPr="005E65EF">
        <w:t>3.6</w:t>
      </w:r>
      <w:r w:rsidRPr="005E65EF">
        <w:tab/>
        <w:t>Nežádoucí účinky</w:t>
      </w:r>
    </w:p>
    <w:p w14:paraId="25DF1589" w14:textId="77777777" w:rsidR="009E6F93" w:rsidRPr="005E65EF" w:rsidRDefault="009E6F93" w:rsidP="00E52BF1">
      <w:pPr>
        <w:pStyle w:val="Style1"/>
        <w:ind w:left="0" w:right="-1" w:firstLine="0"/>
        <w:jc w:val="both"/>
        <w:rPr>
          <w:b w:val="0"/>
          <w:bCs/>
        </w:rPr>
      </w:pPr>
    </w:p>
    <w:p w14:paraId="7FD2B32C" w14:textId="77777777" w:rsidR="00D2165C" w:rsidRPr="005E65EF" w:rsidRDefault="00D2165C" w:rsidP="00E52BF1">
      <w:pPr>
        <w:pStyle w:val="Style1"/>
        <w:ind w:left="0" w:right="-1" w:firstLine="0"/>
        <w:jc w:val="both"/>
        <w:rPr>
          <w:b w:val="0"/>
          <w:bCs/>
        </w:rPr>
      </w:pPr>
      <w:r w:rsidRPr="005E65EF">
        <w:rPr>
          <w:b w:val="0"/>
          <w:bCs/>
        </w:rPr>
        <w:t>Skot – dojnice v období zaprahování:</w:t>
      </w:r>
    </w:p>
    <w:p w14:paraId="3486C3A8" w14:textId="310CDCF9" w:rsidR="00441F28" w:rsidRPr="005E65EF" w:rsidRDefault="00441F28" w:rsidP="00E52BF1">
      <w:pPr>
        <w:pStyle w:val="Style1"/>
        <w:ind w:left="0" w:right="-1" w:firstLine="0"/>
        <w:jc w:val="both"/>
      </w:pPr>
    </w:p>
    <w:p w14:paraId="0AD3E090" w14:textId="77777777" w:rsidR="00B7507F" w:rsidRPr="005E65EF" w:rsidRDefault="00B7507F" w:rsidP="00E52BF1">
      <w:pPr>
        <w:spacing w:line="240" w:lineRule="auto"/>
        <w:ind w:right="-1"/>
        <w:jc w:val="both"/>
      </w:pPr>
      <w:r w:rsidRPr="005E65EF">
        <w:t>Nejsou známy.</w:t>
      </w:r>
    </w:p>
    <w:p w14:paraId="0728B01F" w14:textId="77777777" w:rsidR="00E8467D" w:rsidRPr="005E65EF" w:rsidRDefault="00E8467D" w:rsidP="00E52BF1">
      <w:pPr>
        <w:spacing w:line="240" w:lineRule="auto"/>
        <w:ind w:right="-1"/>
        <w:jc w:val="both"/>
        <w:rPr>
          <w:b/>
          <w:bCs/>
        </w:rPr>
      </w:pPr>
    </w:p>
    <w:p w14:paraId="72BE24D1" w14:textId="3B2A8329" w:rsidR="00E8467D" w:rsidRPr="005E65EF" w:rsidRDefault="00E8467D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</w:t>
      </w:r>
      <w:r w:rsidR="00B57E8B" w:rsidRPr="005E65EF">
        <w:rPr>
          <w:szCs w:val="22"/>
        </w:rPr>
        <w:t>i</w:t>
      </w:r>
      <w:r w:rsidRPr="005E65EF">
        <w:rPr>
          <w:szCs w:val="22"/>
        </w:rPr>
        <w:t>.</w:t>
      </w:r>
    </w:p>
    <w:p w14:paraId="182536D7" w14:textId="77777777" w:rsidR="00160DA8" w:rsidRPr="005E65EF" w:rsidRDefault="00160DA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48AA85DB" w14:textId="77777777" w:rsidR="004C4408" w:rsidRPr="005E65EF" w:rsidRDefault="00C17D40" w:rsidP="00E52BF1">
      <w:pPr>
        <w:pStyle w:val="Style1"/>
        <w:ind w:right="-1"/>
        <w:jc w:val="both"/>
      </w:pPr>
      <w:r w:rsidRPr="005E65EF">
        <w:t>3.7</w:t>
      </w:r>
      <w:r w:rsidRPr="005E65EF">
        <w:tab/>
        <w:t>Použití v průběhu březosti, laktace nebo snášky</w:t>
      </w:r>
    </w:p>
    <w:p w14:paraId="50DDF428" w14:textId="77777777" w:rsidR="004C4408" w:rsidRPr="005E65EF" w:rsidRDefault="004C4408" w:rsidP="00E52BF1">
      <w:pPr>
        <w:spacing w:line="240" w:lineRule="auto"/>
        <w:ind w:right="-1"/>
        <w:jc w:val="both"/>
        <w:rPr>
          <w:szCs w:val="22"/>
        </w:rPr>
      </w:pPr>
    </w:p>
    <w:p w14:paraId="1363B5ED" w14:textId="77777777" w:rsidR="00160DA8" w:rsidRPr="005E65EF" w:rsidRDefault="00160DA8" w:rsidP="00E52BF1">
      <w:pPr>
        <w:spacing w:line="240" w:lineRule="auto"/>
        <w:ind w:right="-1"/>
        <w:jc w:val="both"/>
        <w:rPr>
          <w:bCs/>
        </w:rPr>
      </w:pPr>
      <w:bookmarkStart w:id="2" w:name="_Hlk62118357"/>
      <w:r w:rsidRPr="005E65EF">
        <w:rPr>
          <w:bCs/>
        </w:rPr>
        <w:t>Nepoužívat u zvířat v laktaci.</w:t>
      </w:r>
    </w:p>
    <w:bookmarkEnd w:id="2"/>
    <w:p w14:paraId="490E1497" w14:textId="77777777" w:rsidR="00194742" w:rsidRPr="005E65EF" w:rsidRDefault="00194742" w:rsidP="00E52BF1">
      <w:pPr>
        <w:spacing w:line="240" w:lineRule="auto"/>
        <w:ind w:right="-1"/>
        <w:jc w:val="both"/>
        <w:rPr>
          <w:szCs w:val="22"/>
        </w:rPr>
      </w:pPr>
    </w:p>
    <w:p w14:paraId="4BF0C579" w14:textId="77777777" w:rsidR="004C4408" w:rsidRPr="005E65EF" w:rsidRDefault="00C17D40" w:rsidP="00E52BF1">
      <w:pPr>
        <w:pStyle w:val="Style1"/>
        <w:ind w:right="-1"/>
        <w:jc w:val="both"/>
      </w:pPr>
      <w:r w:rsidRPr="005E65EF">
        <w:t>3.8</w:t>
      </w:r>
      <w:r w:rsidRPr="005E65EF">
        <w:tab/>
        <w:t>Interakce s jinými léčivými přípravky a další formy interakce</w:t>
      </w:r>
    </w:p>
    <w:p w14:paraId="6ED47F9B" w14:textId="0276013F" w:rsidR="004C4408" w:rsidRPr="005E65EF" w:rsidRDefault="004C4408" w:rsidP="00E52BF1">
      <w:pPr>
        <w:autoSpaceDE w:val="0"/>
        <w:autoSpaceDN w:val="0"/>
        <w:adjustRightInd w:val="0"/>
        <w:spacing w:line="240" w:lineRule="auto"/>
        <w:ind w:right="-1"/>
        <w:jc w:val="both"/>
        <w:rPr>
          <w:szCs w:val="22"/>
        </w:rPr>
      </w:pPr>
    </w:p>
    <w:p w14:paraId="1979BC01" w14:textId="31F09734" w:rsidR="00C9256B" w:rsidRPr="005E65EF" w:rsidRDefault="00C9256B" w:rsidP="00E52BF1">
      <w:pPr>
        <w:spacing w:line="240" w:lineRule="auto"/>
        <w:ind w:right="-1"/>
        <w:jc w:val="both"/>
      </w:pPr>
      <w:r w:rsidRPr="005E65EF">
        <w:t xml:space="preserve">Kloxacilin, jako beta-laktamové antibiotikum, </w:t>
      </w:r>
      <w:r w:rsidRPr="005E65EF">
        <w:rPr>
          <w:szCs w:val="22"/>
        </w:rPr>
        <w:t>by neměl být podáván současně s</w:t>
      </w:r>
      <w:r w:rsidR="00E52BF1" w:rsidRPr="005E65EF">
        <w:rPr>
          <w:szCs w:val="22"/>
        </w:rPr>
        <w:t> </w:t>
      </w:r>
      <w:r w:rsidRPr="005E65EF">
        <w:rPr>
          <w:szCs w:val="22"/>
        </w:rPr>
        <w:t>bakteriostatickými</w:t>
      </w:r>
      <w:r w:rsidR="00E52BF1" w:rsidRPr="005E65EF">
        <w:rPr>
          <w:szCs w:val="22"/>
        </w:rPr>
        <w:t xml:space="preserve"> </w:t>
      </w:r>
      <w:r w:rsidRPr="005E65EF">
        <w:rPr>
          <w:szCs w:val="22"/>
        </w:rPr>
        <w:t>antimikrobními látkami.</w:t>
      </w:r>
    </w:p>
    <w:p w14:paraId="7E74E86F" w14:textId="77777777" w:rsidR="004C4408" w:rsidRPr="005E65E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6605F7A3" w14:textId="77777777" w:rsidR="004C4408" w:rsidRPr="005E65EF" w:rsidRDefault="00C17D40" w:rsidP="00E52BF1">
      <w:pPr>
        <w:pStyle w:val="Style1"/>
        <w:ind w:right="-1"/>
        <w:jc w:val="both"/>
      </w:pPr>
      <w:r w:rsidRPr="005E65EF">
        <w:t>3.9</w:t>
      </w:r>
      <w:r w:rsidRPr="005E65EF">
        <w:tab/>
        <w:t>Cesty podání a dávkování</w:t>
      </w:r>
    </w:p>
    <w:p w14:paraId="0DFA183C" w14:textId="6EC98314" w:rsidR="004C4408" w:rsidRPr="005E65EF" w:rsidRDefault="004C4408" w:rsidP="00E52BF1">
      <w:pPr>
        <w:pStyle w:val="Default"/>
        <w:ind w:left="560" w:right="-1" w:hanging="560"/>
        <w:jc w:val="both"/>
        <w:rPr>
          <w:rFonts w:ascii="Times New Roman" w:hAnsi="Times New Roman" w:cs="Times New Roman"/>
          <w:sz w:val="22"/>
          <w:szCs w:val="22"/>
        </w:rPr>
      </w:pPr>
    </w:p>
    <w:p w14:paraId="39881DAF" w14:textId="77777777" w:rsidR="008404B6" w:rsidRPr="005E65EF" w:rsidRDefault="008404B6" w:rsidP="00E52BF1">
      <w:pPr>
        <w:spacing w:line="240" w:lineRule="auto"/>
        <w:ind w:right="-1"/>
        <w:jc w:val="both"/>
      </w:pPr>
      <w:r w:rsidRPr="005E65EF">
        <w:t>Intramamární podání.</w:t>
      </w:r>
    </w:p>
    <w:p w14:paraId="35E789E8" w14:textId="77777777" w:rsidR="008404B6" w:rsidRPr="005E65EF" w:rsidRDefault="008404B6" w:rsidP="00E52BF1">
      <w:pPr>
        <w:spacing w:line="240" w:lineRule="auto"/>
        <w:ind w:right="-1"/>
        <w:jc w:val="both"/>
      </w:pPr>
      <w:r w:rsidRPr="005E65EF">
        <w:t>Intramamární aplikátor je určen pouze na jedno použití.</w:t>
      </w:r>
    </w:p>
    <w:p w14:paraId="0EA26020" w14:textId="6B98DECF" w:rsidR="008404B6" w:rsidRPr="005E65EF" w:rsidRDefault="008404B6" w:rsidP="00E52BF1">
      <w:pPr>
        <w:spacing w:line="240" w:lineRule="auto"/>
        <w:ind w:right="-1"/>
        <w:jc w:val="both"/>
      </w:pPr>
    </w:p>
    <w:p w14:paraId="482B85EE" w14:textId="77777777" w:rsidR="000875D4" w:rsidRPr="005E65EF" w:rsidRDefault="008404B6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Obsah jednoho aplikátoru podat do každé čtvrti ihned po posledním dojení před odstavením na sucho. Přípravek se aplikuje do očištěného, dezinfikovaného a osušeného struku.</w:t>
      </w:r>
    </w:p>
    <w:p w14:paraId="333F9042" w14:textId="77777777" w:rsidR="000875D4" w:rsidRPr="005E65EF" w:rsidRDefault="000875D4" w:rsidP="00E52BF1">
      <w:pPr>
        <w:spacing w:line="240" w:lineRule="auto"/>
        <w:ind w:right="-1"/>
        <w:jc w:val="both"/>
        <w:rPr>
          <w:szCs w:val="22"/>
        </w:rPr>
      </w:pPr>
    </w:p>
    <w:p w14:paraId="249063FD" w14:textId="77777777" w:rsidR="00F126EC" w:rsidRPr="005E65EF" w:rsidRDefault="000875D4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i/>
          <w:szCs w:val="22"/>
          <w:u w:val="single"/>
        </w:rPr>
        <w:t>Příprava a použití krátkého hrotu</w:t>
      </w:r>
      <w:r w:rsidRPr="005E65EF">
        <w:rPr>
          <w:szCs w:val="22"/>
        </w:rPr>
        <w:t xml:space="preserve">: </w:t>
      </w:r>
    </w:p>
    <w:p w14:paraId="3897A930" w14:textId="668C045D" w:rsidR="000875D4" w:rsidRPr="005E65EF" w:rsidRDefault="000875D4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Uchopit krycí klobouček mezi ukazovák a palec, ohnout a sejmout (viz příslušný obrázek). Do strukového kanálku zavést pouze bílou část hrotu dle nákresu. Přípravek aplikovat šetrně pod mírným tlakem až do rovnoměrného naplnění strukového kanálku.</w:t>
      </w:r>
    </w:p>
    <w:p w14:paraId="0AA2B797" w14:textId="2D4255C1" w:rsidR="008404B6" w:rsidRPr="005E65EF" w:rsidRDefault="008404B6" w:rsidP="00E52BF1">
      <w:pPr>
        <w:spacing w:line="240" w:lineRule="auto"/>
        <w:ind w:right="-1"/>
        <w:jc w:val="both"/>
        <w:rPr>
          <w:szCs w:val="22"/>
        </w:rPr>
      </w:pPr>
    </w:p>
    <w:p w14:paraId="21D04776" w14:textId="288DF89D" w:rsidR="005E7AC9" w:rsidRPr="005E65EF" w:rsidRDefault="000875D4" w:rsidP="00E52BF1">
      <w:pPr>
        <w:spacing w:line="240" w:lineRule="auto"/>
        <w:ind w:right="151"/>
        <w:jc w:val="both"/>
        <w:rPr>
          <w:i/>
          <w:szCs w:val="22"/>
          <w:u w:val="single"/>
        </w:rPr>
      </w:pPr>
      <w:r w:rsidRPr="005E65EF">
        <w:rPr>
          <w:szCs w:val="22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69876132" wp14:editId="09A8A3EB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2036445" cy="1591310"/>
            <wp:effectExtent l="0" t="0" r="1905" b="889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155C9" w14:textId="77777777" w:rsidR="00E52BF1" w:rsidRPr="005E65EF" w:rsidRDefault="00E52BF1" w:rsidP="00E52BF1">
      <w:pPr>
        <w:spacing w:line="240" w:lineRule="auto"/>
        <w:ind w:right="153"/>
        <w:jc w:val="both"/>
        <w:rPr>
          <w:i/>
          <w:szCs w:val="22"/>
          <w:u w:val="single"/>
        </w:rPr>
      </w:pPr>
    </w:p>
    <w:p w14:paraId="248046CD" w14:textId="2FC20187" w:rsidR="008404B6" w:rsidRPr="005E65EF" w:rsidRDefault="008404B6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i/>
          <w:szCs w:val="22"/>
          <w:u w:val="single"/>
        </w:rPr>
        <w:t>Příprava a použití konvenčního hrotu</w:t>
      </w:r>
      <w:r w:rsidRPr="005E65EF">
        <w:rPr>
          <w:szCs w:val="22"/>
        </w:rPr>
        <w:t xml:space="preserve">: Uchopit spodní část krycího kloboučku mezi ukazovák a palec, ohnout, přitlačit a odstranit (viz příslušný obrázek). Přípravek aplikovat šetrně pod mírným tlakem až do rovnoměrného naplnění strukového kanálku. </w:t>
      </w:r>
    </w:p>
    <w:p w14:paraId="0A6F134A" w14:textId="4D9A82A0" w:rsidR="00F011A3" w:rsidRPr="005E65EF" w:rsidRDefault="00F011A3" w:rsidP="00E52BF1">
      <w:pPr>
        <w:spacing w:line="240" w:lineRule="auto"/>
        <w:ind w:right="151"/>
        <w:jc w:val="both"/>
        <w:rPr>
          <w:szCs w:val="22"/>
        </w:rPr>
      </w:pPr>
      <w:r w:rsidRPr="005E65EF">
        <w:rPr>
          <w:szCs w:val="22"/>
          <w:lang w:eastAsia="cs-CZ"/>
        </w:rPr>
        <w:drawing>
          <wp:anchor distT="0" distB="0" distL="114300" distR="114300" simplePos="0" relativeHeight="251659264" behindDoc="0" locked="0" layoutInCell="1" allowOverlap="1" wp14:anchorId="5C9C51D5" wp14:editId="4A228C14">
            <wp:simplePos x="0" y="0"/>
            <wp:positionH relativeFrom="column">
              <wp:posOffset>4445</wp:posOffset>
            </wp:positionH>
            <wp:positionV relativeFrom="paragraph">
              <wp:posOffset>198120</wp:posOffset>
            </wp:positionV>
            <wp:extent cx="2066925" cy="1792605"/>
            <wp:effectExtent l="0" t="0" r="952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7D140" w14:textId="6E24AFF2" w:rsidR="005B13E6" w:rsidRPr="005E65EF" w:rsidRDefault="005B13E6" w:rsidP="00E52BF1">
      <w:pPr>
        <w:spacing w:line="240" w:lineRule="auto"/>
        <w:ind w:right="151"/>
        <w:jc w:val="both"/>
        <w:rPr>
          <w:szCs w:val="22"/>
        </w:rPr>
      </w:pPr>
    </w:p>
    <w:p w14:paraId="09AEDFF3" w14:textId="1157B2D2" w:rsidR="008404B6" w:rsidRPr="005E65EF" w:rsidRDefault="008404B6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 xml:space="preserve">V žádném případě se nedotýkat prsty odkrytého hrotu! </w:t>
      </w:r>
    </w:p>
    <w:p w14:paraId="35349BCB" w14:textId="76040ED0" w:rsidR="004C4408" w:rsidRPr="005E65E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3E499363" w14:textId="05ACDE69" w:rsidR="004C4408" w:rsidRPr="005E65EF" w:rsidRDefault="00C17D40" w:rsidP="00E52BF1">
      <w:pPr>
        <w:pStyle w:val="Style1"/>
        <w:ind w:right="-1"/>
        <w:jc w:val="both"/>
      </w:pPr>
      <w:r w:rsidRPr="005E65EF">
        <w:t>3.10</w:t>
      </w:r>
      <w:r w:rsidRPr="005E65EF">
        <w:tab/>
        <w:t xml:space="preserve">Příznaky předávkování (a kde je relevantní, první pomoc a antidota) </w:t>
      </w:r>
    </w:p>
    <w:p w14:paraId="27A8123C" w14:textId="3CD1DFEB" w:rsidR="004C4408" w:rsidRPr="005E65EF" w:rsidRDefault="004C4408" w:rsidP="00E52BF1">
      <w:pPr>
        <w:pStyle w:val="Default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2EDF362" w14:textId="77777777" w:rsidR="00F5244D" w:rsidRPr="005E65EF" w:rsidRDefault="00F5244D" w:rsidP="00E52BF1">
      <w:pPr>
        <w:spacing w:line="240" w:lineRule="auto"/>
        <w:ind w:right="-1"/>
        <w:jc w:val="both"/>
      </w:pPr>
      <w:bookmarkStart w:id="3" w:name="_Hlk62118397"/>
      <w:r w:rsidRPr="005E65EF">
        <w:t>Předávkování je velmi nepravděpodobné, protože se vždy aplikuje obsah celého aplikátoru. Při náhodném předávkování nebyly pozorovány žádné nežádoucí účinky.</w:t>
      </w:r>
    </w:p>
    <w:bookmarkEnd w:id="3"/>
    <w:p w14:paraId="548F4F49" w14:textId="461ED691" w:rsidR="004C4408" w:rsidRPr="005E65E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18E18142" w14:textId="54CC07F9" w:rsidR="004C4408" w:rsidRPr="005E65EF" w:rsidRDefault="00C17D40" w:rsidP="00E52BF1">
      <w:pPr>
        <w:pStyle w:val="Style1"/>
        <w:ind w:right="-1"/>
        <w:jc w:val="both"/>
      </w:pPr>
      <w:r w:rsidRPr="005E65EF">
        <w:t>3.11</w:t>
      </w:r>
      <w:r w:rsidRPr="005E65EF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2ADB417A" w14:textId="4F96B8F0" w:rsidR="007A0D1C" w:rsidRPr="005E65EF" w:rsidRDefault="007A0D1C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138A96DA" w14:textId="46C9E750" w:rsidR="009F581C" w:rsidRPr="005E65EF" w:rsidRDefault="009F581C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r w:rsidRPr="005E65EF">
        <w:t>Neuplatňuje se.</w:t>
      </w:r>
    </w:p>
    <w:p w14:paraId="41A1D367" w14:textId="4E523835" w:rsidR="009F581C" w:rsidRPr="005E65EF" w:rsidRDefault="009F581C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437A2A50" w14:textId="77777777" w:rsidR="004C4408" w:rsidRPr="005E65EF" w:rsidRDefault="00C17D40" w:rsidP="00E52BF1">
      <w:pPr>
        <w:pStyle w:val="Style1"/>
        <w:ind w:right="-1"/>
        <w:jc w:val="both"/>
      </w:pPr>
      <w:r w:rsidRPr="005E65EF">
        <w:t>3.12</w:t>
      </w:r>
      <w:r w:rsidRPr="005E65EF">
        <w:tab/>
        <w:t>Ochranné lhůty</w:t>
      </w:r>
    </w:p>
    <w:p w14:paraId="40B60E69" w14:textId="77777777" w:rsidR="004C4408" w:rsidRPr="005E65E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192EA1B0" w14:textId="504AEAF9" w:rsidR="00B07392" w:rsidRPr="005E65EF" w:rsidRDefault="00B07392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Maso:</w:t>
      </w:r>
      <w:r w:rsidRPr="005E65EF">
        <w:rPr>
          <w:szCs w:val="22"/>
        </w:rPr>
        <w:tab/>
        <w:t xml:space="preserve">28 dní. </w:t>
      </w:r>
    </w:p>
    <w:p w14:paraId="2CFD9C71" w14:textId="65253F7A" w:rsidR="00B07392" w:rsidRPr="005E65EF" w:rsidRDefault="00B07392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 xml:space="preserve">Mléko: 96 hodin po porodu v případě období stání na sucho 35 dní a více. </w:t>
      </w:r>
    </w:p>
    <w:p w14:paraId="18675F6D" w14:textId="77777777" w:rsidR="00B07392" w:rsidRPr="005E65EF" w:rsidRDefault="00B07392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35 dní plus 96 hodin v případě období stání na sucho kratším než 35 dní.</w:t>
      </w:r>
    </w:p>
    <w:p w14:paraId="50C4958D" w14:textId="77777777" w:rsidR="00B07392" w:rsidRPr="005E65EF" w:rsidRDefault="00B07392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Přípravek nesmí být použit v laktaci, ale výhradně v období stání na sucho.</w:t>
      </w:r>
    </w:p>
    <w:p w14:paraId="225CAA6D" w14:textId="44BAE9F4" w:rsidR="00D436F1" w:rsidRPr="005E65EF" w:rsidRDefault="00D436F1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51ADFC99" w14:textId="77777777" w:rsidR="00E52BF1" w:rsidRPr="005E65EF" w:rsidRDefault="00E52BF1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5EC57ECB" w14:textId="35C6688B" w:rsidR="00E8155F" w:rsidRPr="005E65EF" w:rsidRDefault="00E8155F" w:rsidP="00E52BF1">
      <w:pPr>
        <w:pStyle w:val="Style1"/>
        <w:keepNext/>
        <w:ind w:right="-1"/>
        <w:jc w:val="both"/>
      </w:pPr>
      <w:r w:rsidRPr="005E65EF">
        <w:t>4.</w:t>
      </w:r>
      <w:r w:rsidRPr="005E65EF">
        <w:tab/>
      </w:r>
      <w:r w:rsidR="0045600F" w:rsidRPr="005E65EF">
        <w:t xml:space="preserve">FARMAKOLOGICKÉ </w:t>
      </w:r>
      <w:r w:rsidRPr="005E65EF">
        <w:t>INFORMACE</w:t>
      </w:r>
    </w:p>
    <w:p w14:paraId="4CC77B54" w14:textId="3C9E4568" w:rsidR="00603D54" w:rsidRPr="005E65EF" w:rsidRDefault="00603D54" w:rsidP="00E52BF1">
      <w:pPr>
        <w:pStyle w:val="Style1"/>
        <w:keepNext/>
        <w:ind w:right="-1"/>
        <w:jc w:val="both"/>
      </w:pPr>
    </w:p>
    <w:p w14:paraId="600DE122" w14:textId="6203BB26" w:rsidR="008E0770" w:rsidRPr="005E65EF" w:rsidRDefault="00603D54" w:rsidP="00E52BF1">
      <w:pPr>
        <w:spacing w:line="240" w:lineRule="auto"/>
        <w:ind w:right="-1"/>
        <w:jc w:val="both"/>
      </w:pPr>
      <w:r w:rsidRPr="005E65EF">
        <w:rPr>
          <w:b/>
          <w:szCs w:val="22"/>
        </w:rPr>
        <w:t>4.1</w:t>
      </w:r>
      <w:r w:rsidRPr="005E65EF">
        <w:rPr>
          <w:b/>
          <w:szCs w:val="22"/>
        </w:rPr>
        <w:tab/>
        <w:t>ATCvet kód:</w:t>
      </w:r>
      <w:r w:rsidRPr="005E65EF">
        <w:t xml:space="preserve"> </w:t>
      </w:r>
      <w:r w:rsidR="00BA4F30" w:rsidRPr="005E65EF">
        <w:t>QJ51CF02</w:t>
      </w:r>
    </w:p>
    <w:p w14:paraId="07E09911" w14:textId="77777777" w:rsidR="00F06735" w:rsidRPr="005E65EF" w:rsidRDefault="00F06735" w:rsidP="00E52BF1">
      <w:pPr>
        <w:spacing w:line="240" w:lineRule="auto"/>
        <w:ind w:right="-1"/>
        <w:jc w:val="both"/>
        <w:rPr>
          <w:spacing w:val="-2"/>
          <w:kern w:val="2"/>
        </w:rPr>
      </w:pPr>
    </w:p>
    <w:p w14:paraId="438F1CE6" w14:textId="2E7BBF54" w:rsidR="0047566B" w:rsidRPr="005E65EF" w:rsidRDefault="0047566B" w:rsidP="00E52BF1">
      <w:pPr>
        <w:keepNext/>
        <w:tabs>
          <w:tab w:val="left" w:pos="720"/>
        </w:tabs>
        <w:spacing w:line="240" w:lineRule="auto"/>
        <w:ind w:right="-1"/>
        <w:jc w:val="both"/>
        <w:rPr>
          <w:b/>
          <w:szCs w:val="22"/>
        </w:rPr>
      </w:pPr>
      <w:r w:rsidRPr="005E65EF">
        <w:rPr>
          <w:b/>
          <w:szCs w:val="22"/>
        </w:rPr>
        <w:lastRenderedPageBreak/>
        <w:t>4.2</w:t>
      </w:r>
      <w:r w:rsidRPr="005E65EF">
        <w:rPr>
          <w:b/>
          <w:szCs w:val="22"/>
        </w:rPr>
        <w:tab/>
        <w:t>Farmakodynamika</w:t>
      </w:r>
    </w:p>
    <w:p w14:paraId="64547C0B" w14:textId="77777777" w:rsidR="0047566B" w:rsidRPr="005E65EF" w:rsidRDefault="0047566B" w:rsidP="00E52BF1">
      <w:pPr>
        <w:keepNext/>
        <w:spacing w:line="240" w:lineRule="auto"/>
        <w:ind w:right="-1"/>
        <w:jc w:val="both"/>
        <w:rPr>
          <w:szCs w:val="22"/>
        </w:rPr>
      </w:pPr>
    </w:p>
    <w:p w14:paraId="18279FB2" w14:textId="77777777" w:rsidR="0047566B" w:rsidRPr="005E65EF" w:rsidRDefault="0047566B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Kloxacilin je semisyntetické baktericidní antibiotikum ze skupiny izoxazolylpenicilinů, které patří mezi penicilinová antibiotika odolná vůči beta-laktamázám, zejména penicilinázám stafylokoků. Přípravek působí proti grampozitivním mikroorganismům vyvolávajícím mastitidy.</w:t>
      </w:r>
    </w:p>
    <w:p w14:paraId="43262025" w14:textId="421840EF" w:rsidR="0047566B" w:rsidRPr="005E65EF" w:rsidRDefault="0047566B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 xml:space="preserve">Je účinný proti </w:t>
      </w:r>
      <w:r w:rsidRPr="005E65EF">
        <w:rPr>
          <w:i/>
          <w:szCs w:val="22"/>
        </w:rPr>
        <w:t>Streptococcus agalactiae</w:t>
      </w:r>
      <w:r w:rsidRPr="005E65EF">
        <w:rPr>
          <w:szCs w:val="22"/>
        </w:rPr>
        <w:t xml:space="preserve"> a dalším streptokokům, stafylokokům (penicilin rezistentním a senzitivním kmenům) a proti </w:t>
      </w:r>
      <w:r w:rsidRPr="005E65EF">
        <w:rPr>
          <w:i/>
          <w:szCs w:val="22"/>
        </w:rPr>
        <w:t>Trueperella</w:t>
      </w:r>
      <w:r w:rsidRPr="005E65EF">
        <w:rPr>
          <w:szCs w:val="22"/>
        </w:rPr>
        <w:t xml:space="preserve"> (dříve</w:t>
      </w:r>
      <w:r w:rsidRPr="005E65EF">
        <w:rPr>
          <w:i/>
          <w:szCs w:val="22"/>
        </w:rPr>
        <w:t xml:space="preserve"> Corynebacterium</w:t>
      </w:r>
      <w:r w:rsidRPr="005E65EF">
        <w:rPr>
          <w:szCs w:val="22"/>
        </w:rPr>
        <w:t>)</w:t>
      </w:r>
      <w:r w:rsidRPr="005E65EF">
        <w:rPr>
          <w:i/>
          <w:szCs w:val="22"/>
        </w:rPr>
        <w:t xml:space="preserve"> pyogenes.</w:t>
      </w:r>
      <w:r w:rsidRPr="005E65EF">
        <w:rPr>
          <w:szCs w:val="22"/>
        </w:rPr>
        <w:t xml:space="preserve"> </w:t>
      </w:r>
    </w:p>
    <w:p w14:paraId="28ABF2ED" w14:textId="77777777" w:rsidR="0047566B" w:rsidRPr="005E65EF" w:rsidRDefault="0047566B" w:rsidP="00E52BF1">
      <w:pPr>
        <w:spacing w:line="240" w:lineRule="auto"/>
        <w:ind w:right="-1"/>
        <w:jc w:val="both"/>
        <w:rPr>
          <w:szCs w:val="22"/>
        </w:rPr>
      </w:pPr>
    </w:p>
    <w:p w14:paraId="67932C83" w14:textId="501DAE2D" w:rsidR="0047566B" w:rsidRPr="005E65EF" w:rsidRDefault="0047566B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 xml:space="preserve">Doposud byly identifikovány tři základní mechanizmy rezistence: produkce beta-laktamáz, snížená propustnost buněčné stěny a alterace cílových proteinů. Rezistence může být kódována chromozomálně, ale rovněž přenášena mobilními genetickými elementy, například plazmidy. </w:t>
      </w:r>
      <w:r w:rsidRPr="005E65EF">
        <w:rPr>
          <w:bCs/>
          <w:szCs w:val="22"/>
        </w:rPr>
        <w:t>Kloxacilin vykazuje zkříženou rezistenci s ostatními penicilinovými antibiotiky a cefalosporiny.</w:t>
      </w:r>
    </w:p>
    <w:p w14:paraId="17F8D455" w14:textId="77777777" w:rsidR="0047566B" w:rsidRPr="005E65EF" w:rsidRDefault="0047566B" w:rsidP="00E52BF1">
      <w:pPr>
        <w:spacing w:line="240" w:lineRule="auto"/>
        <w:ind w:right="-1"/>
        <w:jc w:val="both"/>
        <w:rPr>
          <w:szCs w:val="22"/>
        </w:rPr>
      </w:pPr>
    </w:p>
    <w:p w14:paraId="3FF67913" w14:textId="258888C1" w:rsidR="0047566B" w:rsidRPr="005E65EF" w:rsidRDefault="00125F54" w:rsidP="00E52BF1">
      <w:pPr>
        <w:tabs>
          <w:tab w:val="left" w:pos="720"/>
        </w:tabs>
        <w:spacing w:line="240" w:lineRule="auto"/>
        <w:ind w:right="-1"/>
        <w:jc w:val="both"/>
        <w:rPr>
          <w:b/>
          <w:szCs w:val="22"/>
        </w:rPr>
      </w:pPr>
      <w:r w:rsidRPr="005E65EF">
        <w:rPr>
          <w:b/>
          <w:szCs w:val="22"/>
        </w:rPr>
        <w:t>4.3</w:t>
      </w:r>
      <w:r w:rsidR="0047566B" w:rsidRPr="005E65EF">
        <w:rPr>
          <w:b/>
          <w:szCs w:val="22"/>
        </w:rPr>
        <w:tab/>
        <w:t>Farmakokinetika</w:t>
      </w:r>
    </w:p>
    <w:p w14:paraId="6D8FB095" w14:textId="77777777" w:rsidR="0047566B" w:rsidRPr="005E65EF" w:rsidRDefault="0047566B" w:rsidP="00E52BF1">
      <w:pPr>
        <w:tabs>
          <w:tab w:val="left" w:pos="720"/>
        </w:tabs>
        <w:spacing w:line="240" w:lineRule="auto"/>
        <w:ind w:right="-1"/>
        <w:jc w:val="both"/>
        <w:rPr>
          <w:b/>
          <w:szCs w:val="22"/>
        </w:rPr>
      </w:pPr>
    </w:p>
    <w:p w14:paraId="1BAD5628" w14:textId="3A8F180F" w:rsidR="0047566B" w:rsidRPr="005E65EF" w:rsidRDefault="0047566B" w:rsidP="00E52BF1">
      <w:pPr>
        <w:tabs>
          <w:tab w:val="left" w:pos="720"/>
        </w:tabs>
        <w:spacing w:line="240" w:lineRule="auto"/>
        <w:ind w:right="-1"/>
        <w:jc w:val="both"/>
        <w:rPr>
          <w:b/>
          <w:szCs w:val="22"/>
        </w:rPr>
      </w:pPr>
      <w:r w:rsidRPr="005E65EF">
        <w:rPr>
          <w:szCs w:val="22"/>
        </w:rPr>
        <w:t>Účinná hladina kloxacilinu v mléčné žláze po zaprahnutí byla zjištěna po dobu 3-4 týdny po</w:t>
      </w:r>
      <w:r w:rsidR="00E52BF1" w:rsidRPr="005E65EF">
        <w:rPr>
          <w:szCs w:val="22"/>
        </w:rPr>
        <w:t xml:space="preserve"> </w:t>
      </w:r>
      <w:r w:rsidRPr="005E65EF">
        <w:rPr>
          <w:szCs w:val="22"/>
        </w:rPr>
        <w:t>podání.</w:t>
      </w:r>
    </w:p>
    <w:p w14:paraId="2A52DDAE" w14:textId="1E9AD57D" w:rsidR="004C4408" w:rsidRPr="005E65EF" w:rsidRDefault="004C4408" w:rsidP="00E52BF1">
      <w:pPr>
        <w:pStyle w:val="Style1"/>
        <w:ind w:right="-1"/>
        <w:jc w:val="both"/>
        <w:rPr>
          <w:b w:val="0"/>
          <w:bCs/>
        </w:rPr>
      </w:pPr>
    </w:p>
    <w:p w14:paraId="34FCCE50" w14:textId="77777777" w:rsidR="00E52BF1" w:rsidRPr="005E65EF" w:rsidRDefault="00E52BF1" w:rsidP="00E52BF1">
      <w:pPr>
        <w:pStyle w:val="Style1"/>
        <w:ind w:right="-1"/>
        <w:jc w:val="both"/>
        <w:rPr>
          <w:b w:val="0"/>
          <w:bCs/>
        </w:rPr>
      </w:pPr>
    </w:p>
    <w:p w14:paraId="480F13E2" w14:textId="77777777" w:rsidR="004C4408" w:rsidRPr="005E65EF" w:rsidRDefault="00C17D40" w:rsidP="00E52BF1">
      <w:pPr>
        <w:pStyle w:val="Style1"/>
        <w:ind w:right="-1"/>
        <w:jc w:val="both"/>
      </w:pPr>
      <w:r w:rsidRPr="005E65EF">
        <w:t>5.</w:t>
      </w:r>
      <w:r w:rsidRPr="005E65EF">
        <w:tab/>
        <w:t>FARMACEUTICKÉ ÚDAJE</w:t>
      </w:r>
    </w:p>
    <w:p w14:paraId="057A9D5F" w14:textId="77777777" w:rsidR="004C4408" w:rsidRPr="005E65E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4BF3F7F0" w14:textId="77777777" w:rsidR="004C4408" w:rsidRPr="005E65EF" w:rsidRDefault="00C17D40" w:rsidP="00E52BF1">
      <w:pPr>
        <w:pStyle w:val="Style1"/>
        <w:ind w:right="-1"/>
        <w:jc w:val="both"/>
      </w:pPr>
      <w:r w:rsidRPr="005E65EF">
        <w:t>5.1</w:t>
      </w:r>
      <w:r w:rsidRPr="005E65EF">
        <w:tab/>
        <w:t>Hlavní inkompatibility</w:t>
      </w:r>
    </w:p>
    <w:p w14:paraId="697B9564" w14:textId="77777777" w:rsidR="004C4408" w:rsidRPr="005E65EF" w:rsidRDefault="004C4408" w:rsidP="00E52BF1">
      <w:pPr>
        <w:spacing w:line="240" w:lineRule="auto"/>
        <w:ind w:right="-1"/>
        <w:jc w:val="both"/>
        <w:rPr>
          <w:szCs w:val="22"/>
        </w:rPr>
      </w:pPr>
    </w:p>
    <w:p w14:paraId="745832BD" w14:textId="77777777" w:rsidR="00E17036" w:rsidRPr="005E65EF" w:rsidRDefault="00E17036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Nejsou známy.</w:t>
      </w:r>
    </w:p>
    <w:p w14:paraId="09AEB4AF" w14:textId="77777777" w:rsidR="00E641BF" w:rsidRPr="005E65EF" w:rsidRDefault="00E641BF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45049915" w14:textId="087F6FDE" w:rsidR="004C4408" w:rsidRPr="005E65EF" w:rsidRDefault="00C17D40" w:rsidP="00E52BF1">
      <w:pPr>
        <w:pStyle w:val="Style1"/>
        <w:ind w:right="-1"/>
        <w:jc w:val="both"/>
      </w:pPr>
      <w:r w:rsidRPr="005E65EF">
        <w:t>5.2</w:t>
      </w:r>
      <w:r w:rsidRPr="005E65EF">
        <w:tab/>
        <w:t>Doba použitelnosti</w:t>
      </w:r>
    </w:p>
    <w:p w14:paraId="1BF33DA4" w14:textId="77777777" w:rsidR="00E641BF" w:rsidRPr="005E65EF" w:rsidRDefault="00E641BF" w:rsidP="00E52BF1">
      <w:pPr>
        <w:pStyle w:val="Style1"/>
        <w:ind w:right="-1"/>
        <w:jc w:val="both"/>
      </w:pPr>
    </w:p>
    <w:p w14:paraId="6BA70A75" w14:textId="77777777" w:rsidR="00F265FE" w:rsidRPr="005E65EF" w:rsidRDefault="00F265FE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Doba použitelnosti veterinárního léčivého přípravku v neporušeném obalu: 4 roky.</w:t>
      </w:r>
    </w:p>
    <w:p w14:paraId="6A70425E" w14:textId="77777777" w:rsidR="004C4408" w:rsidRPr="005E65E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6FAEF18D" w14:textId="77777777" w:rsidR="004C4408" w:rsidRPr="005E65EF" w:rsidRDefault="00C17D40" w:rsidP="00E52BF1">
      <w:pPr>
        <w:pStyle w:val="Style1"/>
        <w:ind w:right="-1"/>
        <w:jc w:val="both"/>
      </w:pPr>
      <w:r w:rsidRPr="005E65EF">
        <w:t>5.3</w:t>
      </w:r>
      <w:r w:rsidRPr="005E65EF">
        <w:tab/>
        <w:t>Zvláštní opatření pro uchovávání</w:t>
      </w:r>
    </w:p>
    <w:p w14:paraId="2575B386" w14:textId="77777777" w:rsidR="004C4408" w:rsidRPr="005E65EF" w:rsidRDefault="004C4408" w:rsidP="00E52BF1">
      <w:pPr>
        <w:spacing w:line="240" w:lineRule="auto"/>
        <w:ind w:right="-1"/>
        <w:jc w:val="both"/>
        <w:rPr>
          <w:szCs w:val="22"/>
        </w:rPr>
      </w:pPr>
    </w:p>
    <w:p w14:paraId="346995E7" w14:textId="77777777" w:rsidR="00342D8C" w:rsidRPr="005E65EF" w:rsidRDefault="00342D8C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Uchovávejte při teplotě do 25 °C.</w:t>
      </w:r>
    </w:p>
    <w:p w14:paraId="10BB15FC" w14:textId="77777777" w:rsidR="004C4408" w:rsidRPr="005E65E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744718EB" w14:textId="77777777" w:rsidR="004C4408" w:rsidRPr="005E65EF" w:rsidRDefault="00C17D40" w:rsidP="00E52BF1">
      <w:pPr>
        <w:pStyle w:val="Style1"/>
        <w:ind w:right="-1"/>
        <w:jc w:val="both"/>
      </w:pPr>
      <w:r w:rsidRPr="005E65EF">
        <w:t>5.4</w:t>
      </w:r>
      <w:r w:rsidRPr="005E65EF">
        <w:tab/>
        <w:t>Druh a složení vnitřního obalu</w:t>
      </w:r>
    </w:p>
    <w:p w14:paraId="6693EE4C" w14:textId="22C832BA" w:rsidR="004C4408" w:rsidRPr="005E65EF" w:rsidRDefault="004C4408" w:rsidP="00E52BF1">
      <w:pPr>
        <w:spacing w:line="240" w:lineRule="auto"/>
        <w:ind w:right="-1"/>
        <w:jc w:val="both"/>
        <w:rPr>
          <w:szCs w:val="22"/>
        </w:rPr>
      </w:pPr>
    </w:p>
    <w:p w14:paraId="05BA3EAA" w14:textId="1A82C9A5" w:rsidR="00C30DD8" w:rsidRPr="005E65EF" w:rsidRDefault="00C30DD8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Bílý polyethyl</w:t>
      </w:r>
      <w:r w:rsidR="00654800" w:rsidRPr="005E65EF">
        <w:rPr>
          <w:szCs w:val="22"/>
        </w:rPr>
        <w:t>e</w:t>
      </w:r>
      <w:r w:rsidRPr="005E65EF">
        <w:rPr>
          <w:szCs w:val="22"/>
        </w:rPr>
        <w:t>nový aplikátor obsahující 3 g suspenze s bílým polyethyl</w:t>
      </w:r>
      <w:r w:rsidR="00654800" w:rsidRPr="005E65EF">
        <w:rPr>
          <w:szCs w:val="22"/>
        </w:rPr>
        <w:t>e</w:t>
      </w:r>
      <w:r w:rsidRPr="005E65EF">
        <w:rPr>
          <w:szCs w:val="22"/>
        </w:rPr>
        <w:t>novým uzávěrem balený v</w:t>
      </w:r>
      <w:r w:rsidR="0016071E" w:rsidRPr="005E65EF">
        <w:rPr>
          <w:szCs w:val="22"/>
        </w:rPr>
        <w:t> </w:t>
      </w:r>
      <w:r w:rsidR="00514CB7" w:rsidRPr="005E65EF">
        <w:rPr>
          <w:szCs w:val="22"/>
        </w:rPr>
        <w:t xml:space="preserve">papírové </w:t>
      </w:r>
      <w:r w:rsidRPr="005E65EF">
        <w:rPr>
          <w:szCs w:val="22"/>
        </w:rPr>
        <w:t>krabici po 24, 72 nebo 120 aplikátorech.</w:t>
      </w:r>
    </w:p>
    <w:p w14:paraId="5502BACD" w14:textId="77777777" w:rsidR="00C30DD8" w:rsidRPr="005E65EF" w:rsidRDefault="00C30DD8" w:rsidP="00E52BF1">
      <w:pPr>
        <w:spacing w:line="240" w:lineRule="auto"/>
        <w:ind w:right="-1"/>
        <w:jc w:val="both"/>
        <w:rPr>
          <w:szCs w:val="22"/>
        </w:rPr>
      </w:pPr>
    </w:p>
    <w:p w14:paraId="64C52968" w14:textId="77777777" w:rsidR="00C30DD8" w:rsidRPr="005E65EF" w:rsidRDefault="00C30DD8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Na trhu nemusí být všechny velikosti balení.</w:t>
      </w:r>
    </w:p>
    <w:p w14:paraId="754EC942" w14:textId="77777777" w:rsidR="00285416" w:rsidRPr="005E65EF" w:rsidRDefault="00285416" w:rsidP="00E52BF1">
      <w:pPr>
        <w:spacing w:line="240" w:lineRule="auto"/>
        <w:ind w:right="-1"/>
        <w:jc w:val="both"/>
        <w:rPr>
          <w:szCs w:val="22"/>
        </w:rPr>
      </w:pPr>
    </w:p>
    <w:p w14:paraId="593BF258" w14:textId="09867AA1" w:rsidR="005B0291" w:rsidRPr="005E65EF" w:rsidRDefault="00C17D40" w:rsidP="00E52BF1">
      <w:pPr>
        <w:pStyle w:val="Style1"/>
        <w:keepNext/>
        <w:ind w:right="-1"/>
        <w:jc w:val="both"/>
      </w:pPr>
      <w:r w:rsidRPr="005E65EF">
        <w:t>5.5</w:t>
      </w:r>
      <w:r w:rsidRPr="005E65EF">
        <w:tab/>
        <w:t xml:space="preserve">Zvláštní opatření pro likvidaci </w:t>
      </w:r>
      <w:r w:rsidR="005B0291" w:rsidRPr="005E65EF">
        <w:t>nepoužitých veterinárních léčivých přípravků nebo odpadů, které pochází z těchto přípravků</w:t>
      </w:r>
    </w:p>
    <w:p w14:paraId="7D9DE5E1" w14:textId="5B2355DD" w:rsidR="008B041B" w:rsidRPr="005E65EF" w:rsidRDefault="008B041B" w:rsidP="00E52BF1">
      <w:pPr>
        <w:keepNext/>
        <w:spacing w:line="240" w:lineRule="auto"/>
        <w:ind w:right="-1"/>
        <w:jc w:val="both"/>
        <w:rPr>
          <w:szCs w:val="22"/>
        </w:rPr>
      </w:pPr>
    </w:p>
    <w:p w14:paraId="593361D2" w14:textId="77B92FBD" w:rsidR="00A87F0D" w:rsidRPr="005E65EF" w:rsidRDefault="00A87F0D" w:rsidP="00E52BF1">
      <w:pPr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Léčivé přípravky se nesmí likvidovat prostřednictvím odpadní vody či domovního odpadu.</w:t>
      </w:r>
    </w:p>
    <w:p w14:paraId="75A1DD78" w14:textId="77777777" w:rsidR="00A87F0D" w:rsidRPr="005E65EF" w:rsidRDefault="00A87F0D" w:rsidP="00E52BF1">
      <w:pPr>
        <w:spacing w:line="240" w:lineRule="auto"/>
        <w:ind w:right="-1"/>
        <w:jc w:val="both"/>
        <w:rPr>
          <w:szCs w:val="22"/>
        </w:rPr>
      </w:pPr>
    </w:p>
    <w:p w14:paraId="10638F9F" w14:textId="77777777" w:rsidR="00184403" w:rsidRPr="005E65EF" w:rsidRDefault="00184403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2970EAE" w14:textId="5B6B6AE1" w:rsidR="00EC7501" w:rsidRPr="005E65EF" w:rsidRDefault="00EC7501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3F221ECA" w14:textId="77777777" w:rsidR="00393DC5" w:rsidRPr="005E65EF" w:rsidRDefault="00393DC5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20F77B20" w14:textId="77777777" w:rsidR="004C4408" w:rsidRPr="005E65EF" w:rsidRDefault="00C17D40" w:rsidP="00E52BF1">
      <w:pPr>
        <w:pStyle w:val="Style1"/>
        <w:ind w:right="-1"/>
        <w:jc w:val="both"/>
      </w:pPr>
      <w:r w:rsidRPr="005E65EF">
        <w:t>6.</w:t>
      </w:r>
      <w:r w:rsidRPr="005E65EF">
        <w:tab/>
        <w:t>JMÉNO DRŽITELE ROZHODNUTÍ O REGISTRACI</w:t>
      </w:r>
    </w:p>
    <w:p w14:paraId="513B3658" w14:textId="77777777" w:rsidR="004C4408" w:rsidRPr="005E65EF" w:rsidRDefault="004C4408" w:rsidP="00E52BF1">
      <w:pPr>
        <w:spacing w:line="240" w:lineRule="auto"/>
        <w:ind w:right="-1"/>
        <w:jc w:val="both"/>
        <w:rPr>
          <w:szCs w:val="22"/>
        </w:rPr>
      </w:pPr>
    </w:p>
    <w:p w14:paraId="129D7AC9" w14:textId="24B2EA35" w:rsidR="004C4408" w:rsidRPr="005E65EF" w:rsidRDefault="00641DB3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r w:rsidRPr="005E65EF">
        <w:rPr>
          <w:szCs w:val="22"/>
          <w:lang w:eastAsia="cs-CZ"/>
        </w:rPr>
        <w:t>Zoetis Česká republika, s.r.o.</w:t>
      </w:r>
    </w:p>
    <w:p w14:paraId="2C55702E" w14:textId="4E4D1D80" w:rsidR="006A2084" w:rsidRPr="005E65EF" w:rsidRDefault="006A2084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7F7199F4" w14:textId="77777777" w:rsidR="00E52BF1" w:rsidRPr="005E65EF" w:rsidRDefault="00E52BF1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3EC14915" w14:textId="77777777" w:rsidR="004C4408" w:rsidRPr="005E65EF" w:rsidRDefault="00C17D40" w:rsidP="00E52BF1">
      <w:pPr>
        <w:pStyle w:val="Style1"/>
        <w:keepNext/>
        <w:jc w:val="both"/>
      </w:pPr>
      <w:r w:rsidRPr="005E65EF">
        <w:t>7.</w:t>
      </w:r>
      <w:r w:rsidRPr="005E65EF">
        <w:tab/>
        <w:t>REGISTRAČNÍ ČÍSLO(A)</w:t>
      </w:r>
    </w:p>
    <w:p w14:paraId="181D708A" w14:textId="0B1188E1" w:rsidR="004C4408" w:rsidRPr="005E65EF" w:rsidRDefault="004C4408" w:rsidP="00E52BF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9EC1C10" w14:textId="3E08EA69" w:rsidR="00EC2AD8" w:rsidRPr="005E65EF" w:rsidRDefault="00EC2AD8" w:rsidP="00E52BF1">
      <w:pPr>
        <w:spacing w:line="240" w:lineRule="auto"/>
        <w:ind w:right="-1"/>
        <w:jc w:val="both"/>
        <w:rPr>
          <w:caps/>
          <w:szCs w:val="22"/>
        </w:rPr>
      </w:pPr>
      <w:r w:rsidRPr="005E65EF">
        <w:rPr>
          <w:caps/>
          <w:szCs w:val="22"/>
        </w:rPr>
        <w:t>96/25</w:t>
      </w:r>
      <w:r w:rsidR="00DF1F95" w:rsidRPr="005E65EF">
        <w:rPr>
          <w:caps/>
          <w:szCs w:val="22"/>
        </w:rPr>
        <w:t>6</w:t>
      </w:r>
      <w:r w:rsidRPr="005E65EF">
        <w:rPr>
          <w:caps/>
          <w:szCs w:val="22"/>
        </w:rPr>
        <w:t>/91-C</w:t>
      </w:r>
    </w:p>
    <w:p w14:paraId="3FDB3C02" w14:textId="77777777" w:rsidR="004C4408" w:rsidRPr="005E65E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5899F483" w14:textId="77777777" w:rsidR="004C4408" w:rsidRPr="005E65EF" w:rsidRDefault="00C17D40" w:rsidP="00E52BF1">
      <w:pPr>
        <w:pStyle w:val="Style1"/>
        <w:keepNext/>
        <w:ind w:right="-1"/>
        <w:jc w:val="both"/>
      </w:pPr>
      <w:r w:rsidRPr="005E65EF">
        <w:t>8.</w:t>
      </w:r>
      <w:r w:rsidRPr="005E65EF">
        <w:tab/>
        <w:t>DATUM PRVNÍ REGISTRACE</w:t>
      </w:r>
    </w:p>
    <w:p w14:paraId="254632FD" w14:textId="77777777" w:rsidR="004C4408" w:rsidRPr="005E65EF" w:rsidRDefault="004C4408" w:rsidP="00E52BF1">
      <w:pPr>
        <w:keepNext/>
        <w:spacing w:line="240" w:lineRule="auto"/>
        <w:ind w:right="-318"/>
        <w:jc w:val="both"/>
        <w:rPr>
          <w:b/>
          <w:caps/>
          <w:szCs w:val="22"/>
        </w:rPr>
      </w:pPr>
    </w:p>
    <w:p w14:paraId="111ECEE2" w14:textId="58112F88" w:rsidR="004C4408" w:rsidRPr="005E65EF" w:rsidRDefault="00C17D40" w:rsidP="00E52BF1">
      <w:pPr>
        <w:pStyle w:val="SPCheader1"/>
        <w:numPr>
          <w:ilvl w:val="0"/>
          <w:numId w:val="0"/>
        </w:numPr>
        <w:spacing w:before="0" w:after="0"/>
        <w:jc w:val="both"/>
        <w:rPr>
          <w:b w:val="0"/>
          <w:sz w:val="22"/>
          <w:szCs w:val="22"/>
          <w:lang w:val="cs-CZ"/>
        </w:rPr>
      </w:pPr>
      <w:r w:rsidRPr="005E65EF">
        <w:rPr>
          <w:b w:val="0"/>
          <w:sz w:val="22"/>
          <w:szCs w:val="22"/>
          <w:lang w:val="cs-CZ"/>
        </w:rPr>
        <w:t>Datum</w:t>
      </w:r>
      <w:r w:rsidR="00EF0EF2" w:rsidRPr="005E65EF">
        <w:rPr>
          <w:b w:val="0"/>
          <w:sz w:val="22"/>
          <w:szCs w:val="22"/>
          <w:lang w:val="cs-CZ"/>
        </w:rPr>
        <w:t xml:space="preserve"> </w:t>
      </w:r>
      <w:r w:rsidR="00244919" w:rsidRPr="005E65EF">
        <w:rPr>
          <w:b w:val="0"/>
          <w:sz w:val="22"/>
          <w:szCs w:val="22"/>
          <w:lang w:val="cs-CZ"/>
        </w:rPr>
        <w:t xml:space="preserve">první </w:t>
      </w:r>
      <w:r w:rsidRPr="005E65EF">
        <w:rPr>
          <w:b w:val="0"/>
          <w:sz w:val="22"/>
          <w:szCs w:val="22"/>
          <w:lang w:val="cs-CZ"/>
        </w:rPr>
        <w:t>registrace:</w:t>
      </w:r>
      <w:r w:rsidR="00FB2F61" w:rsidRPr="005E65EF">
        <w:rPr>
          <w:b w:val="0"/>
          <w:sz w:val="22"/>
          <w:szCs w:val="22"/>
          <w:lang w:val="cs-CZ"/>
        </w:rPr>
        <w:t xml:space="preserve"> </w:t>
      </w:r>
      <w:r w:rsidR="00CE7CA5" w:rsidRPr="005E65EF">
        <w:rPr>
          <w:b w:val="0"/>
          <w:sz w:val="22"/>
          <w:szCs w:val="22"/>
          <w:lang w:val="cs-CZ"/>
        </w:rPr>
        <w:t>25.7.1991</w:t>
      </w:r>
    </w:p>
    <w:p w14:paraId="45918DAC" w14:textId="5CA77BD3" w:rsidR="004C4408" w:rsidRPr="005E65EF" w:rsidRDefault="004C4408" w:rsidP="00E52B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0463DE6" w14:textId="77777777" w:rsidR="00E52BF1" w:rsidRPr="005E65EF" w:rsidRDefault="00E52BF1" w:rsidP="00E52B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620C6B" w14:textId="77777777" w:rsidR="004C4408" w:rsidRPr="005E65EF" w:rsidRDefault="00C17D40" w:rsidP="00E52BF1">
      <w:pPr>
        <w:pStyle w:val="Style1"/>
        <w:jc w:val="both"/>
      </w:pPr>
      <w:r w:rsidRPr="005E65EF">
        <w:t>9.</w:t>
      </w:r>
      <w:r w:rsidRPr="005E65EF">
        <w:tab/>
        <w:t>DATUM POSLEDNÍ AKTUALIZACE SOUHRNU ÚDAJŮ O PŘÍPRAVKU</w:t>
      </w:r>
    </w:p>
    <w:p w14:paraId="75347A0B" w14:textId="77777777" w:rsidR="0037156E" w:rsidRPr="005E65EF" w:rsidRDefault="0037156E" w:rsidP="00E52B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778879" w14:textId="731FA18B" w:rsidR="0037156E" w:rsidRPr="005E65EF" w:rsidRDefault="000D7C51" w:rsidP="00E52BF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E65EF">
        <w:rPr>
          <w:szCs w:val="22"/>
        </w:rPr>
        <w:t>Leden</w:t>
      </w:r>
      <w:r w:rsidR="00B57E8B" w:rsidRPr="005E65EF">
        <w:rPr>
          <w:szCs w:val="22"/>
        </w:rPr>
        <w:t xml:space="preserve"> 202</w:t>
      </w:r>
      <w:r w:rsidRPr="005E65EF">
        <w:rPr>
          <w:szCs w:val="22"/>
        </w:rPr>
        <w:t>4</w:t>
      </w:r>
    </w:p>
    <w:p w14:paraId="494CF2D1" w14:textId="77777777" w:rsidR="00CE7CA5" w:rsidRPr="005E65EF" w:rsidRDefault="00CE7CA5" w:rsidP="00E52B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E6EB9A" w14:textId="77777777" w:rsidR="004C4408" w:rsidRPr="005E65EF" w:rsidRDefault="004C4408" w:rsidP="00E52B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E92F8F" w14:textId="77777777" w:rsidR="004C4408" w:rsidRPr="005E65EF" w:rsidRDefault="00C17D40" w:rsidP="00E52BF1">
      <w:pPr>
        <w:pStyle w:val="Style1"/>
        <w:jc w:val="both"/>
      </w:pPr>
      <w:r w:rsidRPr="005E65EF">
        <w:t>10.</w:t>
      </w:r>
      <w:r w:rsidRPr="005E65EF">
        <w:tab/>
        <w:t>KLASIFIKACE VETERINÁRNÍCH LÉČIVÝCH PŘÍPRAVKŮ</w:t>
      </w:r>
    </w:p>
    <w:p w14:paraId="02D27F22" w14:textId="12D761A5" w:rsidR="004C4408" w:rsidRPr="005E65EF" w:rsidRDefault="004C4408" w:rsidP="00E52BF1">
      <w:pPr>
        <w:spacing w:line="240" w:lineRule="auto"/>
        <w:jc w:val="both"/>
        <w:rPr>
          <w:szCs w:val="22"/>
        </w:rPr>
      </w:pPr>
    </w:p>
    <w:p w14:paraId="47C682C8" w14:textId="77777777" w:rsidR="00396D34" w:rsidRPr="005E65EF" w:rsidRDefault="00396D34" w:rsidP="00E52BF1">
      <w:pPr>
        <w:spacing w:line="240" w:lineRule="auto"/>
        <w:jc w:val="both"/>
        <w:rPr>
          <w:szCs w:val="22"/>
        </w:rPr>
      </w:pPr>
      <w:r w:rsidRPr="005E65EF">
        <w:rPr>
          <w:szCs w:val="22"/>
        </w:rPr>
        <w:t>Veterinární léčivý přípravek je vydáván pouze na předpis.</w:t>
      </w:r>
    </w:p>
    <w:p w14:paraId="6BC9AADD" w14:textId="77777777" w:rsidR="00470A70" w:rsidRPr="005E65EF" w:rsidRDefault="00470A70" w:rsidP="00E52BF1">
      <w:pPr>
        <w:spacing w:line="240" w:lineRule="auto"/>
        <w:jc w:val="both"/>
        <w:rPr>
          <w:szCs w:val="22"/>
        </w:rPr>
      </w:pPr>
    </w:p>
    <w:p w14:paraId="30861ECB" w14:textId="4A6BCE5D" w:rsidR="00C135A7" w:rsidRPr="005E65EF" w:rsidRDefault="00C135A7" w:rsidP="00E52BF1">
      <w:pPr>
        <w:spacing w:line="240" w:lineRule="auto"/>
        <w:jc w:val="both"/>
        <w:rPr>
          <w:i/>
          <w:szCs w:val="22"/>
        </w:rPr>
      </w:pPr>
      <w:bookmarkStart w:id="4" w:name="_Hlk73467306"/>
      <w:r w:rsidRPr="005E65EF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Pr="005E65EF">
          <w:rPr>
            <w:rStyle w:val="Hypertextovodkaz"/>
            <w:szCs w:val="22"/>
          </w:rPr>
          <w:t>https://medicines.health.europa.eu/veterinary</w:t>
        </w:r>
      </w:hyperlink>
      <w:r w:rsidRPr="005E65EF">
        <w:rPr>
          <w:szCs w:val="22"/>
        </w:rPr>
        <w:t>)</w:t>
      </w:r>
      <w:r w:rsidRPr="005E65EF">
        <w:rPr>
          <w:i/>
          <w:szCs w:val="22"/>
        </w:rPr>
        <w:t>.</w:t>
      </w:r>
    </w:p>
    <w:p w14:paraId="24D89D3A" w14:textId="77777777" w:rsidR="002D3195" w:rsidRPr="005E65EF" w:rsidRDefault="002D3195" w:rsidP="00E52BF1">
      <w:pPr>
        <w:spacing w:line="240" w:lineRule="auto"/>
        <w:jc w:val="both"/>
        <w:rPr>
          <w:szCs w:val="22"/>
        </w:rPr>
      </w:pPr>
    </w:p>
    <w:p w14:paraId="3E5B2A1F" w14:textId="77777777" w:rsidR="002D3195" w:rsidRPr="005E65EF" w:rsidRDefault="002D3195" w:rsidP="00E52BF1">
      <w:pPr>
        <w:spacing w:line="240" w:lineRule="auto"/>
        <w:jc w:val="both"/>
        <w:rPr>
          <w:rFonts w:eastAsiaTheme="minorHAnsi"/>
          <w:szCs w:val="22"/>
        </w:rPr>
      </w:pPr>
      <w:bookmarkStart w:id="5" w:name="_Hlk141872100"/>
      <w:bookmarkEnd w:id="4"/>
      <w:r w:rsidRPr="005E65EF">
        <w:rPr>
          <w:rFonts w:eastAsiaTheme="minorHAnsi"/>
          <w:szCs w:val="22"/>
        </w:rPr>
        <w:t>Podrobné informace o tomto veterinárním léčivém přípravku naleznete také v národní databázi (</w:t>
      </w:r>
      <w:hyperlink r:id="rId11" w:history="1">
        <w:r w:rsidRPr="005E65EF">
          <w:rPr>
            <w:rStyle w:val="Hypertextovodkaz"/>
            <w:rFonts w:eastAsiaTheme="minorHAnsi"/>
            <w:szCs w:val="22"/>
          </w:rPr>
          <w:t>https://www.uskvbl.cz</w:t>
        </w:r>
      </w:hyperlink>
      <w:r w:rsidRPr="005E65EF">
        <w:rPr>
          <w:rFonts w:eastAsiaTheme="minorHAnsi"/>
          <w:szCs w:val="22"/>
        </w:rPr>
        <w:t>).</w:t>
      </w:r>
    </w:p>
    <w:p w14:paraId="2BF83273" w14:textId="736918A4" w:rsidR="004C4408" w:rsidRPr="005E65EF" w:rsidRDefault="004C4408" w:rsidP="00E52BF1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GoBack"/>
      <w:bookmarkEnd w:id="5"/>
      <w:bookmarkEnd w:id="6"/>
    </w:p>
    <w:sectPr w:rsidR="004C4408" w:rsidRPr="005E65EF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C206C" w14:textId="77777777" w:rsidR="00E76EBA" w:rsidRDefault="00E76EBA">
      <w:pPr>
        <w:spacing w:line="240" w:lineRule="auto"/>
      </w:pPr>
      <w:r>
        <w:separator/>
      </w:r>
    </w:p>
  </w:endnote>
  <w:endnote w:type="continuationSeparator" w:id="0">
    <w:p w14:paraId="35CBDCB6" w14:textId="77777777" w:rsidR="00E76EBA" w:rsidRDefault="00E76EBA">
      <w:pPr>
        <w:spacing w:line="240" w:lineRule="auto"/>
      </w:pPr>
      <w:r>
        <w:continuationSeparator/>
      </w:r>
    </w:p>
  </w:endnote>
  <w:endnote w:type="continuationNotice" w:id="1">
    <w:p w14:paraId="4CDB0A35" w14:textId="77777777" w:rsidR="00E76EBA" w:rsidRDefault="00E76E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823A9" w14:textId="77777777" w:rsidR="00FE5629" w:rsidRDefault="00FE5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5E65EF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4BC4D" w14:textId="77777777" w:rsidR="00FE5629" w:rsidRDefault="00FE5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7C239" w14:textId="77777777" w:rsidR="00E76EBA" w:rsidRDefault="00E76EBA">
      <w:pPr>
        <w:spacing w:line="240" w:lineRule="auto"/>
      </w:pPr>
      <w:r>
        <w:separator/>
      </w:r>
    </w:p>
  </w:footnote>
  <w:footnote w:type="continuationSeparator" w:id="0">
    <w:p w14:paraId="75D8AC77" w14:textId="77777777" w:rsidR="00E76EBA" w:rsidRDefault="00E76EBA">
      <w:pPr>
        <w:spacing w:line="240" w:lineRule="auto"/>
      </w:pPr>
      <w:r>
        <w:continuationSeparator/>
      </w:r>
    </w:p>
  </w:footnote>
  <w:footnote w:type="continuationNotice" w:id="1">
    <w:p w14:paraId="5BB09992" w14:textId="77777777" w:rsidR="00E76EBA" w:rsidRDefault="00E76EB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 w15:restartNumberingAfterBreak="0">
    <w:nsid w:val="1E5C6FB3"/>
    <w:multiLevelType w:val="multilevel"/>
    <w:tmpl w:val="3234601A"/>
    <w:lvl w:ilvl="0">
      <w:start w:val="1"/>
      <w:numFmt w:val="decimal"/>
      <w:pStyle w:val="SPChead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PCheader2"/>
      <w:isLgl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451B5DE4"/>
    <w:multiLevelType w:val="hybridMultilevel"/>
    <w:tmpl w:val="643CD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67AF1"/>
    <w:multiLevelType w:val="hybridMultilevel"/>
    <w:tmpl w:val="C4C8B306"/>
    <w:lvl w:ilvl="0" w:tplc="E24AC9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70A2F"/>
    <w:multiLevelType w:val="hybridMultilevel"/>
    <w:tmpl w:val="9AE6D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4C4408"/>
    <w:rsid w:val="0000238B"/>
    <w:rsid w:val="00005442"/>
    <w:rsid w:val="00005D9A"/>
    <w:rsid w:val="00010FA8"/>
    <w:rsid w:val="000113ED"/>
    <w:rsid w:val="0001401B"/>
    <w:rsid w:val="00015004"/>
    <w:rsid w:val="00016183"/>
    <w:rsid w:val="000177A5"/>
    <w:rsid w:val="000226A9"/>
    <w:rsid w:val="000266EA"/>
    <w:rsid w:val="000278B5"/>
    <w:rsid w:val="00030B98"/>
    <w:rsid w:val="000355D0"/>
    <w:rsid w:val="00035EBD"/>
    <w:rsid w:val="0004389D"/>
    <w:rsid w:val="00046582"/>
    <w:rsid w:val="00051167"/>
    <w:rsid w:val="00066FD2"/>
    <w:rsid w:val="00073464"/>
    <w:rsid w:val="00083599"/>
    <w:rsid w:val="000875D4"/>
    <w:rsid w:val="0008763F"/>
    <w:rsid w:val="00095438"/>
    <w:rsid w:val="000A0360"/>
    <w:rsid w:val="000A34D5"/>
    <w:rsid w:val="000B2844"/>
    <w:rsid w:val="000B375F"/>
    <w:rsid w:val="000B6341"/>
    <w:rsid w:val="000D2416"/>
    <w:rsid w:val="000D2849"/>
    <w:rsid w:val="000D6F89"/>
    <w:rsid w:val="000D7C51"/>
    <w:rsid w:val="000E2C1B"/>
    <w:rsid w:val="00100270"/>
    <w:rsid w:val="001105CF"/>
    <w:rsid w:val="00123E59"/>
    <w:rsid w:val="00125F54"/>
    <w:rsid w:val="00140F2E"/>
    <w:rsid w:val="001412D7"/>
    <w:rsid w:val="00141F79"/>
    <w:rsid w:val="00145AD5"/>
    <w:rsid w:val="00146D79"/>
    <w:rsid w:val="00151A2F"/>
    <w:rsid w:val="00157C1D"/>
    <w:rsid w:val="0016071E"/>
    <w:rsid w:val="00160DA8"/>
    <w:rsid w:val="0016141B"/>
    <w:rsid w:val="00163B3F"/>
    <w:rsid w:val="00165C5F"/>
    <w:rsid w:val="001732CC"/>
    <w:rsid w:val="001759B2"/>
    <w:rsid w:val="001804D5"/>
    <w:rsid w:val="00182CC4"/>
    <w:rsid w:val="00183535"/>
    <w:rsid w:val="00184403"/>
    <w:rsid w:val="00194742"/>
    <w:rsid w:val="00194C4E"/>
    <w:rsid w:val="001A0416"/>
    <w:rsid w:val="001B2A4B"/>
    <w:rsid w:val="001C43EA"/>
    <w:rsid w:val="001C666F"/>
    <w:rsid w:val="001D07BE"/>
    <w:rsid w:val="001D1FB5"/>
    <w:rsid w:val="001E1F99"/>
    <w:rsid w:val="001F29BD"/>
    <w:rsid w:val="001F2A8F"/>
    <w:rsid w:val="001F4AA7"/>
    <w:rsid w:val="00204C43"/>
    <w:rsid w:val="00204CA4"/>
    <w:rsid w:val="00206F57"/>
    <w:rsid w:val="00212C67"/>
    <w:rsid w:val="00215D38"/>
    <w:rsid w:val="00217FAE"/>
    <w:rsid w:val="002271F9"/>
    <w:rsid w:val="0023333A"/>
    <w:rsid w:val="002340F0"/>
    <w:rsid w:val="00244919"/>
    <w:rsid w:val="00244D9F"/>
    <w:rsid w:val="00245CF6"/>
    <w:rsid w:val="0025674D"/>
    <w:rsid w:val="002711D2"/>
    <w:rsid w:val="002745E1"/>
    <w:rsid w:val="002751D3"/>
    <w:rsid w:val="00276C10"/>
    <w:rsid w:val="00276FBA"/>
    <w:rsid w:val="00285416"/>
    <w:rsid w:val="00293B88"/>
    <w:rsid w:val="00294672"/>
    <w:rsid w:val="002A5B4F"/>
    <w:rsid w:val="002B190F"/>
    <w:rsid w:val="002B1D39"/>
    <w:rsid w:val="002B4674"/>
    <w:rsid w:val="002C7E3A"/>
    <w:rsid w:val="002D27D0"/>
    <w:rsid w:val="002D3195"/>
    <w:rsid w:val="002D3EBE"/>
    <w:rsid w:val="002E142A"/>
    <w:rsid w:val="002E24FF"/>
    <w:rsid w:val="002E77DD"/>
    <w:rsid w:val="002F1F13"/>
    <w:rsid w:val="002F478D"/>
    <w:rsid w:val="002F7EAF"/>
    <w:rsid w:val="00302458"/>
    <w:rsid w:val="00302F86"/>
    <w:rsid w:val="0030324D"/>
    <w:rsid w:val="0030610B"/>
    <w:rsid w:val="003110BF"/>
    <w:rsid w:val="003119E0"/>
    <w:rsid w:val="00330CD3"/>
    <w:rsid w:val="00337391"/>
    <w:rsid w:val="00342D8C"/>
    <w:rsid w:val="00344214"/>
    <w:rsid w:val="00344E44"/>
    <w:rsid w:val="003514AF"/>
    <w:rsid w:val="00352CA7"/>
    <w:rsid w:val="00360E3A"/>
    <w:rsid w:val="00367B3E"/>
    <w:rsid w:val="0037156E"/>
    <w:rsid w:val="00371AF2"/>
    <w:rsid w:val="00372274"/>
    <w:rsid w:val="00374B40"/>
    <w:rsid w:val="00374D98"/>
    <w:rsid w:val="00380BCD"/>
    <w:rsid w:val="00392699"/>
    <w:rsid w:val="0039391C"/>
    <w:rsid w:val="00393B5D"/>
    <w:rsid w:val="00393DC5"/>
    <w:rsid w:val="00396D34"/>
    <w:rsid w:val="003A4DEA"/>
    <w:rsid w:val="003B3F49"/>
    <w:rsid w:val="003B7332"/>
    <w:rsid w:val="003C03D3"/>
    <w:rsid w:val="003C266F"/>
    <w:rsid w:val="003C59C0"/>
    <w:rsid w:val="003D0AE1"/>
    <w:rsid w:val="003D2348"/>
    <w:rsid w:val="003D307F"/>
    <w:rsid w:val="003D4D5B"/>
    <w:rsid w:val="003D4EAF"/>
    <w:rsid w:val="003E414E"/>
    <w:rsid w:val="003E5964"/>
    <w:rsid w:val="003F5A7A"/>
    <w:rsid w:val="003F5B47"/>
    <w:rsid w:val="00402B35"/>
    <w:rsid w:val="00410090"/>
    <w:rsid w:val="004108E9"/>
    <w:rsid w:val="00415347"/>
    <w:rsid w:val="004175E3"/>
    <w:rsid w:val="00425D6F"/>
    <w:rsid w:val="00427344"/>
    <w:rsid w:val="004279EB"/>
    <w:rsid w:val="00427F9D"/>
    <w:rsid w:val="00431543"/>
    <w:rsid w:val="00431AF2"/>
    <w:rsid w:val="00433337"/>
    <w:rsid w:val="00441B97"/>
    <w:rsid w:val="00441F28"/>
    <w:rsid w:val="00445925"/>
    <w:rsid w:val="00446F4D"/>
    <w:rsid w:val="00447BE6"/>
    <w:rsid w:val="00450538"/>
    <w:rsid w:val="0045600F"/>
    <w:rsid w:val="004561EA"/>
    <w:rsid w:val="00464891"/>
    <w:rsid w:val="0047064C"/>
    <w:rsid w:val="00470A70"/>
    <w:rsid w:val="00470EC3"/>
    <w:rsid w:val="00472532"/>
    <w:rsid w:val="0047566B"/>
    <w:rsid w:val="00477C50"/>
    <w:rsid w:val="00484498"/>
    <w:rsid w:val="00490698"/>
    <w:rsid w:val="004A0B8D"/>
    <w:rsid w:val="004A618C"/>
    <w:rsid w:val="004B3ECE"/>
    <w:rsid w:val="004C4408"/>
    <w:rsid w:val="004C5BB4"/>
    <w:rsid w:val="004C6661"/>
    <w:rsid w:val="004E17EE"/>
    <w:rsid w:val="004E1B27"/>
    <w:rsid w:val="004E4715"/>
    <w:rsid w:val="004F218F"/>
    <w:rsid w:val="004F6123"/>
    <w:rsid w:val="004F7ADA"/>
    <w:rsid w:val="00502AFC"/>
    <w:rsid w:val="005078A4"/>
    <w:rsid w:val="0051142D"/>
    <w:rsid w:val="00514CB7"/>
    <w:rsid w:val="00515694"/>
    <w:rsid w:val="005202CB"/>
    <w:rsid w:val="0052296E"/>
    <w:rsid w:val="00526807"/>
    <w:rsid w:val="00531E52"/>
    <w:rsid w:val="005329A1"/>
    <w:rsid w:val="00535B6E"/>
    <w:rsid w:val="005405AE"/>
    <w:rsid w:val="00550F0A"/>
    <w:rsid w:val="00551F23"/>
    <w:rsid w:val="00553E99"/>
    <w:rsid w:val="00554375"/>
    <w:rsid w:val="0055643A"/>
    <w:rsid w:val="00557C5A"/>
    <w:rsid w:val="00563385"/>
    <w:rsid w:val="005653C3"/>
    <w:rsid w:val="005768CD"/>
    <w:rsid w:val="00585453"/>
    <w:rsid w:val="0059152A"/>
    <w:rsid w:val="00592F4E"/>
    <w:rsid w:val="00595395"/>
    <w:rsid w:val="00597BB1"/>
    <w:rsid w:val="005A1882"/>
    <w:rsid w:val="005A2027"/>
    <w:rsid w:val="005A5460"/>
    <w:rsid w:val="005B0291"/>
    <w:rsid w:val="005B13E6"/>
    <w:rsid w:val="005B2309"/>
    <w:rsid w:val="005B7AD3"/>
    <w:rsid w:val="005B7C80"/>
    <w:rsid w:val="005C2973"/>
    <w:rsid w:val="005C34D7"/>
    <w:rsid w:val="005D3D0C"/>
    <w:rsid w:val="005E342F"/>
    <w:rsid w:val="005E65EF"/>
    <w:rsid w:val="005E7AC9"/>
    <w:rsid w:val="005E7C13"/>
    <w:rsid w:val="005E7C8A"/>
    <w:rsid w:val="005F2B11"/>
    <w:rsid w:val="005F3F71"/>
    <w:rsid w:val="00603D54"/>
    <w:rsid w:val="006115B1"/>
    <w:rsid w:val="0062213C"/>
    <w:rsid w:val="00626AAA"/>
    <w:rsid w:val="00627E72"/>
    <w:rsid w:val="006301AC"/>
    <w:rsid w:val="00631B6F"/>
    <w:rsid w:val="00637158"/>
    <w:rsid w:val="006375C3"/>
    <w:rsid w:val="00641DB3"/>
    <w:rsid w:val="00642FC0"/>
    <w:rsid w:val="00644C0C"/>
    <w:rsid w:val="00651A63"/>
    <w:rsid w:val="006536D1"/>
    <w:rsid w:val="00653967"/>
    <w:rsid w:val="00654800"/>
    <w:rsid w:val="00660B86"/>
    <w:rsid w:val="006672D5"/>
    <w:rsid w:val="0067062D"/>
    <w:rsid w:val="00671887"/>
    <w:rsid w:val="00696392"/>
    <w:rsid w:val="006A2084"/>
    <w:rsid w:val="006A6744"/>
    <w:rsid w:val="006A6E03"/>
    <w:rsid w:val="006B023B"/>
    <w:rsid w:val="006B3549"/>
    <w:rsid w:val="006B48CA"/>
    <w:rsid w:val="006C421D"/>
    <w:rsid w:val="006C50D5"/>
    <w:rsid w:val="006C6EE9"/>
    <w:rsid w:val="006E1C31"/>
    <w:rsid w:val="006E23D1"/>
    <w:rsid w:val="006E4E8E"/>
    <w:rsid w:val="006E5664"/>
    <w:rsid w:val="00704C2A"/>
    <w:rsid w:val="00706D92"/>
    <w:rsid w:val="007113FD"/>
    <w:rsid w:val="00727651"/>
    <w:rsid w:val="00731B32"/>
    <w:rsid w:val="00732ACF"/>
    <w:rsid w:val="00746FAE"/>
    <w:rsid w:val="007541DC"/>
    <w:rsid w:val="007573CC"/>
    <w:rsid w:val="007601BF"/>
    <w:rsid w:val="0076526D"/>
    <w:rsid w:val="00770B81"/>
    <w:rsid w:val="00777E4E"/>
    <w:rsid w:val="007929F2"/>
    <w:rsid w:val="0079635C"/>
    <w:rsid w:val="0079691D"/>
    <w:rsid w:val="007A0D1C"/>
    <w:rsid w:val="007A1891"/>
    <w:rsid w:val="007A2072"/>
    <w:rsid w:val="007A3796"/>
    <w:rsid w:val="007A715B"/>
    <w:rsid w:val="007B21E9"/>
    <w:rsid w:val="007B77C0"/>
    <w:rsid w:val="007B7DAF"/>
    <w:rsid w:val="007D2356"/>
    <w:rsid w:val="007F0270"/>
    <w:rsid w:val="007F3F82"/>
    <w:rsid w:val="007F6839"/>
    <w:rsid w:val="007F7A76"/>
    <w:rsid w:val="0082048E"/>
    <w:rsid w:val="0082126E"/>
    <w:rsid w:val="008219DE"/>
    <w:rsid w:val="00824B57"/>
    <w:rsid w:val="00834012"/>
    <w:rsid w:val="00834EFE"/>
    <w:rsid w:val="008404B6"/>
    <w:rsid w:val="008419E9"/>
    <w:rsid w:val="008424A1"/>
    <w:rsid w:val="00855ECE"/>
    <w:rsid w:val="008616AE"/>
    <w:rsid w:val="008622DB"/>
    <w:rsid w:val="00866469"/>
    <w:rsid w:val="00871421"/>
    <w:rsid w:val="00876F21"/>
    <w:rsid w:val="00877B02"/>
    <w:rsid w:val="00877D9A"/>
    <w:rsid w:val="00894EF1"/>
    <w:rsid w:val="008A384D"/>
    <w:rsid w:val="008A3E15"/>
    <w:rsid w:val="008A569A"/>
    <w:rsid w:val="008A5D38"/>
    <w:rsid w:val="008A6387"/>
    <w:rsid w:val="008A7561"/>
    <w:rsid w:val="008B041B"/>
    <w:rsid w:val="008B080B"/>
    <w:rsid w:val="008B0A9C"/>
    <w:rsid w:val="008B3F91"/>
    <w:rsid w:val="008C0A68"/>
    <w:rsid w:val="008C3595"/>
    <w:rsid w:val="008C4289"/>
    <w:rsid w:val="008C5AD1"/>
    <w:rsid w:val="008D2682"/>
    <w:rsid w:val="008D488C"/>
    <w:rsid w:val="008D4CAE"/>
    <w:rsid w:val="008E0770"/>
    <w:rsid w:val="008F030A"/>
    <w:rsid w:val="008F17A2"/>
    <w:rsid w:val="008F2637"/>
    <w:rsid w:val="008F3B0A"/>
    <w:rsid w:val="008F4544"/>
    <w:rsid w:val="008F6568"/>
    <w:rsid w:val="00902D79"/>
    <w:rsid w:val="00903154"/>
    <w:rsid w:val="00912D2B"/>
    <w:rsid w:val="009275B4"/>
    <w:rsid w:val="00937131"/>
    <w:rsid w:val="00950F45"/>
    <w:rsid w:val="00951247"/>
    <w:rsid w:val="009512C3"/>
    <w:rsid w:val="00954C90"/>
    <w:rsid w:val="00955596"/>
    <w:rsid w:val="00956F00"/>
    <w:rsid w:val="009617F0"/>
    <w:rsid w:val="00966061"/>
    <w:rsid w:val="00972651"/>
    <w:rsid w:val="00973BB4"/>
    <w:rsid w:val="0097519A"/>
    <w:rsid w:val="00975AA5"/>
    <w:rsid w:val="009821EF"/>
    <w:rsid w:val="009844BA"/>
    <w:rsid w:val="00991C7D"/>
    <w:rsid w:val="00992AED"/>
    <w:rsid w:val="009A1D10"/>
    <w:rsid w:val="009A6380"/>
    <w:rsid w:val="009C26B5"/>
    <w:rsid w:val="009C26BC"/>
    <w:rsid w:val="009C3AB0"/>
    <w:rsid w:val="009D08B1"/>
    <w:rsid w:val="009D0930"/>
    <w:rsid w:val="009D1266"/>
    <w:rsid w:val="009D1D19"/>
    <w:rsid w:val="009D70E9"/>
    <w:rsid w:val="009E6F93"/>
    <w:rsid w:val="009F581C"/>
    <w:rsid w:val="00A01D5A"/>
    <w:rsid w:val="00A05FF2"/>
    <w:rsid w:val="00A136E1"/>
    <w:rsid w:val="00A15647"/>
    <w:rsid w:val="00A174F2"/>
    <w:rsid w:val="00A2081D"/>
    <w:rsid w:val="00A20A30"/>
    <w:rsid w:val="00A2172E"/>
    <w:rsid w:val="00A229EB"/>
    <w:rsid w:val="00A2384A"/>
    <w:rsid w:val="00A25364"/>
    <w:rsid w:val="00A307E2"/>
    <w:rsid w:val="00A3421B"/>
    <w:rsid w:val="00A36F01"/>
    <w:rsid w:val="00A40E50"/>
    <w:rsid w:val="00A418F6"/>
    <w:rsid w:val="00A4413E"/>
    <w:rsid w:val="00A458F6"/>
    <w:rsid w:val="00A53C62"/>
    <w:rsid w:val="00A6357B"/>
    <w:rsid w:val="00A640C8"/>
    <w:rsid w:val="00A72A88"/>
    <w:rsid w:val="00A73936"/>
    <w:rsid w:val="00A80A6D"/>
    <w:rsid w:val="00A87F0D"/>
    <w:rsid w:val="00A94DA0"/>
    <w:rsid w:val="00AA6AA0"/>
    <w:rsid w:val="00AB071C"/>
    <w:rsid w:val="00AC5695"/>
    <w:rsid w:val="00AC6C7A"/>
    <w:rsid w:val="00AC714B"/>
    <w:rsid w:val="00AD4032"/>
    <w:rsid w:val="00AE33A2"/>
    <w:rsid w:val="00AE4066"/>
    <w:rsid w:val="00AE6421"/>
    <w:rsid w:val="00AF03B7"/>
    <w:rsid w:val="00AF1396"/>
    <w:rsid w:val="00AF13A1"/>
    <w:rsid w:val="00AF5B5B"/>
    <w:rsid w:val="00B001A5"/>
    <w:rsid w:val="00B03803"/>
    <w:rsid w:val="00B07392"/>
    <w:rsid w:val="00B1343C"/>
    <w:rsid w:val="00B1435B"/>
    <w:rsid w:val="00B16CC4"/>
    <w:rsid w:val="00B22D79"/>
    <w:rsid w:val="00B426D9"/>
    <w:rsid w:val="00B461C7"/>
    <w:rsid w:val="00B55D69"/>
    <w:rsid w:val="00B57D8B"/>
    <w:rsid w:val="00B57E8B"/>
    <w:rsid w:val="00B62151"/>
    <w:rsid w:val="00B635C6"/>
    <w:rsid w:val="00B737E8"/>
    <w:rsid w:val="00B7507F"/>
    <w:rsid w:val="00B75C34"/>
    <w:rsid w:val="00B83AE5"/>
    <w:rsid w:val="00B87338"/>
    <w:rsid w:val="00B8741D"/>
    <w:rsid w:val="00B93E00"/>
    <w:rsid w:val="00BA0C30"/>
    <w:rsid w:val="00BA4541"/>
    <w:rsid w:val="00BA4F30"/>
    <w:rsid w:val="00BB356D"/>
    <w:rsid w:val="00BB5508"/>
    <w:rsid w:val="00BB6C84"/>
    <w:rsid w:val="00BB76A9"/>
    <w:rsid w:val="00BC38CE"/>
    <w:rsid w:val="00BD3BBF"/>
    <w:rsid w:val="00BE697C"/>
    <w:rsid w:val="00BF001C"/>
    <w:rsid w:val="00BF3285"/>
    <w:rsid w:val="00C033C3"/>
    <w:rsid w:val="00C03C21"/>
    <w:rsid w:val="00C03F51"/>
    <w:rsid w:val="00C06953"/>
    <w:rsid w:val="00C0759E"/>
    <w:rsid w:val="00C10971"/>
    <w:rsid w:val="00C131D2"/>
    <w:rsid w:val="00C135A7"/>
    <w:rsid w:val="00C14A71"/>
    <w:rsid w:val="00C14FFB"/>
    <w:rsid w:val="00C16220"/>
    <w:rsid w:val="00C17D40"/>
    <w:rsid w:val="00C25CAC"/>
    <w:rsid w:val="00C30DD8"/>
    <w:rsid w:val="00C35430"/>
    <w:rsid w:val="00C3555E"/>
    <w:rsid w:val="00C35E63"/>
    <w:rsid w:val="00C36DDE"/>
    <w:rsid w:val="00C410CF"/>
    <w:rsid w:val="00C4590D"/>
    <w:rsid w:val="00C6317A"/>
    <w:rsid w:val="00C63AF3"/>
    <w:rsid w:val="00C63C78"/>
    <w:rsid w:val="00C70CF9"/>
    <w:rsid w:val="00C736DC"/>
    <w:rsid w:val="00C818D3"/>
    <w:rsid w:val="00C904EF"/>
    <w:rsid w:val="00C9256B"/>
    <w:rsid w:val="00C966CC"/>
    <w:rsid w:val="00CA3611"/>
    <w:rsid w:val="00CA6CC2"/>
    <w:rsid w:val="00CB0B9F"/>
    <w:rsid w:val="00CB187C"/>
    <w:rsid w:val="00CC14FD"/>
    <w:rsid w:val="00CC1A76"/>
    <w:rsid w:val="00CC44A9"/>
    <w:rsid w:val="00CC5256"/>
    <w:rsid w:val="00CE013A"/>
    <w:rsid w:val="00CE0E46"/>
    <w:rsid w:val="00CE62FE"/>
    <w:rsid w:val="00CE634A"/>
    <w:rsid w:val="00CE7CA5"/>
    <w:rsid w:val="00CF352D"/>
    <w:rsid w:val="00D0311E"/>
    <w:rsid w:val="00D06A5D"/>
    <w:rsid w:val="00D07003"/>
    <w:rsid w:val="00D123B1"/>
    <w:rsid w:val="00D126DF"/>
    <w:rsid w:val="00D2165C"/>
    <w:rsid w:val="00D22258"/>
    <w:rsid w:val="00D23F8B"/>
    <w:rsid w:val="00D26973"/>
    <w:rsid w:val="00D3144B"/>
    <w:rsid w:val="00D34AE0"/>
    <w:rsid w:val="00D34FBE"/>
    <w:rsid w:val="00D40036"/>
    <w:rsid w:val="00D42B40"/>
    <w:rsid w:val="00D42BDB"/>
    <w:rsid w:val="00D436F1"/>
    <w:rsid w:val="00D43FF8"/>
    <w:rsid w:val="00D46513"/>
    <w:rsid w:val="00D54ABE"/>
    <w:rsid w:val="00D60FE4"/>
    <w:rsid w:val="00D74871"/>
    <w:rsid w:val="00D87539"/>
    <w:rsid w:val="00D91F85"/>
    <w:rsid w:val="00D92BE0"/>
    <w:rsid w:val="00D95257"/>
    <w:rsid w:val="00DA08AA"/>
    <w:rsid w:val="00DA3D45"/>
    <w:rsid w:val="00DA46A6"/>
    <w:rsid w:val="00DB07FD"/>
    <w:rsid w:val="00DB1112"/>
    <w:rsid w:val="00DB292A"/>
    <w:rsid w:val="00DC5DF0"/>
    <w:rsid w:val="00DE1C89"/>
    <w:rsid w:val="00DE53DB"/>
    <w:rsid w:val="00DF1F95"/>
    <w:rsid w:val="00DF47B5"/>
    <w:rsid w:val="00DF4DE8"/>
    <w:rsid w:val="00DF6704"/>
    <w:rsid w:val="00DF6A4B"/>
    <w:rsid w:val="00E008B4"/>
    <w:rsid w:val="00E0325D"/>
    <w:rsid w:val="00E0441B"/>
    <w:rsid w:val="00E105EA"/>
    <w:rsid w:val="00E115CE"/>
    <w:rsid w:val="00E11F61"/>
    <w:rsid w:val="00E14856"/>
    <w:rsid w:val="00E17036"/>
    <w:rsid w:val="00E22EBB"/>
    <w:rsid w:val="00E32FC7"/>
    <w:rsid w:val="00E33C5F"/>
    <w:rsid w:val="00E3603D"/>
    <w:rsid w:val="00E52BF1"/>
    <w:rsid w:val="00E61F52"/>
    <w:rsid w:val="00E641BF"/>
    <w:rsid w:val="00E645D5"/>
    <w:rsid w:val="00E70371"/>
    <w:rsid w:val="00E76DFA"/>
    <w:rsid w:val="00E76EBA"/>
    <w:rsid w:val="00E8155F"/>
    <w:rsid w:val="00E8467D"/>
    <w:rsid w:val="00E97211"/>
    <w:rsid w:val="00EB6720"/>
    <w:rsid w:val="00EB6A11"/>
    <w:rsid w:val="00EC0772"/>
    <w:rsid w:val="00EC1650"/>
    <w:rsid w:val="00EC2AD8"/>
    <w:rsid w:val="00EC65DD"/>
    <w:rsid w:val="00EC7501"/>
    <w:rsid w:val="00ED46D7"/>
    <w:rsid w:val="00ED5C41"/>
    <w:rsid w:val="00ED620F"/>
    <w:rsid w:val="00ED7577"/>
    <w:rsid w:val="00EE6411"/>
    <w:rsid w:val="00EF0EF2"/>
    <w:rsid w:val="00F007E2"/>
    <w:rsid w:val="00F011A3"/>
    <w:rsid w:val="00F06735"/>
    <w:rsid w:val="00F11E03"/>
    <w:rsid w:val="00F126EC"/>
    <w:rsid w:val="00F21B5D"/>
    <w:rsid w:val="00F265FE"/>
    <w:rsid w:val="00F269DD"/>
    <w:rsid w:val="00F32391"/>
    <w:rsid w:val="00F346EB"/>
    <w:rsid w:val="00F364AE"/>
    <w:rsid w:val="00F41384"/>
    <w:rsid w:val="00F43F3E"/>
    <w:rsid w:val="00F441BC"/>
    <w:rsid w:val="00F4474B"/>
    <w:rsid w:val="00F46666"/>
    <w:rsid w:val="00F4770E"/>
    <w:rsid w:val="00F5244D"/>
    <w:rsid w:val="00F53E1E"/>
    <w:rsid w:val="00F558CF"/>
    <w:rsid w:val="00F6381D"/>
    <w:rsid w:val="00F640D4"/>
    <w:rsid w:val="00F65DB2"/>
    <w:rsid w:val="00F70B96"/>
    <w:rsid w:val="00F74E25"/>
    <w:rsid w:val="00F82D72"/>
    <w:rsid w:val="00F8568F"/>
    <w:rsid w:val="00F93FAB"/>
    <w:rsid w:val="00FA0091"/>
    <w:rsid w:val="00FA1481"/>
    <w:rsid w:val="00FA1D35"/>
    <w:rsid w:val="00FA1E88"/>
    <w:rsid w:val="00FA3928"/>
    <w:rsid w:val="00FB2F61"/>
    <w:rsid w:val="00FB4990"/>
    <w:rsid w:val="00FB7B13"/>
    <w:rsid w:val="00FE28D1"/>
    <w:rsid w:val="00FE2C9C"/>
    <w:rsid w:val="00FE5629"/>
    <w:rsid w:val="00FF1C78"/>
    <w:rsid w:val="00FF5E5D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D228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3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5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6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7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8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9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11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12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titul">
    <w:name w:val="Subtitle"/>
    <w:basedOn w:val="Normln"/>
    <w:next w:val="Normln"/>
    <w:link w:val="Podtitul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hps">
    <w:name w:val="hps"/>
    <w:basedOn w:val="Standardnpsmoodstavce"/>
  </w:style>
  <w:style w:type="paragraph" w:customStyle="1" w:styleId="SPCheader2">
    <w:name w:val="SPC header 2"/>
    <w:basedOn w:val="Normln"/>
    <w:pPr>
      <w:keepNext/>
      <w:numPr>
        <w:ilvl w:val="1"/>
        <w:numId w:val="15"/>
      </w:numPr>
      <w:tabs>
        <w:tab w:val="clear" w:pos="567"/>
      </w:tabs>
      <w:spacing w:before="240" w:after="240" w:line="240" w:lineRule="auto"/>
      <w:outlineLvl w:val="1"/>
    </w:pPr>
    <w:rPr>
      <w:b/>
      <w:sz w:val="24"/>
      <w:lang w:val="en-GB"/>
    </w:rPr>
  </w:style>
  <w:style w:type="paragraph" w:customStyle="1" w:styleId="SPCheader1">
    <w:name w:val="SPC header 1"/>
    <w:basedOn w:val="Normln"/>
    <w:pPr>
      <w:keepNext/>
      <w:numPr>
        <w:numId w:val="15"/>
      </w:numPr>
      <w:tabs>
        <w:tab w:val="clear" w:pos="567"/>
      </w:tabs>
      <w:spacing w:before="240" w:after="240" w:line="240" w:lineRule="auto"/>
      <w:outlineLvl w:val="0"/>
    </w:pPr>
    <w:rPr>
      <w:b/>
      <w:sz w:val="24"/>
      <w:lang w:val="en-GB"/>
    </w:rPr>
  </w:style>
  <w:style w:type="table" w:customStyle="1" w:styleId="TableGrid1">
    <w:name w:val="Table Grid1"/>
    <w:basedOn w:val="Normlntabulka"/>
    <w:next w:val="Mkatabulky"/>
    <w:uiPriority w:val="39"/>
    <w:rsid w:val="00A23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0">
    <w:name w:val="Body Text 21"/>
    <w:basedOn w:val="Normln"/>
    <w:rsid w:val="003F5B47"/>
    <w:pPr>
      <w:tabs>
        <w:tab w:val="clear" w:pos="567"/>
      </w:tabs>
      <w:spacing w:line="240" w:lineRule="auto"/>
      <w:ind w:left="360"/>
    </w:pPr>
    <w:rPr>
      <w:sz w:val="20"/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com/v3/__https:/www.uskvbl.cz/cs/registrace-a-schvalovani/registrace-vlp/seznam-vlp/aktualne-registrovane-vlp__;!!NI2rKV_i!9b0S7R8ZCKHLbrnAobqaL950sD8TDHCQJVTF1RjxMuiRsE5YImMOQurC2RkUIWkvVv2fjHFetqC7J7yJKC2vyEQe9k0$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2E1E-14D7-4675-9282-551314D5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1163</Words>
  <Characters>6864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Equip WNV</vt:lpstr>
      <vt:lpstr>Equip WNV</vt:lpstr>
    </vt:vector>
  </TitlesOfParts>
  <Company/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 WNV</dc:title>
  <dc:subject>CVMP</dc:subject>
  <dc:creator>EPAR</dc:creator>
  <cp:keywords>Equip WNV</cp:keywords>
  <cp:lastModifiedBy>Nepejchalová Leona</cp:lastModifiedBy>
  <cp:revision>33</cp:revision>
  <cp:lastPrinted>2008-06-03T12:50:00Z</cp:lastPrinted>
  <dcterms:created xsi:type="dcterms:W3CDTF">2023-07-28T09:58:00Z</dcterms:created>
  <dcterms:modified xsi:type="dcterms:W3CDTF">2024-02-23T15:56:00Z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