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F545" w14:textId="77777777" w:rsidR="000D27CC" w:rsidRPr="00F95A3D" w:rsidRDefault="000D27CC" w:rsidP="007E2A84">
      <w:pPr>
        <w:rPr>
          <w:color w:val="000000" w:themeColor="text1"/>
          <w:szCs w:val="22"/>
        </w:rPr>
      </w:pPr>
      <w:bookmarkStart w:id="0" w:name="_Toc146275194"/>
      <w:bookmarkStart w:id="1" w:name="_GoBack"/>
      <w:bookmarkEnd w:id="1"/>
    </w:p>
    <w:p w14:paraId="037B1263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0FB32F7C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4B0F18A4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0244423C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16061D4B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7545769F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52F114E5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04A1E06F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1388BB0E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705C67A9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718C8A3E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1C2AFEC7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2762AD93" w14:textId="046BFDEE" w:rsidR="000D27CC" w:rsidRPr="00F95A3D" w:rsidRDefault="000D27CC" w:rsidP="007E2A84">
      <w:pPr>
        <w:rPr>
          <w:color w:val="000000" w:themeColor="text1"/>
          <w:szCs w:val="22"/>
        </w:rPr>
      </w:pPr>
    </w:p>
    <w:p w14:paraId="3DF95613" w14:textId="1D7E6740" w:rsidR="000D27CC" w:rsidRPr="00F95A3D" w:rsidRDefault="000D27CC" w:rsidP="007E2A84">
      <w:pPr>
        <w:rPr>
          <w:color w:val="000000" w:themeColor="text1"/>
          <w:szCs w:val="22"/>
        </w:rPr>
      </w:pPr>
    </w:p>
    <w:p w14:paraId="154BB92D" w14:textId="150BAC4C" w:rsidR="000D27CC" w:rsidRPr="00F95A3D" w:rsidRDefault="000D27CC" w:rsidP="007E2A84">
      <w:pPr>
        <w:rPr>
          <w:color w:val="000000" w:themeColor="text1"/>
          <w:szCs w:val="22"/>
        </w:rPr>
      </w:pPr>
    </w:p>
    <w:p w14:paraId="7BDD94E1" w14:textId="7EA5818F" w:rsidR="000D27CC" w:rsidRPr="00F95A3D" w:rsidRDefault="000D27CC" w:rsidP="007E2A84">
      <w:pPr>
        <w:rPr>
          <w:color w:val="000000" w:themeColor="text1"/>
          <w:szCs w:val="22"/>
        </w:rPr>
      </w:pPr>
    </w:p>
    <w:p w14:paraId="2E6834AD" w14:textId="6EB98FB6" w:rsidR="000D27CC" w:rsidRPr="00F95A3D" w:rsidRDefault="000D27CC" w:rsidP="007E2A84">
      <w:pPr>
        <w:rPr>
          <w:color w:val="000000" w:themeColor="text1"/>
          <w:szCs w:val="22"/>
        </w:rPr>
      </w:pPr>
    </w:p>
    <w:p w14:paraId="5FCB222A" w14:textId="0EEA9893" w:rsidR="000D27CC" w:rsidRPr="00F95A3D" w:rsidRDefault="000D27CC" w:rsidP="007E2A84">
      <w:pPr>
        <w:rPr>
          <w:color w:val="000000" w:themeColor="text1"/>
          <w:szCs w:val="22"/>
        </w:rPr>
      </w:pPr>
    </w:p>
    <w:p w14:paraId="58EC07C8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7C271C08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4632C944" w14:textId="77777777" w:rsidR="000D27CC" w:rsidRPr="00F95A3D" w:rsidRDefault="000D27CC" w:rsidP="007E2A84">
      <w:pPr>
        <w:rPr>
          <w:color w:val="000000" w:themeColor="text1"/>
          <w:szCs w:val="22"/>
        </w:rPr>
      </w:pPr>
    </w:p>
    <w:p w14:paraId="7035C531" w14:textId="7DEB79DC" w:rsidR="000D27CC" w:rsidRPr="00F95A3D" w:rsidRDefault="000D27CC" w:rsidP="00F95A3D">
      <w:pPr>
        <w:jc w:val="center"/>
        <w:rPr>
          <w:b/>
          <w:color w:val="000000" w:themeColor="text1"/>
          <w:szCs w:val="22"/>
        </w:rPr>
      </w:pPr>
      <w:r w:rsidRPr="00F95A3D">
        <w:rPr>
          <w:b/>
          <w:color w:val="000000" w:themeColor="text1"/>
          <w:szCs w:val="22"/>
        </w:rPr>
        <w:t>PŘÍLOHA I</w:t>
      </w:r>
    </w:p>
    <w:p w14:paraId="3E09FE75" w14:textId="77777777" w:rsidR="000D27CC" w:rsidRPr="00F95A3D" w:rsidRDefault="000D27CC" w:rsidP="00F95A3D">
      <w:pPr>
        <w:jc w:val="center"/>
        <w:rPr>
          <w:b/>
          <w:color w:val="000000" w:themeColor="text1"/>
          <w:szCs w:val="22"/>
        </w:rPr>
      </w:pPr>
    </w:p>
    <w:p w14:paraId="02659858" w14:textId="59DAE82D" w:rsidR="007E2A84" w:rsidRPr="00F95A3D" w:rsidRDefault="007E2A84" w:rsidP="00F95A3D">
      <w:pPr>
        <w:jc w:val="center"/>
        <w:rPr>
          <w:color w:val="000000" w:themeColor="text1"/>
          <w:szCs w:val="22"/>
        </w:rPr>
      </w:pPr>
      <w:r w:rsidRPr="00F95A3D">
        <w:rPr>
          <w:b/>
          <w:color w:val="000000" w:themeColor="text1"/>
          <w:szCs w:val="22"/>
        </w:rPr>
        <w:t>SOUHRN ÚDAJŮ O PŘÍPRAVKU</w:t>
      </w:r>
    </w:p>
    <w:p w14:paraId="4A8E1B10" w14:textId="77777777" w:rsidR="007E2A84" w:rsidRPr="00F95A3D" w:rsidRDefault="007E2A84" w:rsidP="00F95A3D">
      <w:pPr>
        <w:jc w:val="center"/>
        <w:rPr>
          <w:color w:val="000000" w:themeColor="text1"/>
          <w:szCs w:val="22"/>
        </w:rPr>
      </w:pPr>
      <w:bookmarkStart w:id="2" w:name="_Toc213319315"/>
      <w:bookmarkStart w:id="3" w:name="_Toc213406824"/>
    </w:p>
    <w:p w14:paraId="495E476E" w14:textId="77777777" w:rsidR="007E2A84" w:rsidRPr="00F95A3D" w:rsidRDefault="007E2A84" w:rsidP="00F95A3D">
      <w:pPr>
        <w:rPr>
          <w:b/>
          <w:i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br w:type="page"/>
      </w:r>
    </w:p>
    <w:p w14:paraId="77E7B6C1" w14:textId="6C0BA951" w:rsidR="0002198B" w:rsidRPr="00F95A3D" w:rsidRDefault="0002198B" w:rsidP="00861662">
      <w:pPr>
        <w:jc w:val="center"/>
        <w:rPr>
          <w:b/>
          <w:color w:val="000000" w:themeColor="text1"/>
          <w:szCs w:val="22"/>
        </w:rPr>
      </w:pPr>
      <w:r w:rsidRPr="00F95A3D">
        <w:rPr>
          <w:b/>
          <w:color w:val="000000" w:themeColor="text1"/>
          <w:szCs w:val="22"/>
        </w:rPr>
        <w:lastRenderedPageBreak/>
        <w:t>SOUHRN ÚDAJŮ O PŘÍPRAVKU</w:t>
      </w:r>
      <w:bookmarkEnd w:id="0"/>
      <w:bookmarkEnd w:id="2"/>
      <w:bookmarkEnd w:id="3"/>
    </w:p>
    <w:p w14:paraId="166B85A2" w14:textId="77777777" w:rsidR="00225393" w:rsidRPr="00F95A3D" w:rsidRDefault="00225393" w:rsidP="00F95A3D">
      <w:pPr>
        <w:jc w:val="center"/>
        <w:rPr>
          <w:color w:val="000000" w:themeColor="text1"/>
          <w:szCs w:val="22"/>
        </w:rPr>
      </w:pPr>
    </w:p>
    <w:p w14:paraId="5FAA5ADA" w14:textId="77777777" w:rsidR="0002198B" w:rsidRPr="00F95A3D" w:rsidRDefault="0002198B" w:rsidP="00F95A3D">
      <w:pPr>
        <w:rPr>
          <w:color w:val="000000" w:themeColor="text1"/>
          <w:szCs w:val="22"/>
        </w:rPr>
      </w:pPr>
    </w:p>
    <w:p w14:paraId="59144865" w14:textId="327CDF03" w:rsidR="00251B91" w:rsidRPr="00F95A3D" w:rsidRDefault="00861662" w:rsidP="007E2A84">
      <w:pPr>
        <w:rPr>
          <w:b/>
          <w:color w:val="000000" w:themeColor="text1"/>
          <w:szCs w:val="22"/>
        </w:rPr>
      </w:pPr>
      <w:bookmarkStart w:id="4" w:name="_Toc213406825"/>
      <w:r w:rsidRPr="00F95A3D">
        <w:rPr>
          <w:b/>
          <w:color w:val="000000" w:themeColor="text1"/>
          <w:szCs w:val="22"/>
        </w:rPr>
        <w:t>1.</w:t>
      </w:r>
      <w:r w:rsidRPr="00F95A3D">
        <w:rPr>
          <w:b/>
          <w:color w:val="000000" w:themeColor="text1"/>
          <w:szCs w:val="22"/>
        </w:rPr>
        <w:tab/>
      </w:r>
      <w:r w:rsidR="00251B91" w:rsidRPr="00F95A3D">
        <w:rPr>
          <w:b/>
          <w:color w:val="000000" w:themeColor="text1"/>
          <w:szCs w:val="22"/>
        </w:rPr>
        <w:t>NÁZEV VETERINÁRNÍHO LÉČIVÉHO PŘÍPRAVKU</w:t>
      </w:r>
      <w:bookmarkEnd w:id="4"/>
    </w:p>
    <w:p w14:paraId="7B84419D" w14:textId="77777777" w:rsidR="00861662" w:rsidRPr="00F95A3D" w:rsidRDefault="00861662" w:rsidP="00F95A3D">
      <w:pPr>
        <w:rPr>
          <w:color w:val="000000" w:themeColor="text1"/>
          <w:szCs w:val="22"/>
        </w:rPr>
      </w:pPr>
    </w:p>
    <w:p w14:paraId="41C4B92B" w14:textId="0B8071E7" w:rsidR="00251B91" w:rsidRPr="00F95A3D" w:rsidRDefault="00083478" w:rsidP="00F95A3D">
      <w:pPr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MEDITEK COLIS 1 2</w:t>
      </w:r>
      <w:r w:rsidR="00251B91" w:rsidRPr="00F95A3D">
        <w:rPr>
          <w:color w:val="000000" w:themeColor="text1"/>
          <w:szCs w:val="22"/>
        </w:rPr>
        <w:t>00 000 IU/</w:t>
      </w:r>
      <w:r w:rsidR="0053728A" w:rsidRPr="00F95A3D">
        <w:rPr>
          <w:color w:val="000000" w:themeColor="text1"/>
          <w:szCs w:val="22"/>
        </w:rPr>
        <w:t>g</w:t>
      </w:r>
      <w:r w:rsidR="00251B91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prášek pro perorální roztok</w:t>
      </w:r>
    </w:p>
    <w:p w14:paraId="34784A1C" w14:textId="20EE28BB" w:rsidR="00251B91" w:rsidRPr="00F95A3D" w:rsidRDefault="00251B91" w:rsidP="007E2A84">
      <w:pPr>
        <w:rPr>
          <w:b/>
          <w:color w:val="000000" w:themeColor="text1"/>
          <w:szCs w:val="22"/>
        </w:rPr>
      </w:pPr>
      <w:bookmarkStart w:id="5" w:name="_Toc137553233"/>
    </w:p>
    <w:p w14:paraId="6B9D48D3" w14:textId="77777777" w:rsidR="00861662" w:rsidRPr="00F95A3D" w:rsidRDefault="00861662" w:rsidP="00F95A3D">
      <w:pPr>
        <w:rPr>
          <w:b/>
          <w:color w:val="000000" w:themeColor="text1"/>
          <w:szCs w:val="22"/>
        </w:rPr>
      </w:pPr>
    </w:p>
    <w:p w14:paraId="05BFEB9E" w14:textId="74880C6A" w:rsidR="00251B91" w:rsidRPr="00F95A3D" w:rsidRDefault="00861662" w:rsidP="007E2A84">
      <w:pPr>
        <w:rPr>
          <w:b/>
          <w:color w:val="000000" w:themeColor="text1"/>
          <w:szCs w:val="22"/>
        </w:rPr>
      </w:pPr>
      <w:bookmarkStart w:id="6" w:name="_Toc213406826"/>
      <w:r w:rsidRPr="00F95A3D">
        <w:rPr>
          <w:b/>
          <w:color w:val="000000" w:themeColor="text1"/>
          <w:szCs w:val="22"/>
        </w:rPr>
        <w:t>2.</w:t>
      </w:r>
      <w:r w:rsidRPr="00F95A3D">
        <w:rPr>
          <w:b/>
          <w:color w:val="000000" w:themeColor="text1"/>
          <w:szCs w:val="22"/>
        </w:rPr>
        <w:tab/>
      </w:r>
      <w:r w:rsidR="00251B91" w:rsidRPr="00F95A3D">
        <w:rPr>
          <w:b/>
          <w:color w:val="000000" w:themeColor="text1"/>
          <w:szCs w:val="22"/>
        </w:rPr>
        <w:t>KVALITATIVNÍ A KVANTITATIVNÍ SLOŽENÍ</w:t>
      </w:r>
      <w:bookmarkEnd w:id="5"/>
      <w:bookmarkEnd w:id="6"/>
    </w:p>
    <w:p w14:paraId="2251386B" w14:textId="77777777" w:rsidR="00861662" w:rsidRPr="00F95A3D" w:rsidRDefault="00861662" w:rsidP="00F95A3D">
      <w:pPr>
        <w:rPr>
          <w:color w:val="000000" w:themeColor="text1"/>
          <w:szCs w:val="22"/>
        </w:rPr>
      </w:pPr>
    </w:p>
    <w:p w14:paraId="66AE67BA" w14:textId="72B75536" w:rsidR="00083478" w:rsidRPr="00F95A3D" w:rsidRDefault="0068347F" w:rsidP="00F95A3D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Každý </w:t>
      </w:r>
      <w:r w:rsidR="00202DB5" w:rsidRPr="00F95A3D">
        <w:rPr>
          <w:color w:val="000000" w:themeColor="text1"/>
          <w:szCs w:val="22"/>
        </w:rPr>
        <w:t xml:space="preserve">g přípravku </w:t>
      </w:r>
      <w:r w:rsidR="00083478" w:rsidRPr="00F95A3D">
        <w:rPr>
          <w:color w:val="000000" w:themeColor="text1"/>
          <w:szCs w:val="22"/>
        </w:rPr>
        <w:t>obsahuje</w:t>
      </w:r>
      <w:r w:rsidR="00202DB5" w:rsidRPr="00F95A3D">
        <w:rPr>
          <w:color w:val="000000" w:themeColor="text1"/>
          <w:szCs w:val="22"/>
        </w:rPr>
        <w:t>:</w:t>
      </w:r>
    </w:p>
    <w:p w14:paraId="408DE857" w14:textId="656ED606" w:rsidR="00083478" w:rsidRPr="00F95A3D" w:rsidRDefault="00083478" w:rsidP="00F95A3D">
      <w:pPr>
        <w:rPr>
          <w:b/>
          <w:bCs/>
          <w:color w:val="000000" w:themeColor="text1"/>
          <w:szCs w:val="22"/>
        </w:rPr>
      </w:pPr>
      <w:r w:rsidRPr="00F95A3D">
        <w:rPr>
          <w:b/>
          <w:bCs/>
          <w:color w:val="000000" w:themeColor="text1"/>
          <w:szCs w:val="22"/>
        </w:rPr>
        <w:t>Léčiv</w:t>
      </w:r>
      <w:r w:rsidR="0068347F" w:rsidRPr="00F95A3D">
        <w:rPr>
          <w:b/>
          <w:bCs/>
          <w:color w:val="000000" w:themeColor="text1"/>
          <w:szCs w:val="22"/>
        </w:rPr>
        <w:t>é</w:t>
      </w:r>
      <w:r w:rsidRPr="00F95A3D">
        <w:rPr>
          <w:b/>
          <w:bCs/>
          <w:color w:val="000000" w:themeColor="text1"/>
          <w:szCs w:val="22"/>
        </w:rPr>
        <w:t xml:space="preserve"> látk</w:t>
      </w:r>
      <w:r w:rsidR="0068347F" w:rsidRPr="00F95A3D">
        <w:rPr>
          <w:b/>
          <w:bCs/>
          <w:color w:val="000000" w:themeColor="text1"/>
          <w:szCs w:val="22"/>
        </w:rPr>
        <w:t>y</w:t>
      </w:r>
      <w:r w:rsidRPr="00F95A3D">
        <w:rPr>
          <w:b/>
          <w:bCs/>
          <w:color w:val="000000" w:themeColor="text1"/>
          <w:szCs w:val="22"/>
        </w:rPr>
        <w:t>:</w:t>
      </w:r>
    </w:p>
    <w:p w14:paraId="1F1724C7" w14:textId="77BD3DF7" w:rsidR="00083478" w:rsidRPr="00F95A3D" w:rsidRDefault="00083478" w:rsidP="00F95A3D">
      <w:pPr>
        <w:rPr>
          <w:color w:val="000000" w:themeColor="text1"/>
          <w:szCs w:val="22"/>
        </w:rPr>
      </w:pPr>
      <w:proofErr w:type="spellStart"/>
      <w:r w:rsidRPr="00F95A3D">
        <w:rPr>
          <w:color w:val="000000" w:themeColor="text1"/>
          <w:szCs w:val="22"/>
        </w:rPr>
        <w:t>Colistini</w:t>
      </w:r>
      <w:proofErr w:type="spellEnd"/>
      <w:r w:rsidRPr="00F95A3D">
        <w:rPr>
          <w:color w:val="000000" w:themeColor="text1"/>
          <w:szCs w:val="22"/>
        </w:rPr>
        <w:t xml:space="preserve"> </w:t>
      </w:r>
      <w:proofErr w:type="spellStart"/>
      <w:r w:rsidRPr="00F95A3D">
        <w:rPr>
          <w:color w:val="000000" w:themeColor="text1"/>
          <w:szCs w:val="22"/>
        </w:rPr>
        <w:t>sulfas</w:t>
      </w:r>
      <w:proofErr w:type="spellEnd"/>
      <w:r w:rsidRPr="00F95A3D">
        <w:rPr>
          <w:color w:val="000000" w:themeColor="text1"/>
          <w:szCs w:val="22"/>
        </w:rPr>
        <w:t>: 1</w:t>
      </w:r>
      <w:r w:rsidR="009E70CD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200</w:t>
      </w:r>
      <w:r w:rsidR="009E70CD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000 IU</w:t>
      </w:r>
    </w:p>
    <w:p w14:paraId="55EAB198" w14:textId="77777777" w:rsidR="00083478" w:rsidRPr="00F95A3D" w:rsidRDefault="00083478" w:rsidP="00F95A3D">
      <w:pPr>
        <w:rPr>
          <w:color w:val="000000" w:themeColor="text1"/>
          <w:szCs w:val="22"/>
        </w:rPr>
      </w:pPr>
    </w:p>
    <w:p w14:paraId="27AC031D" w14:textId="77777777" w:rsidR="00083478" w:rsidRPr="00F95A3D" w:rsidRDefault="00083478" w:rsidP="00F95A3D">
      <w:pPr>
        <w:rPr>
          <w:b/>
          <w:bCs/>
          <w:color w:val="000000" w:themeColor="text1"/>
          <w:szCs w:val="22"/>
        </w:rPr>
      </w:pPr>
      <w:r w:rsidRPr="00F95A3D">
        <w:rPr>
          <w:b/>
          <w:bCs/>
          <w:color w:val="000000" w:themeColor="text1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F95A3D" w:rsidRPr="00F95A3D" w14:paraId="34CC0959" w14:textId="77777777" w:rsidTr="00F95A3D">
        <w:trPr>
          <w:trHeight w:val="408"/>
        </w:trPr>
        <w:tc>
          <w:tcPr>
            <w:tcW w:w="9072" w:type="dxa"/>
            <w:vAlign w:val="center"/>
          </w:tcPr>
          <w:p w14:paraId="23B6BF0D" w14:textId="3508D6D8" w:rsidR="004B5ACB" w:rsidRPr="00F95A3D" w:rsidRDefault="004B5ACB" w:rsidP="00F95A3D">
            <w:pPr>
              <w:rPr>
                <w:b/>
                <w:bCs/>
                <w:iCs/>
                <w:color w:val="000000" w:themeColor="text1"/>
                <w:szCs w:val="22"/>
              </w:rPr>
            </w:pPr>
            <w:r w:rsidRPr="00F95A3D">
              <w:rPr>
                <w:b/>
                <w:bCs/>
                <w:iCs/>
                <w:color w:val="000000" w:themeColor="text1"/>
                <w:szCs w:val="22"/>
              </w:rPr>
              <w:t>Kvalitativní složení pomocných látek a dalších složek</w:t>
            </w:r>
          </w:p>
        </w:tc>
      </w:tr>
      <w:tr w:rsidR="00F95A3D" w:rsidRPr="00F95A3D" w14:paraId="44FAE200" w14:textId="77777777" w:rsidTr="00F95A3D">
        <w:trPr>
          <w:trHeight w:val="425"/>
        </w:trPr>
        <w:tc>
          <w:tcPr>
            <w:tcW w:w="9072" w:type="dxa"/>
            <w:vAlign w:val="center"/>
          </w:tcPr>
          <w:p w14:paraId="256C40B3" w14:textId="718877E6" w:rsidR="004B5ACB" w:rsidRPr="00F95A3D" w:rsidRDefault="004B5ACB" w:rsidP="00F95A3D">
            <w:pPr>
              <w:rPr>
                <w:iCs/>
                <w:color w:val="000000" w:themeColor="text1"/>
                <w:szCs w:val="22"/>
              </w:rPr>
            </w:pPr>
            <w:proofErr w:type="spellStart"/>
            <w:r w:rsidRPr="00F95A3D">
              <w:rPr>
                <w:bCs/>
                <w:color w:val="000000" w:themeColor="text1"/>
                <w:szCs w:val="22"/>
              </w:rPr>
              <w:t>Monohydrát</w:t>
            </w:r>
            <w:proofErr w:type="spellEnd"/>
            <w:r w:rsidRPr="00F95A3D">
              <w:rPr>
                <w:bCs/>
                <w:color w:val="000000" w:themeColor="text1"/>
                <w:szCs w:val="22"/>
              </w:rPr>
              <w:t xml:space="preserve"> glukosy</w:t>
            </w:r>
          </w:p>
        </w:tc>
      </w:tr>
    </w:tbl>
    <w:p w14:paraId="77A5A2DE" w14:textId="77777777" w:rsidR="00251B91" w:rsidRPr="00F95A3D" w:rsidRDefault="00251B91" w:rsidP="00F95A3D">
      <w:pPr>
        <w:rPr>
          <w:color w:val="000000" w:themeColor="text1"/>
          <w:szCs w:val="22"/>
        </w:rPr>
      </w:pPr>
      <w:bookmarkStart w:id="7" w:name="_Toc137553234"/>
    </w:p>
    <w:bookmarkEnd w:id="7"/>
    <w:p w14:paraId="7C36252D" w14:textId="11E4E1D0" w:rsidR="00083478" w:rsidRPr="00F95A3D" w:rsidRDefault="00083478" w:rsidP="00F95A3D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Bílý krystalický prášek</w:t>
      </w:r>
    </w:p>
    <w:p w14:paraId="0A1A13A8" w14:textId="6C24078F" w:rsidR="000F4869" w:rsidRPr="00F95A3D" w:rsidRDefault="000F4869" w:rsidP="007E2A84">
      <w:pPr>
        <w:rPr>
          <w:b/>
          <w:color w:val="000000" w:themeColor="text1"/>
          <w:szCs w:val="22"/>
        </w:rPr>
      </w:pPr>
    </w:p>
    <w:p w14:paraId="3D42FCF9" w14:textId="77777777" w:rsidR="00861662" w:rsidRPr="00F95A3D" w:rsidRDefault="00861662" w:rsidP="00F95A3D">
      <w:pPr>
        <w:rPr>
          <w:b/>
          <w:color w:val="000000" w:themeColor="text1"/>
          <w:szCs w:val="22"/>
        </w:rPr>
      </w:pPr>
    </w:p>
    <w:p w14:paraId="78229F50" w14:textId="4FED4B83" w:rsidR="00251B91" w:rsidRPr="00F95A3D" w:rsidRDefault="00861662" w:rsidP="007E2A84">
      <w:pPr>
        <w:rPr>
          <w:b/>
          <w:caps/>
          <w:color w:val="000000" w:themeColor="text1"/>
          <w:szCs w:val="22"/>
        </w:rPr>
      </w:pPr>
      <w:bookmarkStart w:id="8" w:name="_Toc137553235"/>
      <w:bookmarkStart w:id="9" w:name="_Toc213406827"/>
      <w:r w:rsidRPr="00F95A3D">
        <w:rPr>
          <w:b/>
          <w:color w:val="000000" w:themeColor="text1"/>
          <w:szCs w:val="22"/>
        </w:rPr>
        <w:t>3.</w:t>
      </w:r>
      <w:r w:rsidRPr="00F95A3D">
        <w:rPr>
          <w:b/>
          <w:color w:val="000000" w:themeColor="text1"/>
          <w:szCs w:val="22"/>
        </w:rPr>
        <w:tab/>
      </w:r>
      <w:r w:rsidR="00251B91" w:rsidRPr="00F95A3D">
        <w:rPr>
          <w:b/>
          <w:color w:val="000000" w:themeColor="text1"/>
          <w:szCs w:val="22"/>
        </w:rPr>
        <w:t xml:space="preserve">KLINICKÉ </w:t>
      </w:r>
      <w:bookmarkEnd w:id="8"/>
      <w:r w:rsidR="004B5ACB" w:rsidRPr="00F95A3D">
        <w:rPr>
          <w:b/>
          <w:caps/>
          <w:color w:val="000000" w:themeColor="text1"/>
          <w:szCs w:val="22"/>
        </w:rPr>
        <w:t>informace</w:t>
      </w:r>
      <w:bookmarkEnd w:id="9"/>
    </w:p>
    <w:p w14:paraId="1CC94470" w14:textId="77777777" w:rsidR="00861662" w:rsidRPr="00F95A3D" w:rsidRDefault="00861662" w:rsidP="00F95A3D">
      <w:pPr>
        <w:rPr>
          <w:color w:val="000000" w:themeColor="text1"/>
          <w:szCs w:val="22"/>
        </w:rPr>
      </w:pPr>
    </w:p>
    <w:p w14:paraId="2D9553A7" w14:textId="6754884B" w:rsidR="00251B91" w:rsidRPr="00F95A3D" w:rsidRDefault="00861662" w:rsidP="007E2A84">
      <w:pPr>
        <w:rPr>
          <w:b/>
          <w:iCs/>
          <w:color w:val="000000" w:themeColor="text1"/>
          <w:szCs w:val="22"/>
        </w:rPr>
      </w:pPr>
      <w:bookmarkStart w:id="10" w:name="_Toc213406828"/>
      <w:r w:rsidRPr="00F95A3D">
        <w:rPr>
          <w:b/>
          <w:iCs/>
          <w:color w:val="000000" w:themeColor="text1"/>
          <w:szCs w:val="22"/>
        </w:rPr>
        <w:t>3.1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Cílové druhy zvířat</w:t>
      </w:r>
      <w:bookmarkEnd w:id="10"/>
    </w:p>
    <w:p w14:paraId="30FD8B4D" w14:textId="77777777" w:rsidR="00861662" w:rsidRPr="00F95A3D" w:rsidRDefault="00861662" w:rsidP="00F95A3D">
      <w:pPr>
        <w:rPr>
          <w:i/>
          <w:iCs/>
          <w:color w:val="000000" w:themeColor="text1"/>
          <w:szCs w:val="22"/>
        </w:rPr>
      </w:pPr>
    </w:p>
    <w:p w14:paraId="0CA4F808" w14:textId="5D76B974" w:rsidR="00083478" w:rsidRPr="00F95A3D" w:rsidRDefault="00083478" w:rsidP="00F95A3D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Prasata, </w:t>
      </w:r>
      <w:r w:rsidR="000B34FC" w:rsidRPr="00F95A3D">
        <w:rPr>
          <w:color w:val="000000" w:themeColor="text1"/>
          <w:szCs w:val="22"/>
        </w:rPr>
        <w:t>kur domácí (brojleři)</w:t>
      </w:r>
    </w:p>
    <w:p w14:paraId="2FCC020E" w14:textId="77777777" w:rsidR="00251B91" w:rsidRPr="00F95A3D" w:rsidRDefault="00251B91" w:rsidP="00F95A3D">
      <w:pPr>
        <w:rPr>
          <w:color w:val="000000" w:themeColor="text1"/>
          <w:szCs w:val="22"/>
        </w:rPr>
      </w:pPr>
    </w:p>
    <w:p w14:paraId="4077A0F0" w14:textId="2EB58151" w:rsidR="00251B91" w:rsidRPr="00F95A3D" w:rsidRDefault="00225393" w:rsidP="00F95A3D">
      <w:pPr>
        <w:jc w:val="both"/>
        <w:rPr>
          <w:b/>
          <w:iCs/>
          <w:color w:val="000000" w:themeColor="text1"/>
          <w:szCs w:val="22"/>
        </w:rPr>
      </w:pPr>
      <w:bookmarkStart w:id="11" w:name="_Toc213406829"/>
      <w:r w:rsidRPr="00F95A3D">
        <w:rPr>
          <w:b/>
          <w:iCs/>
          <w:color w:val="000000" w:themeColor="text1"/>
          <w:szCs w:val="22"/>
        </w:rPr>
        <w:t>3.2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 xml:space="preserve">Indikace </w:t>
      </w:r>
      <w:r w:rsidR="004B5ACB" w:rsidRPr="00F95A3D">
        <w:rPr>
          <w:b/>
          <w:iCs/>
          <w:color w:val="000000" w:themeColor="text1"/>
          <w:szCs w:val="22"/>
        </w:rPr>
        <w:t xml:space="preserve">pro použití </w:t>
      </w:r>
      <w:r w:rsidR="00251B91" w:rsidRPr="00F95A3D">
        <w:rPr>
          <w:b/>
          <w:iCs/>
          <w:color w:val="000000" w:themeColor="text1"/>
          <w:szCs w:val="22"/>
        </w:rPr>
        <w:t xml:space="preserve">pro </w:t>
      </w:r>
      <w:r w:rsidR="004B5ACB" w:rsidRPr="00F95A3D">
        <w:rPr>
          <w:b/>
          <w:iCs/>
          <w:color w:val="000000" w:themeColor="text1"/>
          <w:szCs w:val="22"/>
        </w:rPr>
        <w:t xml:space="preserve">každý </w:t>
      </w:r>
      <w:r w:rsidR="00251B91" w:rsidRPr="00F95A3D">
        <w:rPr>
          <w:b/>
          <w:iCs/>
          <w:color w:val="000000" w:themeColor="text1"/>
          <w:szCs w:val="22"/>
        </w:rPr>
        <w:t>cílový druh zvířat</w:t>
      </w:r>
      <w:bookmarkEnd w:id="11"/>
    </w:p>
    <w:p w14:paraId="3905B8AE" w14:textId="77777777" w:rsidR="00225393" w:rsidRPr="00F95A3D" w:rsidRDefault="00225393" w:rsidP="00F95A3D">
      <w:pPr>
        <w:jc w:val="both"/>
        <w:rPr>
          <w:i/>
          <w:iCs/>
          <w:color w:val="000000" w:themeColor="text1"/>
          <w:szCs w:val="22"/>
        </w:rPr>
      </w:pPr>
    </w:p>
    <w:p w14:paraId="08471D74" w14:textId="042EC2AB" w:rsidR="00251B91" w:rsidRPr="00F95A3D" w:rsidRDefault="00251B91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Léčba a </w:t>
      </w:r>
      <w:proofErr w:type="spellStart"/>
      <w:r w:rsidRPr="00F95A3D">
        <w:rPr>
          <w:color w:val="000000" w:themeColor="text1"/>
          <w:szCs w:val="22"/>
        </w:rPr>
        <w:t>metafylaxe</w:t>
      </w:r>
      <w:proofErr w:type="spellEnd"/>
      <w:r w:rsidRPr="00F95A3D">
        <w:rPr>
          <w:color w:val="000000" w:themeColor="text1"/>
          <w:szCs w:val="22"/>
        </w:rPr>
        <w:t xml:space="preserve"> střevních infekcí </w:t>
      </w:r>
      <w:r w:rsidR="00C45EA6" w:rsidRPr="00F95A3D">
        <w:rPr>
          <w:color w:val="000000" w:themeColor="text1"/>
          <w:szCs w:val="22"/>
        </w:rPr>
        <w:t xml:space="preserve">vyvolaných </w:t>
      </w:r>
      <w:r w:rsidRPr="00F95A3D">
        <w:rPr>
          <w:color w:val="000000" w:themeColor="text1"/>
          <w:szCs w:val="22"/>
        </w:rPr>
        <w:t xml:space="preserve">neinvazivními kmeny </w:t>
      </w:r>
      <w:r w:rsidRPr="00F95A3D">
        <w:rPr>
          <w:i/>
          <w:iCs/>
          <w:color w:val="000000" w:themeColor="text1"/>
          <w:szCs w:val="22"/>
        </w:rPr>
        <w:t>E. coli</w:t>
      </w:r>
      <w:r w:rsidRPr="00F95A3D">
        <w:rPr>
          <w:color w:val="000000" w:themeColor="text1"/>
          <w:szCs w:val="22"/>
        </w:rPr>
        <w:t xml:space="preserve"> citlivými ke kolistinu.</w:t>
      </w:r>
    </w:p>
    <w:p w14:paraId="10353C26" w14:textId="10EEBD1E" w:rsidR="00251B91" w:rsidRPr="00F95A3D" w:rsidRDefault="003713AA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Před použitím </w:t>
      </w:r>
      <w:r w:rsidR="00C45EA6" w:rsidRPr="00F95A3D">
        <w:rPr>
          <w:color w:val="000000" w:themeColor="text1"/>
          <w:szCs w:val="22"/>
        </w:rPr>
        <w:t xml:space="preserve">veterinárního léčivého </w:t>
      </w:r>
      <w:r w:rsidRPr="00F95A3D">
        <w:rPr>
          <w:color w:val="000000" w:themeColor="text1"/>
          <w:szCs w:val="22"/>
        </w:rPr>
        <w:t>přípravku musí být ve stádě potvrzena přítomnost onemocnění</w:t>
      </w:r>
      <w:r w:rsidRPr="00F95A3D">
        <w:rPr>
          <w:i/>
          <w:color w:val="000000" w:themeColor="text1"/>
          <w:szCs w:val="22"/>
        </w:rPr>
        <w:t>.</w:t>
      </w:r>
    </w:p>
    <w:p w14:paraId="65514762" w14:textId="68C195E1" w:rsidR="00251B91" w:rsidRPr="00F95A3D" w:rsidRDefault="004B5ACB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bCs/>
          <w:color w:val="000000" w:themeColor="text1"/>
          <w:szCs w:val="22"/>
        </w:rPr>
        <w:t xml:space="preserve">Indikace je omezena na střevní infekce vyvolané neinvazivní bakterií </w:t>
      </w:r>
      <w:r w:rsidRPr="00F95A3D">
        <w:rPr>
          <w:bCs/>
          <w:i/>
          <w:iCs/>
          <w:color w:val="000000" w:themeColor="text1"/>
          <w:szCs w:val="22"/>
        </w:rPr>
        <w:t>E. coli</w:t>
      </w:r>
      <w:r w:rsidRPr="00F95A3D">
        <w:rPr>
          <w:bCs/>
          <w:color w:val="000000" w:themeColor="text1"/>
          <w:szCs w:val="22"/>
        </w:rPr>
        <w:t xml:space="preserve"> citlivou ke kolistinu.</w:t>
      </w:r>
    </w:p>
    <w:p w14:paraId="7A82E674" w14:textId="77777777" w:rsidR="00880936" w:rsidRPr="00F95A3D" w:rsidRDefault="00880936" w:rsidP="00F95A3D">
      <w:pPr>
        <w:ind w:left="0" w:firstLine="0"/>
        <w:jc w:val="both"/>
        <w:rPr>
          <w:bCs/>
          <w:color w:val="000000" w:themeColor="text1"/>
          <w:szCs w:val="22"/>
        </w:rPr>
      </w:pPr>
    </w:p>
    <w:p w14:paraId="7A2C62AC" w14:textId="605DDBF8" w:rsidR="00251B91" w:rsidRPr="00F95A3D" w:rsidRDefault="00225393" w:rsidP="00F95A3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12" w:name="_Toc213406830"/>
      <w:r w:rsidRPr="00F95A3D">
        <w:rPr>
          <w:b/>
          <w:iCs/>
          <w:color w:val="000000" w:themeColor="text1"/>
          <w:szCs w:val="22"/>
        </w:rPr>
        <w:t>3.3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Kontraindikace</w:t>
      </w:r>
      <w:bookmarkEnd w:id="12"/>
    </w:p>
    <w:p w14:paraId="0BCC9A47" w14:textId="77777777" w:rsidR="00225393" w:rsidRPr="00F95A3D" w:rsidRDefault="00225393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7E7E8E0F" w14:textId="5DFDCDEF" w:rsidR="00251B91" w:rsidRPr="00F95A3D" w:rsidRDefault="004B05A9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Nepouží</w:t>
      </w:r>
      <w:r w:rsidR="00CA6738" w:rsidRPr="00F95A3D">
        <w:rPr>
          <w:color w:val="000000" w:themeColor="text1"/>
          <w:szCs w:val="22"/>
        </w:rPr>
        <w:t>vat</w:t>
      </w:r>
      <w:r w:rsidRPr="00F95A3D">
        <w:rPr>
          <w:color w:val="000000" w:themeColor="text1"/>
          <w:szCs w:val="22"/>
        </w:rPr>
        <w:t xml:space="preserve"> u koní, zejména u hříbat, protože kolistin může v důsledku posunu rovnováhy gastrointestinální mikroflóry vést k rozvoji kolitidy spojené s antimikrobní léčbou (kolitidy X), v</w:t>
      </w:r>
      <w:r w:rsidR="0002331D" w:rsidRPr="00F95A3D">
        <w:rPr>
          <w:color w:val="000000" w:themeColor="text1"/>
          <w:szCs w:val="22"/>
        </w:rPr>
        <w:t> </w:t>
      </w:r>
      <w:r w:rsidRPr="00F95A3D">
        <w:rPr>
          <w:color w:val="000000" w:themeColor="text1"/>
          <w:szCs w:val="22"/>
        </w:rPr>
        <w:t xml:space="preserve">typickém případě ve spojitosti s bakterií </w:t>
      </w:r>
      <w:r w:rsidRPr="00F95A3D">
        <w:rPr>
          <w:i/>
          <w:iCs/>
          <w:color w:val="000000" w:themeColor="text1"/>
          <w:szCs w:val="22"/>
        </w:rPr>
        <w:t xml:space="preserve">Clostridium </w:t>
      </w:r>
      <w:proofErr w:type="spellStart"/>
      <w:r w:rsidRPr="00F95A3D">
        <w:rPr>
          <w:i/>
          <w:iCs/>
          <w:color w:val="000000" w:themeColor="text1"/>
          <w:szCs w:val="22"/>
        </w:rPr>
        <w:t>difficile</w:t>
      </w:r>
      <w:proofErr w:type="spellEnd"/>
      <w:r w:rsidRPr="00F95A3D">
        <w:rPr>
          <w:color w:val="000000" w:themeColor="text1"/>
          <w:szCs w:val="22"/>
        </w:rPr>
        <w:t>, která může být fatální.</w:t>
      </w:r>
    </w:p>
    <w:p w14:paraId="581CC5D7" w14:textId="6CD2362B" w:rsidR="00251B91" w:rsidRPr="00F95A3D" w:rsidRDefault="00E02C0E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Nepoužívat</w:t>
      </w:r>
      <w:r w:rsidR="00251B91" w:rsidRPr="00F95A3D">
        <w:rPr>
          <w:color w:val="000000" w:themeColor="text1"/>
          <w:szCs w:val="22"/>
        </w:rPr>
        <w:t xml:space="preserve"> v případ</w:t>
      </w:r>
      <w:r w:rsidR="00235927" w:rsidRPr="00F95A3D">
        <w:rPr>
          <w:color w:val="000000" w:themeColor="text1"/>
          <w:szCs w:val="22"/>
        </w:rPr>
        <w:t>ech</w:t>
      </w:r>
      <w:r w:rsidR="00251B91" w:rsidRPr="00F95A3D">
        <w:rPr>
          <w:color w:val="000000" w:themeColor="text1"/>
          <w:szCs w:val="22"/>
        </w:rPr>
        <w:t xml:space="preserve"> přecitlivělosti na kolistin nebo na některou z pomocných látek.</w:t>
      </w:r>
    </w:p>
    <w:p w14:paraId="62DEB4A0" w14:textId="77777777" w:rsidR="00251B91" w:rsidRPr="00F95A3D" w:rsidRDefault="00E02C0E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Nepoužívat</w:t>
      </w:r>
      <w:r w:rsidR="00251B91" w:rsidRPr="00F95A3D">
        <w:rPr>
          <w:color w:val="000000" w:themeColor="text1"/>
          <w:szCs w:val="22"/>
        </w:rPr>
        <w:t xml:space="preserve"> v případě rezistence k polymyxinům.</w:t>
      </w:r>
    </w:p>
    <w:p w14:paraId="4A66C514" w14:textId="77777777" w:rsidR="00251B91" w:rsidRPr="00F95A3D" w:rsidRDefault="00251B91" w:rsidP="00F95A3D">
      <w:pPr>
        <w:ind w:left="0" w:firstLine="0"/>
        <w:jc w:val="both"/>
        <w:rPr>
          <w:bCs/>
          <w:color w:val="000000" w:themeColor="text1"/>
          <w:szCs w:val="22"/>
        </w:rPr>
      </w:pPr>
    </w:p>
    <w:p w14:paraId="63A36A2D" w14:textId="14860FE2" w:rsidR="00251B91" w:rsidRPr="00F95A3D" w:rsidRDefault="00810028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13" w:name="_Toc213406831"/>
      <w:r w:rsidRPr="00F95A3D">
        <w:rPr>
          <w:iCs/>
          <w:color w:val="000000" w:themeColor="text1"/>
          <w:szCs w:val="22"/>
        </w:rPr>
        <w:t xml:space="preserve">3.4 </w:t>
      </w:r>
      <w:r w:rsidR="001E59FA" w:rsidRPr="00F95A3D">
        <w:rPr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Zvláštní upozornění</w:t>
      </w:r>
      <w:bookmarkEnd w:id="13"/>
    </w:p>
    <w:p w14:paraId="794A0B55" w14:textId="77777777" w:rsidR="00AF2FA6" w:rsidRPr="00F95A3D" w:rsidRDefault="00AF2FA6" w:rsidP="00F95A3D">
      <w:pPr>
        <w:ind w:left="0" w:firstLine="0"/>
        <w:jc w:val="both"/>
        <w:rPr>
          <w:i/>
          <w:iCs/>
          <w:color w:val="000000" w:themeColor="text1"/>
          <w:szCs w:val="22"/>
          <w:u w:val="single"/>
        </w:rPr>
      </w:pPr>
    </w:p>
    <w:p w14:paraId="2ED0B655" w14:textId="542E3DD5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Kromě léčby je třeba </w:t>
      </w:r>
      <w:bookmarkStart w:id="14" w:name="_Hlk221879360"/>
      <w:r w:rsidR="00810028" w:rsidRPr="00F95A3D">
        <w:rPr>
          <w:color w:val="000000" w:themeColor="text1"/>
          <w:szCs w:val="22"/>
        </w:rPr>
        <w:t>uplatňovat zásady</w:t>
      </w:r>
      <w:r w:rsidRPr="00F95A3D">
        <w:rPr>
          <w:color w:val="000000" w:themeColor="text1"/>
          <w:szCs w:val="22"/>
        </w:rPr>
        <w:t xml:space="preserve"> správné chovatelské a hygienické </w:t>
      </w:r>
      <w:r w:rsidR="00083478" w:rsidRPr="00F95A3D">
        <w:rPr>
          <w:color w:val="000000" w:themeColor="text1"/>
          <w:szCs w:val="22"/>
        </w:rPr>
        <w:t>praxe</w:t>
      </w:r>
      <w:r w:rsidR="00810028" w:rsidRPr="00F95A3D">
        <w:rPr>
          <w:color w:val="000000" w:themeColor="text1"/>
          <w:szCs w:val="22"/>
        </w:rPr>
        <w:t>,</w:t>
      </w:r>
      <w:r w:rsidR="00083478" w:rsidRPr="00F95A3D">
        <w:rPr>
          <w:color w:val="000000" w:themeColor="text1"/>
          <w:szCs w:val="22"/>
        </w:rPr>
        <w:t xml:space="preserve"> </w:t>
      </w:r>
      <w:r w:rsidR="00810028" w:rsidRPr="00F95A3D">
        <w:rPr>
          <w:color w:val="000000" w:themeColor="text1"/>
          <w:szCs w:val="22"/>
        </w:rPr>
        <w:t>aby se snížilo riziko výskytu infekce a selekce kmenů s rezistencí</w:t>
      </w:r>
      <w:bookmarkEnd w:id="14"/>
      <w:r w:rsidRPr="00F95A3D">
        <w:rPr>
          <w:color w:val="000000" w:themeColor="text1"/>
          <w:szCs w:val="22"/>
        </w:rPr>
        <w:t>.</w:t>
      </w:r>
    </w:p>
    <w:p w14:paraId="1FA5E38C" w14:textId="0D06FF9B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Kolistin vykazuje proti gramnegativním bakteriím účinnost závislo</w:t>
      </w:r>
      <w:r w:rsidR="00083478" w:rsidRPr="00F95A3D">
        <w:rPr>
          <w:color w:val="000000" w:themeColor="text1"/>
          <w:szCs w:val="22"/>
        </w:rPr>
        <w:t>u na koncentraci. Po perorálním</w:t>
      </w:r>
      <w:r w:rsidR="00AA1566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podání je v gastrointestinálním traktu, tj. v cílovém místě, do</w:t>
      </w:r>
      <w:r w:rsidR="00083478" w:rsidRPr="00F95A3D">
        <w:rPr>
          <w:color w:val="000000" w:themeColor="text1"/>
          <w:szCs w:val="22"/>
        </w:rPr>
        <w:t xml:space="preserve">sahováno vysokých koncentrací </w:t>
      </w:r>
      <w:r w:rsidR="006D337A" w:rsidRPr="00F95A3D">
        <w:rPr>
          <w:color w:val="000000" w:themeColor="text1"/>
          <w:szCs w:val="22"/>
        </w:rPr>
        <w:t>v </w:t>
      </w:r>
      <w:r w:rsidRPr="00F95A3D">
        <w:rPr>
          <w:color w:val="000000" w:themeColor="text1"/>
          <w:szCs w:val="22"/>
        </w:rPr>
        <w:t xml:space="preserve">důsledku špatné absorpce látky. Tyto faktory naznačují, že doba </w:t>
      </w:r>
      <w:r w:rsidR="00083478" w:rsidRPr="00F95A3D">
        <w:rPr>
          <w:color w:val="000000" w:themeColor="text1"/>
          <w:szCs w:val="22"/>
        </w:rPr>
        <w:t>trvání léčby delší, než je doba</w:t>
      </w:r>
      <w:r w:rsidR="00AA1566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 xml:space="preserve">indikovaná v bodě </w:t>
      </w:r>
      <w:r w:rsidR="004B05A9" w:rsidRPr="00F95A3D">
        <w:rPr>
          <w:color w:val="000000" w:themeColor="text1"/>
          <w:szCs w:val="22"/>
        </w:rPr>
        <w:t>3</w:t>
      </w:r>
      <w:r w:rsidRPr="00F95A3D">
        <w:rPr>
          <w:color w:val="000000" w:themeColor="text1"/>
          <w:szCs w:val="22"/>
        </w:rPr>
        <w:t>.9, vede ke zbytečné expozici a z tohoto důvodu se nedoporučuje.</w:t>
      </w:r>
    </w:p>
    <w:p w14:paraId="3A172D34" w14:textId="77777777" w:rsidR="00251B91" w:rsidRPr="00F95A3D" w:rsidRDefault="00251B91" w:rsidP="00F95A3D">
      <w:pPr>
        <w:jc w:val="both"/>
        <w:rPr>
          <w:color w:val="000000" w:themeColor="text1"/>
          <w:szCs w:val="22"/>
        </w:rPr>
      </w:pPr>
    </w:p>
    <w:p w14:paraId="262DF856" w14:textId="60888E03" w:rsidR="00251B91" w:rsidRPr="00F95A3D" w:rsidRDefault="00225393" w:rsidP="00F95A3D">
      <w:pPr>
        <w:jc w:val="both"/>
        <w:rPr>
          <w:b/>
          <w:iCs/>
          <w:color w:val="000000" w:themeColor="text1"/>
          <w:szCs w:val="22"/>
        </w:rPr>
      </w:pPr>
      <w:bookmarkStart w:id="15" w:name="_Toc213406832"/>
      <w:r w:rsidRPr="00F95A3D">
        <w:rPr>
          <w:b/>
          <w:iCs/>
          <w:color w:val="000000" w:themeColor="text1"/>
          <w:szCs w:val="22"/>
        </w:rPr>
        <w:t>3.</w:t>
      </w:r>
      <w:r w:rsidR="00810028" w:rsidRPr="00F95A3D">
        <w:rPr>
          <w:b/>
          <w:iCs/>
          <w:color w:val="000000" w:themeColor="text1"/>
          <w:szCs w:val="22"/>
        </w:rPr>
        <w:t>5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Zvláštní opatření pro použití</w:t>
      </w:r>
      <w:bookmarkEnd w:id="15"/>
      <w:r w:rsidR="00251B91" w:rsidRPr="00F95A3D">
        <w:rPr>
          <w:b/>
          <w:iCs/>
          <w:color w:val="000000" w:themeColor="text1"/>
          <w:szCs w:val="22"/>
        </w:rPr>
        <w:t xml:space="preserve"> </w:t>
      </w:r>
    </w:p>
    <w:p w14:paraId="32412B44" w14:textId="77777777" w:rsidR="00225393" w:rsidRPr="00F95A3D" w:rsidRDefault="00225393" w:rsidP="00F95A3D">
      <w:pPr>
        <w:jc w:val="both"/>
        <w:rPr>
          <w:i/>
          <w:iCs/>
          <w:color w:val="000000" w:themeColor="text1"/>
          <w:szCs w:val="22"/>
        </w:rPr>
      </w:pPr>
    </w:p>
    <w:p w14:paraId="35FB0B92" w14:textId="71BCE579" w:rsidR="00251B91" w:rsidRPr="00F95A3D" w:rsidRDefault="00251B91" w:rsidP="00F95A3D">
      <w:pPr>
        <w:ind w:left="0" w:firstLine="0"/>
        <w:jc w:val="both"/>
        <w:rPr>
          <w:b/>
          <w:bCs/>
          <w:color w:val="000000" w:themeColor="text1"/>
          <w:szCs w:val="22"/>
          <w:u w:val="single"/>
        </w:rPr>
      </w:pPr>
      <w:bookmarkStart w:id="16" w:name="_Toc213406833"/>
      <w:r w:rsidRPr="00F95A3D">
        <w:rPr>
          <w:bCs/>
          <w:color w:val="000000" w:themeColor="text1"/>
          <w:szCs w:val="22"/>
          <w:u w:val="single"/>
        </w:rPr>
        <w:t xml:space="preserve">Zvláštní opatření pro </w:t>
      </w:r>
      <w:r w:rsidR="00DD2535" w:rsidRPr="00F95A3D">
        <w:rPr>
          <w:bCs/>
          <w:color w:val="000000" w:themeColor="text1"/>
          <w:szCs w:val="22"/>
          <w:u w:val="single"/>
        </w:rPr>
        <w:t xml:space="preserve">bezpečné použití </w:t>
      </w:r>
      <w:r w:rsidRPr="00F95A3D">
        <w:rPr>
          <w:bCs/>
          <w:color w:val="000000" w:themeColor="text1"/>
          <w:szCs w:val="22"/>
          <w:u w:val="single"/>
        </w:rPr>
        <w:t>u</w:t>
      </w:r>
      <w:r w:rsidR="00DD2535" w:rsidRPr="00F95A3D">
        <w:rPr>
          <w:color w:val="000000" w:themeColor="text1"/>
          <w:szCs w:val="22"/>
          <w:u w:val="single"/>
        </w:rPr>
        <w:t xml:space="preserve"> </w:t>
      </w:r>
      <w:r w:rsidR="00DD2535" w:rsidRPr="00F95A3D">
        <w:rPr>
          <w:bCs/>
          <w:color w:val="000000" w:themeColor="text1"/>
          <w:szCs w:val="22"/>
          <w:u w:val="single"/>
        </w:rPr>
        <w:t>cílových druhů</w:t>
      </w:r>
      <w:r w:rsidRPr="00F95A3D">
        <w:rPr>
          <w:bCs/>
          <w:color w:val="000000" w:themeColor="text1"/>
          <w:szCs w:val="22"/>
          <w:u w:val="single"/>
        </w:rPr>
        <w:t xml:space="preserve"> zvířat</w:t>
      </w:r>
      <w:bookmarkEnd w:id="16"/>
      <w:r w:rsidR="00225393" w:rsidRPr="00F95A3D">
        <w:rPr>
          <w:bCs/>
          <w:color w:val="000000" w:themeColor="text1"/>
          <w:szCs w:val="22"/>
          <w:u w:val="single"/>
        </w:rPr>
        <w:t>:</w:t>
      </w:r>
    </w:p>
    <w:p w14:paraId="4F5A883B" w14:textId="2BFCCFF6" w:rsidR="00AF2FA6" w:rsidRPr="00F95A3D" w:rsidRDefault="00AF2FA6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r w:rsidRPr="00F95A3D">
        <w:rPr>
          <w:color w:val="000000" w:themeColor="text1"/>
          <w:spacing w:val="-1"/>
          <w:szCs w:val="22"/>
          <w:lang w:eastAsia="cs-CZ"/>
        </w:rPr>
        <w:t>Veterinární léčivý přípravek je určen pro cílové kategorie zvířat ve výkrmu.</w:t>
      </w:r>
    </w:p>
    <w:p w14:paraId="0C9A1ECD" w14:textId="1BB6D01C" w:rsidR="002D6B27" w:rsidRPr="00F95A3D" w:rsidRDefault="002D6B27" w:rsidP="00F95A3D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r w:rsidRPr="00F95A3D">
        <w:rPr>
          <w:color w:val="000000" w:themeColor="text1"/>
          <w:spacing w:val="-1"/>
          <w:szCs w:val="22"/>
          <w:lang w:eastAsia="cs-CZ"/>
        </w:rPr>
        <w:lastRenderedPageBreak/>
        <w:t xml:space="preserve">U těžce nemocných zvířat může docházet ke snížení příjmu krmiva i spotřeby vody. V případě potřeby by proto měla být koncentrace </w:t>
      </w:r>
      <w:r w:rsidR="001E59FA" w:rsidRPr="00F95A3D">
        <w:rPr>
          <w:color w:val="000000" w:themeColor="text1"/>
          <w:spacing w:val="-1"/>
          <w:szCs w:val="22"/>
          <w:lang w:eastAsia="cs-CZ"/>
        </w:rPr>
        <w:t xml:space="preserve">veterinárního léčivého </w:t>
      </w:r>
      <w:r w:rsidRPr="00F95A3D">
        <w:rPr>
          <w:color w:val="000000" w:themeColor="text1"/>
          <w:spacing w:val="-1"/>
          <w:szCs w:val="22"/>
          <w:lang w:eastAsia="cs-CZ"/>
        </w:rPr>
        <w:t>přípravku v pitné vodě upravena tak, aby bylo zajištěno podání doporučené denní dávky.</w:t>
      </w:r>
    </w:p>
    <w:p w14:paraId="0F9C5DF1" w14:textId="36EA43A8" w:rsidR="002D6B27" w:rsidRPr="00F95A3D" w:rsidRDefault="002D6B27" w:rsidP="00F95A3D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r w:rsidRPr="00F95A3D">
        <w:rPr>
          <w:color w:val="000000" w:themeColor="text1"/>
          <w:spacing w:val="-1"/>
          <w:szCs w:val="22"/>
          <w:lang w:eastAsia="cs-CZ"/>
        </w:rPr>
        <w:t>U druhů zvířat, kde je to relevantní, by v případě nedostatečného příjmu vody a tím i dostatečné dávky léčiva měla být léčba přehodnocena a zvážena možnost parenterální léčby.</w:t>
      </w:r>
    </w:p>
    <w:p w14:paraId="311393C5" w14:textId="31988006" w:rsidR="008E4C22" w:rsidRPr="00F95A3D" w:rsidRDefault="008E4C22" w:rsidP="00F95A3D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r w:rsidRPr="00F95A3D">
        <w:rPr>
          <w:color w:val="000000" w:themeColor="text1"/>
          <w:spacing w:val="-1"/>
          <w:szCs w:val="22"/>
          <w:lang w:eastAsia="cs-CZ"/>
        </w:rPr>
        <w:t xml:space="preserve">Použití kolistinu by mělo být vždy, kdy je to možné, založeno na výsledku </w:t>
      </w:r>
      <w:r w:rsidR="001E59FA" w:rsidRPr="00F95A3D">
        <w:rPr>
          <w:color w:val="000000" w:themeColor="text1"/>
          <w:spacing w:val="-1"/>
          <w:szCs w:val="22"/>
          <w:lang w:eastAsia="cs-CZ"/>
        </w:rPr>
        <w:t xml:space="preserve">stanovení </w:t>
      </w:r>
      <w:r w:rsidRPr="00F95A3D">
        <w:rPr>
          <w:color w:val="000000" w:themeColor="text1"/>
          <w:spacing w:val="-1"/>
          <w:szCs w:val="22"/>
          <w:lang w:eastAsia="cs-CZ"/>
        </w:rPr>
        <w:t>citlivosti.</w:t>
      </w:r>
    </w:p>
    <w:p w14:paraId="5AFF7DDE" w14:textId="2C4ED96C" w:rsidR="008E4C22" w:rsidRPr="00F95A3D" w:rsidRDefault="001E59FA" w:rsidP="00F95A3D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bookmarkStart w:id="17" w:name="_Hlk221879895"/>
      <w:r w:rsidRPr="00F95A3D">
        <w:rPr>
          <w:color w:val="000000" w:themeColor="text1"/>
          <w:spacing w:val="-1"/>
          <w:szCs w:val="22"/>
          <w:lang w:eastAsia="cs-CZ"/>
        </w:rPr>
        <w:t xml:space="preserve">Je třeba postupovat v souladu s oficiálními a národními zásadami </w:t>
      </w:r>
      <w:r w:rsidR="00A117F1" w:rsidRPr="00F95A3D">
        <w:rPr>
          <w:color w:val="000000" w:themeColor="text1"/>
          <w:spacing w:val="-1"/>
          <w:szCs w:val="22"/>
          <w:lang w:eastAsia="cs-CZ"/>
        </w:rPr>
        <w:t xml:space="preserve">pro </w:t>
      </w:r>
      <w:r w:rsidRPr="00F95A3D">
        <w:rPr>
          <w:color w:val="000000" w:themeColor="text1"/>
          <w:spacing w:val="-1"/>
          <w:szCs w:val="22"/>
          <w:lang w:eastAsia="cs-CZ"/>
        </w:rPr>
        <w:t>používání antimikrobních látek</w:t>
      </w:r>
      <w:bookmarkEnd w:id="17"/>
      <w:r w:rsidR="002D6B27" w:rsidRPr="00F95A3D">
        <w:rPr>
          <w:color w:val="000000" w:themeColor="text1"/>
          <w:spacing w:val="-1"/>
          <w:szCs w:val="22"/>
          <w:lang w:eastAsia="cs-CZ"/>
        </w:rPr>
        <w:t xml:space="preserve">. </w:t>
      </w:r>
      <w:r w:rsidR="008E4C22" w:rsidRPr="00F95A3D">
        <w:rPr>
          <w:color w:val="000000" w:themeColor="text1"/>
          <w:szCs w:val="22"/>
        </w:rPr>
        <w:t xml:space="preserve">Použití </w:t>
      </w:r>
      <w:r w:rsidRPr="00F95A3D">
        <w:rPr>
          <w:color w:val="000000" w:themeColor="text1"/>
          <w:szCs w:val="22"/>
        </w:rPr>
        <w:t xml:space="preserve">veterinárního léčivého </w:t>
      </w:r>
      <w:r w:rsidR="008E4C22" w:rsidRPr="00F95A3D">
        <w:rPr>
          <w:color w:val="000000" w:themeColor="text1"/>
          <w:szCs w:val="22"/>
        </w:rPr>
        <w:t>přípravku, které je odlišné od pokynů uvedených v tomto souhrnu údajů o přípravku (SPC), může vést k selhání léčby a</w:t>
      </w:r>
      <w:r w:rsidR="0002331D" w:rsidRPr="00F95A3D">
        <w:rPr>
          <w:color w:val="000000" w:themeColor="text1"/>
          <w:szCs w:val="22"/>
        </w:rPr>
        <w:t> </w:t>
      </w:r>
      <w:r w:rsidR="008E4C22" w:rsidRPr="00F95A3D">
        <w:rPr>
          <w:color w:val="000000" w:themeColor="text1"/>
          <w:szCs w:val="22"/>
        </w:rPr>
        <w:t>zvýšit prevalenci bakterií rezistentních ke kolistinu.</w:t>
      </w:r>
    </w:p>
    <w:p w14:paraId="685575FE" w14:textId="5585A143" w:rsidR="002D6B27" w:rsidRPr="00F95A3D" w:rsidRDefault="002D6B27" w:rsidP="00F95A3D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r w:rsidRPr="00F95A3D">
        <w:rPr>
          <w:color w:val="000000" w:themeColor="text1"/>
          <w:spacing w:val="-1"/>
          <w:szCs w:val="22"/>
          <w:lang w:eastAsia="cs-CZ"/>
        </w:rPr>
        <w:t xml:space="preserve">Použití </w:t>
      </w:r>
      <w:r w:rsidR="00A117F1" w:rsidRPr="00F95A3D">
        <w:rPr>
          <w:color w:val="000000" w:themeColor="text1"/>
          <w:spacing w:val="-1"/>
          <w:szCs w:val="22"/>
          <w:lang w:eastAsia="cs-CZ"/>
        </w:rPr>
        <w:t xml:space="preserve">veterinárního léčivého </w:t>
      </w:r>
      <w:r w:rsidRPr="00F95A3D">
        <w:rPr>
          <w:color w:val="000000" w:themeColor="text1"/>
          <w:spacing w:val="-1"/>
          <w:szCs w:val="22"/>
          <w:lang w:eastAsia="cs-CZ"/>
        </w:rPr>
        <w:t xml:space="preserve">přípravku by mělo </w:t>
      </w:r>
      <w:bookmarkStart w:id="18" w:name="_Hlk221880057"/>
      <w:r w:rsidR="00A117F1" w:rsidRPr="00F95A3D">
        <w:rPr>
          <w:color w:val="000000" w:themeColor="text1"/>
          <w:spacing w:val="-1"/>
          <w:szCs w:val="22"/>
          <w:lang w:eastAsia="cs-CZ"/>
        </w:rPr>
        <w:t>být vždy doprovázeno zavedením zásad správné chovatelské praxe</w:t>
      </w:r>
      <w:r w:rsidRPr="00F95A3D">
        <w:rPr>
          <w:color w:val="000000" w:themeColor="text1"/>
          <w:spacing w:val="-1"/>
          <w:szCs w:val="22"/>
          <w:lang w:eastAsia="cs-CZ"/>
        </w:rPr>
        <w:t xml:space="preserve">, např. dobrou hygienou, </w:t>
      </w:r>
      <w:r w:rsidR="00A117F1" w:rsidRPr="00F95A3D">
        <w:rPr>
          <w:color w:val="000000" w:themeColor="text1"/>
          <w:spacing w:val="-1"/>
          <w:szCs w:val="22"/>
          <w:lang w:eastAsia="cs-CZ"/>
        </w:rPr>
        <w:t xml:space="preserve">zajištěním náležité ventilace a </w:t>
      </w:r>
      <w:r w:rsidRPr="00F95A3D">
        <w:rPr>
          <w:color w:val="000000" w:themeColor="text1"/>
          <w:spacing w:val="-1"/>
          <w:szCs w:val="22"/>
          <w:lang w:eastAsia="cs-CZ"/>
        </w:rPr>
        <w:t>zamezením ustájení nadměrného počtu kusů.</w:t>
      </w:r>
      <w:r w:rsidRPr="00F95A3D">
        <w:rPr>
          <w:color w:val="000000" w:themeColor="text1"/>
          <w:szCs w:val="22"/>
          <w:lang w:eastAsia="cs-CZ"/>
        </w:rPr>
        <w:t xml:space="preserve"> </w:t>
      </w:r>
      <w:r w:rsidR="00A117F1" w:rsidRPr="00F95A3D">
        <w:rPr>
          <w:color w:val="000000" w:themeColor="text1"/>
          <w:spacing w:val="-1"/>
          <w:szCs w:val="22"/>
          <w:lang w:eastAsia="cs-CZ"/>
        </w:rPr>
        <w:t>Kolistin by neměl být používán jako náhrada správné ošetřovatelské praxe</w:t>
      </w:r>
      <w:r w:rsidRPr="00F95A3D">
        <w:rPr>
          <w:color w:val="000000" w:themeColor="text1"/>
          <w:spacing w:val="-1"/>
          <w:szCs w:val="22"/>
          <w:lang w:eastAsia="cs-CZ"/>
        </w:rPr>
        <w:t>.</w:t>
      </w:r>
      <w:bookmarkEnd w:id="18"/>
      <w:r w:rsidRPr="00F95A3D">
        <w:rPr>
          <w:color w:val="000000" w:themeColor="text1"/>
          <w:spacing w:val="-1"/>
          <w:szCs w:val="22"/>
          <w:lang w:eastAsia="cs-CZ"/>
        </w:rPr>
        <w:t xml:space="preserve"> </w:t>
      </w:r>
    </w:p>
    <w:p w14:paraId="319C81E4" w14:textId="76ED5BDC" w:rsidR="002D6B27" w:rsidRPr="00F95A3D" w:rsidRDefault="008E4C22" w:rsidP="00F95A3D">
      <w:pPr>
        <w:ind w:left="0" w:firstLine="0"/>
        <w:jc w:val="both"/>
        <w:rPr>
          <w:color w:val="000000" w:themeColor="text1"/>
          <w:spacing w:val="-1"/>
          <w:szCs w:val="22"/>
          <w:lang w:eastAsia="cs-CZ"/>
        </w:rPr>
      </w:pPr>
      <w:r w:rsidRPr="00F95A3D">
        <w:rPr>
          <w:color w:val="000000" w:themeColor="text1"/>
          <w:spacing w:val="-1"/>
          <w:szCs w:val="22"/>
          <w:lang w:eastAsia="cs-CZ"/>
        </w:rPr>
        <w:t xml:space="preserve">Kolistin je v humánní medicíně </w:t>
      </w:r>
      <w:r w:rsidR="00A117F1" w:rsidRPr="00F95A3D">
        <w:rPr>
          <w:color w:val="000000" w:themeColor="text1"/>
          <w:spacing w:val="-1"/>
          <w:szCs w:val="22"/>
          <w:lang w:eastAsia="cs-CZ"/>
        </w:rPr>
        <w:t xml:space="preserve">považován za </w:t>
      </w:r>
      <w:r w:rsidRPr="00F95A3D">
        <w:rPr>
          <w:color w:val="000000" w:themeColor="text1"/>
          <w:spacing w:val="-1"/>
          <w:szCs w:val="22"/>
          <w:lang w:eastAsia="cs-CZ"/>
        </w:rPr>
        <w:t xml:space="preserve">rezervní antibiotikum určené pro léčbu infekcí vyvolaných </w:t>
      </w:r>
      <w:proofErr w:type="spellStart"/>
      <w:r w:rsidRPr="00F95A3D">
        <w:rPr>
          <w:color w:val="000000" w:themeColor="text1"/>
          <w:spacing w:val="-1"/>
          <w:szCs w:val="22"/>
          <w:lang w:eastAsia="cs-CZ"/>
        </w:rPr>
        <w:t>multirezistentními</w:t>
      </w:r>
      <w:proofErr w:type="spellEnd"/>
      <w:r w:rsidRPr="00F95A3D">
        <w:rPr>
          <w:color w:val="000000" w:themeColor="text1"/>
          <w:spacing w:val="-1"/>
          <w:szCs w:val="22"/>
          <w:lang w:eastAsia="cs-CZ"/>
        </w:rPr>
        <w:t xml:space="preserve"> kmeny bakterií. Aby se minimalizovalo jakékoli potenciální riziko spojené s širším používáním kolistinu, mělo by být používání omezeno na léčbu, nebo na léčbu a </w:t>
      </w:r>
      <w:proofErr w:type="spellStart"/>
      <w:r w:rsidRPr="00F95A3D">
        <w:rPr>
          <w:color w:val="000000" w:themeColor="text1"/>
          <w:spacing w:val="-1"/>
          <w:szCs w:val="22"/>
          <w:lang w:eastAsia="cs-CZ"/>
        </w:rPr>
        <w:t>metafylaxi</w:t>
      </w:r>
      <w:proofErr w:type="spellEnd"/>
      <w:r w:rsidRPr="00F95A3D">
        <w:rPr>
          <w:color w:val="000000" w:themeColor="text1"/>
          <w:spacing w:val="-1"/>
          <w:szCs w:val="22"/>
          <w:lang w:eastAsia="cs-CZ"/>
        </w:rPr>
        <w:t xml:space="preserve"> nemocí a</w:t>
      </w:r>
      <w:r w:rsidR="0002331D" w:rsidRPr="00F95A3D">
        <w:rPr>
          <w:color w:val="000000" w:themeColor="text1"/>
          <w:spacing w:val="-1"/>
          <w:szCs w:val="22"/>
          <w:lang w:eastAsia="cs-CZ"/>
        </w:rPr>
        <w:t> </w:t>
      </w:r>
      <w:r w:rsidRPr="00F95A3D">
        <w:rPr>
          <w:color w:val="000000" w:themeColor="text1"/>
          <w:spacing w:val="-1"/>
          <w:szCs w:val="22"/>
          <w:lang w:eastAsia="cs-CZ"/>
        </w:rPr>
        <w:t xml:space="preserve">neměl by být používán </w:t>
      </w:r>
      <w:r w:rsidR="00365AE8" w:rsidRPr="00F95A3D">
        <w:rPr>
          <w:color w:val="000000" w:themeColor="text1"/>
          <w:spacing w:val="-1"/>
          <w:szCs w:val="22"/>
          <w:lang w:eastAsia="cs-CZ"/>
        </w:rPr>
        <w:t xml:space="preserve">k </w:t>
      </w:r>
      <w:r w:rsidRPr="00F95A3D">
        <w:rPr>
          <w:color w:val="000000" w:themeColor="text1"/>
          <w:spacing w:val="-1"/>
          <w:szCs w:val="22"/>
          <w:lang w:eastAsia="cs-CZ"/>
        </w:rPr>
        <w:t>profylaxi.</w:t>
      </w:r>
    </w:p>
    <w:p w14:paraId="5C2FE1E4" w14:textId="77777777" w:rsidR="00251B91" w:rsidRPr="00F95A3D" w:rsidRDefault="00251B91" w:rsidP="00F95A3D">
      <w:pPr>
        <w:ind w:left="0" w:firstLine="0"/>
        <w:jc w:val="both"/>
        <w:rPr>
          <w:bCs/>
          <w:color w:val="000000" w:themeColor="text1"/>
          <w:szCs w:val="22"/>
        </w:rPr>
      </w:pPr>
    </w:p>
    <w:p w14:paraId="33F9CE68" w14:textId="4E73B021" w:rsidR="00251B91" w:rsidRPr="00F95A3D" w:rsidRDefault="008E4C22">
      <w:pPr>
        <w:ind w:left="0" w:firstLine="0"/>
        <w:jc w:val="both"/>
        <w:rPr>
          <w:bCs/>
          <w:color w:val="000000" w:themeColor="text1"/>
          <w:szCs w:val="22"/>
          <w:u w:val="single"/>
        </w:rPr>
      </w:pPr>
      <w:bookmarkStart w:id="19" w:name="_Toc213406834"/>
      <w:r w:rsidRPr="00F95A3D">
        <w:rPr>
          <w:bCs/>
          <w:color w:val="000000" w:themeColor="text1"/>
          <w:szCs w:val="22"/>
          <w:u w:val="single"/>
        </w:rPr>
        <w:t>Zvláštní opatření pro osobu, která podává veterinární léčivý přípravek zvířatům</w:t>
      </w:r>
      <w:bookmarkEnd w:id="19"/>
      <w:r w:rsidR="00225393" w:rsidRPr="00F95A3D">
        <w:rPr>
          <w:bCs/>
          <w:color w:val="000000" w:themeColor="text1"/>
          <w:szCs w:val="22"/>
          <w:u w:val="single"/>
        </w:rPr>
        <w:t>:</w:t>
      </w:r>
      <w:r w:rsidRPr="00F95A3D" w:rsidDel="008E4C22">
        <w:rPr>
          <w:bCs/>
          <w:color w:val="000000" w:themeColor="text1"/>
          <w:szCs w:val="22"/>
          <w:u w:val="single"/>
        </w:rPr>
        <w:t xml:space="preserve"> </w:t>
      </w:r>
    </w:p>
    <w:p w14:paraId="5F1B2A69" w14:textId="77777777" w:rsidR="00AF2FA6" w:rsidRPr="00F95A3D" w:rsidRDefault="00AF2FA6" w:rsidP="00F95A3D">
      <w:pPr>
        <w:ind w:left="0" w:firstLine="0"/>
        <w:jc w:val="both"/>
        <w:rPr>
          <w:b/>
          <w:bCs/>
          <w:color w:val="000000" w:themeColor="text1"/>
          <w:szCs w:val="22"/>
          <w:u w:val="single"/>
        </w:rPr>
      </w:pPr>
    </w:p>
    <w:p w14:paraId="4DF9DE69" w14:textId="02E9C5B1" w:rsidR="002D6B27" w:rsidRPr="00F95A3D" w:rsidRDefault="002D6B27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Lidé se známou přecitlivělostí na </w:t>
      </w:r>
      <w:r w:rsidR="00BB3F9F" w:rsidRPr="00F95A3D">
        <w:rPr>
          <w:color w:val="000000" w:themeColor="text1"/>
          <w:szCs w:val="22"/>
        </w:rPr>
        <w:t>polymyxiny (mezi které patří i kolistin sulfát)</w:t>
      </w:r>
      <w:r w:rsidRPr="00F95A3D">
        <w:rPr>
          <w:color w:val="000000" w:themeColor="text1"/>
          <w:szCs w:val="22"/>
        </w:rPr>
        <w:t xml:space="preserve"> by se měli vyhnout kontaktu s veterinárním léčivým</w:t>
      </w:r>
      <w:r w:rsidR="00AA1566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přípravkem.</w:t>
      </w:r>
    </w:p>
    <w:p w14:paraId="4A307C34" w14:textId="03BA66C5" w:rsidR="002D6B27" w:rsidRPr="00F95A3D" w:rsidRDefault="002D6B27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Zabraňte kontaktu </w:t>
      </w:r>
      <w:r w:rsidR="00832A83" w:rsidRPr="00F95A3D">
        <w:rPr>
          <w:color w:val="000000" w:themeColor="text1"/>
          <w:szCs w:val="22"/>
        </w:rPr>
        <w:t xml:space="preserve">veterinárního léčivého </w:t>
      </w:r>
      <w:r w:rsidRPr="00F95A3D">
        <w:rPr>
          <w:color w:val="000000" w:themeColor="text1"/>
          <w:szCs w:val="22"/>
        </w:rPr>
        <w:t>přípravku s kůží, očima a sliznicemi</w:t>
      </w:r>
      <w:r w:rsidR="00BB3F9F" w:rsidRPr="00F95A3D">
        <w:rPr>
          <w:color w:val="000000" w:themeColor="text1"/>
          <w:szCs w:val="22"/>
        </w:rPr>
        <w:t xml:space="preserve"> a inhalaci prachových částí. </w:t>
      </w:r>
      <w:r w:rsidRPr="00F95A3D">
        <w:rPr>
          <w:color w:val="000000" w:themeColor="text1"/>
          <w:szCs w:val="22"/>
        </w:rPr>
        <w:t>Při nakládání s</w:t>
      </w:r>
      <w:r w:rsidR="001816F0" w:rsidRPr="00F95A3D">
        <w:rPr>
          <w:color w:val="000000" w:themeColor="text1"/>
          <w:szCs w:val="22"/>
        </w:rPr>
        <w:t> </w:t>
      </w:r>
      <w:r w:rsidRPr="00F95A3D">
        <w:rPr>
          <w:color w:val="000000" w:themeColor="text1"/>
          <w:szCs w:val="22"/>
        </w:rPr>
        <w:t>veterinárním léčivým přípravkem by se měly používat osobní ochranné prostředky</w:t>
      </w:r>
      <w:r w:rsidR="00AA1566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skládající se z</w:t>
      </w:r>
      <w:r w:rsidR="001816F0" w:rsidRPr="00F95A3D">
        <w:rPr>
          <w:color w:val="000000" w:themeColor="text1"/>
          <w:szCs w:val="22"/>
        </w:rPr>
        <w:t> </w:t>
      </w:r>
      <w:r w:rsidR="00BB3F9F" w:rsidRPr="00F95A3D">
        <w:rPr>
          <w:color w:val="000000" w:themeColor="text1"/>
          <w:szCs w:val="22"/>
        </w:rPr>
        <w:t>ochranného oděvu, nepropustných gumových nebo latexových rukavic, ochranných brýlí a buď z</w:t>
      </w:r>
      <w:r w:rsidR="001816F0" w:rsidRPr="00F95A3D">
        <w:rPr>
          <w:color w:val="000000" w:themeColor="text1"/>
          <w:szCs w:val="22"/>
        </w:rPr>
        <w:t> </w:t>
      </w:r>
      <w:r w:rsidR="00BB3F9F" w:rsidRPr="00F95A3D">
        <w:rPr>
          <w:color w:val="000000" w:themeColor="text1"/>
          <w:szCs w:val="22"/>
        </w:rPr>
        <w:t>jednorázového respirátoru s polomaskou vyhovující evropské normě EN149 nebo z respirátoru pro opakované použití podle evropské normy EN140 s filtrem podle normy EN143.</w:t>
      </w:r>
    </w:p>
    <w:p w14:paraId="10A9729A" w14:textId="6B1384FD" w:rsidR="002D6B27" w:rsidRPr="00F95A3D" w:rsidRDefault="002D6B27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V případě zasažení pokožky či sliznice opláchněte exponovanou část ihned </w:t>
      </w:r>
      <w:r w:rsidR="00BB3F9F" w:rsidRPr="00F95A3D">
        <w:rPr>
          <w:color w:val="000000" w:themeColor="text1"/>
          <w:szCs w:val="22"/>
        </w:rPr>
        <w:t xml:space="preserve">mýdlem a </w:t>
      </w:r>
      <w:r w:rsidRPr="00F95A3D">
        <w:rPr>
          <w:color w:val="000000" w:themeColor="text1"/>
          <w:szCs w:val="22"/>
        </w:rPr>
        <w:t>velkým</w:t>
      </w:r>
      <w:r w:rsidR="00AA1566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 xml:space="preserve">množstvím vody. </w:t>
      </w:r>
    </w:p>
    <w:p w14:paraId="4F9E35FE" w14:textId="66E1CD67" w:rsidR="002D6B27" w:rsidRPr="00F95A3D" w:rsidRDefault="002D6B27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V případě zasažení očí vypláchněte oko velkým množstvím </w:t>
      </w:r>
      <w:r w:rsidR="001816F0" w:rsidRPr="00F95A3D">
        <w:rPr>
          <w:color w:val="000000" w:themeColor="text1"/>
          <w:szCs w:val="22"/>
        </w:rPr>
        <w:t xml:space="preserve">čisté </w:t>
      </w:r>
      <w:r w:rsidRPr="00F95A3D">
        <w:rPr>
          <w:color w:val="000000" w:themeColor="text1"/>
          <w:szCs w:val="22"/>
        </w:rPr>
        <w:t xml:space="preserve">vody. </w:t>
      </w:r>
    </w:p>
    <w:p w14:paraId="23A030CA" w14:textId="77777777" w:rsidR="001816F0" w:rsidRPr="00F95A3D" w:rsidRDefault="001816F0" w:rsidP="00F95A3D">
      <w:pPr>
        <w:ind w:left="0" w:firstLine="0"/>
        <w:jc w:val="both"/>
        <w:rPr>
          <w:color w:val="000000" w:themeColor="text1"/>
          <w:szCs w:val="22"/>
          <w:lang w:eastAsia="cs-CZ"/>
        </w:rPr>
      </w:pPr>
      <w:r w:rsidRPr="00F95A3D">
        <w:rPr>
          <w:color w:val="000000" w:themeColor="text1"/>
          <w:szCs w:val="22"/>
          <w:lang w:eastAsia="cs-CZ"/>
        </w:rPr>
        <w:t xml:space="preserve">Pokud se u vás objeví </w:t>
      </w:r>
      <w:proofErr w:type="spellStart"/>
      <w:r w:rsidRPr="00F95A3D">
        <w:rPr>
          <w:color w:val="000000" w:themeColor="text1"/>
          <w:szCs w:val="22"/>
          <w:lang w:eastAsia="cs-CZ"/>
        </w:rPr>
        <w:t>postexpoziční</w:t>
      </w:r>
      <w:proofErr w:type="spellEnd"/>
      <w:r w:rsidRPr="00F95A3D">
        <w:rPr>
          <w:color w:val="000000" w:themeColor="text1"/>
          <w:szCs w:val="22"/>
          <w:lang w:eastAsia="cs-CZ"/>
        </w:rPr>
        <w:t xml:space="preserve"> příznaky, jako např. kožní vyrážka, vyhledejte lékařskou pomoc a ukažte příbalovou informaci nebo etiketu lékaři. Otok obličeje, rtů, očí nebo potíže s dýcháním jsou vážné příznaky a vyžadují okamžitou lékařskou pomoc.</w:t>
      </w:r>
    </w:p>
    <w:p w14:paraId="02E0F749" w14:textId="6A13FCF3" w:rsidR="00251B91" w:rsidRPr="00F95A3D" w:rsidRDefault="002D6B27" w:rsidP="00F95A3D">
      <w:pPr>
        <w:ind w:left="0" w:firstLine="0"/>
        <w:jc w:val="both"/>
        <w:rPr>
          <w:rFonts w:eastAsia="Arial"/>
          <w:bCs/>
          <w:color w:val="000000" w:themeColor="text1"/>
          <w:szCs w:val="22"/>
        </w:rPr>
      </w:pPr>
      <w:r w:rsidRPr="00F95A3D">
        <w:rPr>
          <w:rFonts w:eastAsia="Arial"/>
          <w:bCs/>
          <w:color w:val="000000" w:themeColor="text1"/>
          <w:szCs w:val="22"/>
        </w:rPr>
        <w:t xml:space="preserve">Při </w:t>
      </w:r>
      <w:r w:rsidR="00E213B6" w:rsidRPr="00F95A3D">
        <w:rPr>
          <w:rFonts w:eastAsia="Arial"/>
          <w:bCs/>
          <w:color w:val="000000" w:themeColor="text1"/>
          <w:szCs w:val="22"/>
        </w:rPr>
        <w:t xml:space="preserve">nakládání </w:t>
      </w:r>
      <w:r w:rsidRPr="00F95A3D">
        <w:rPr>
          <w:rFonts w:eastAsia="Arial"/>
          <w:bCs/>
          <w:color w:val="000000" w:themeColor="text1"/>
          <w:szCs w:val="22"/>
        </w:rPr>
        <w:t>s</w:t>
      </w:r>
      <w:r w:rsidR="00850479" w:rsidRPr="00F95A3D">
        <w:rPr>
          <w:rFonts w:eastAsia="Arial"/>
          <w:bCs/>
          <w:color w:val="000000" w:themeColor="text1"/>
          <w:szCs w:val="22"/>
        </w:rPr>
        <w:t xml:space="preserve"> veterinárním léčivým </w:t>
      </w:r>
      <w:r w:rsidRPr="00F95A3D">
        <w:rPr>
          <w:rFonts w:eastAsia="Arial"/>
          <w:bCs/>
          <w:color w:val="000000" w:themeColor="text1"/>
          <w:szCs w:val="22"/>
        </w:rPr>
        <w:t>přípravkem nejezte, nepijte a nekuřte.</w:t>
      </w:r>
    </w:p>
    <w:p w14:paraId="0B7B6538" w14:textId="77777777" w:rsidR="00251B91" w:rsidRPr="00F95A3D" w:rsidRDefault="00251B91" w:rsidP="00F95A3D">
      <w:pPr>
        <w:ind w:left="0" w:firstLine="0"/>
        <w:jc w:val="both"/>
        <w:rPr>
          <w:rFonts w:eastAsia="Arial"/>
          <w:bCs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Po použití si umyjte ruce.</w:t>
      </w:r>
    </w:p>
    <w:p w14:paraId="0AE9D203" w14:textId="77777777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0AD7036F" w14:textId="67EB1D6E" w:rsidR="00A749E7" w:rsidRPr="00F95A3D" w:rsidRDefault="00A749E7" w:rsidP="00F95A3D">
      <w:pPr>
        <w:ind w:left="0" w:firstLine="0"/>
        <w:jc w:val="both"/>
        <w:rPr>
          <w:bCs/>
          <w:color w:val="000000" w:themeColor="text1"/>
          <w:szCs w:val="22"/>
          <w:u w:val="single"/>
        </w:rPr>
      </w:pPr>
      <w:bookmarkStart w:id="20" w:name="_Toc213406835"/>
      <w:r w:rsidRPr="00F95A3D">
        <w:rPr>
          <w:bCs/>
          <w:color w:val="000000" w:themeColor="text1"/>
          <w:szCs w:val="22"/>
          <w:u w:val="single"/>
        </w:rPr>
        <w:t>Zvláštní opatření pro ochranu životního prostředí</w:t>
      </w:r>
      <w:bookmarkEnd w:id="20"/>
      <w:r w:rsidR="007603DD" w:rsidRPr="00F95A3D">
        <w:rPr>
          <w:bCs/>
          <w:i/>
          <w:color w:val="000000" w:themeColor="text1"/>
          <w:szCs w:val="22"/>
          <w:u w:val="single"/>
        </w:rPr>
        <w:t>:</w:t>
      </w:r>
    </w:p>
    <w:p w14:paraId="113B9FB0" w14:textId="4DBC1D62" w:rsidR="00A749E7" w:rsidRPr="00F95A3D" w:rsidRDefault="00A749E7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Neuplatňuje se.</w:t>
      </w:r>
    </w:p>
    <w:p w14:paraId="44C00AA6" w14:textId="77777777" w:rsidR="00225393" w:rsidRPr="00F95A3D" w:rsidRDefault="00225393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472A6BBC" w14:textId="1BDBD5E3" w:rsidR="00251B91" w:rsidRPr="00F95A3D" w:rsidRDefault="00225393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21" w:name="_Toc213406836"/>
      <w:r w:rsidRPr="00F95A3D">
        <w:rPr>
          <w:b/>
          <w:iCs/>
          <w:color w:val="000000" w:themeColor="text1"/>
          <w:szCs w:val="22"/>
        </w:rPr>
        <w:t>3.6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Nežádoucí účinky</w:t>
      </w:r>
      <w:bookmarkEnd w:id="21"/>
    </w:p>
    <w:p w14:paraId="483014DC" w14:textId="77777777" w:rsidR="00AF2FA6" w:rsidRPr="00F95A3D" w:rsidRDefault="00AF2FA6">
      <w:pPr>
        <w:ind w:left="0" w:firstLine="0"/>
        <w:jc w:val="both"/>
        <w:rPr>
          <w:b/>
          <w:iCs/>
          <w:color w:val="000000" w:themeColor="text1"/>
          <w:szCs w:val="22"/>
        </w:rPr>
      </w:pPr>
    </w:p>
    <w:p w14:paraId="4796851E" w14:textId="77777777" w:rsidR="003956C7" w:rsidRPr="00F95A3D" w:rsidRDefault="003956C7" w:rsidP="003956C7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Prasata, kur domácí (brojleři)</w:t>
      </w:r>
    </w:p>
    <w:p w14:paraId="7BCECCDF" w14:textId="77777777" w:rsidR="003956C7" w:rsidRPr="00F95A3D" w:rsidRDefault="003956C7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60BA116B" w14:textId="6E037C09" w:rsidR="00F77D0F" w:rsidRPr="00F95A3D" w:rsidRDefault="00F77D0F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Kolistin po perorálním podání nevyvolává systémové vedlejší účinky, protože nedochází k jeho</w:t>
      </w:r>
      <w:r w:rsidR="00AA1566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>vstřebávání z</w:t>
      </w:r>
      <w:r w:rsidR="004C11A1" w:rsidRPr="00F95A3D">
        <w:rPr>
          <w:color w:val="000000" w:themeColor="text1"/>
          <w:szCs w:val="22"/>
        </w:rPr>
        <w:t xml:space="preserve"> trávicího </w:t>
      </w:r>
      <w:r w:rsidRPr="00F95A3D">
        <w:rPr>
          <w:color w:val="000000" w:themeColor="text1"/>
          <w:szCs w:val="22"/>
        </w:rPr>
        <w:t>ústrojí a je cílovými druhy zvířat dobře tolerován.</w:t>
      </w:r>
    </w:p>
    <w:p w14:paraId="12309CFE" w14:textId="77777777" w:rsidR="003956C7" w:rsidRPr="00F95A3D" w:rsidRDefault="003956C7" w:rsidP="00F95A3D">
      <w:pPr>
        <w:ind w:left="0" w:firstLine="0"/>
        <w:jc w:val="both"/>
        <w:rPr>
          <w:color w:val="000000" w:themeColor="text1"/>
          <w:szCs w:val="22"/>
        </w:rPr>
      </w:pPr>
    </w:p>
    <w:p w14:paraId="165ACD0D" w14:textId="05A0F403" w:rsidR="00C00DEC" w:rsidRPr="00F95A3D" w:rsidRDefault="00C00DEC" w:rsidP="00F95A3D">
      <w:pPr>
        <w:ind w:left="0" w:firstLine="0"/>
        <w:jc w:val="both"/>
        <w:rPr>
          <w:color w:val="000000" w:themeColor="text1"/>
          <w:szCs w:val="22"/>
        </w:rPr>
      </w:pPr>
      <w:bookmarkStart w:id="22" w:name="_Hlk211582774"/>
      <w:r w:rsidRPr="00F95A3D">
        <w:rPr>
          <w:color w:val="000000" w:themeColor="text1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 držiteli rozhodnutí o registraci</w:t>
      </w:r>
      <w:r w:rsidR="00BD3D4B" w:rsidRPr="00F95A3D">
        <w:rPr>
          <w:color w:val="000000" w:themeColor="text1"/>
          <w:szCs w:val="22"/>
        </w:rPr>
        <w:t xml:space="preserve">, </w:t>
      </w:r>
      <w:r w:rsidRPr="00F95A3D">
        <w:rPr>
          <w:color w:val="000000" w:themeColor="text1"/>
          <w:szCs w:val="22"/>
        </w:rPr>
        <w:t xml:space="preserve">nebo jeho místnímu zástupci, nebo příslušnému vnitrostátnímu orgánu prostřednictvím národního systému hlášení. Podrobné kontaktní údaje naleznete </w:t>
      </w:r>
      <w:r w:rsidR="006C0529" w:rsidRPr="00F95A3D">
        <w:rPr>
          <w:color w:val="000000" w:themeColor="text1"/>
          <w:szCs w:val="22"/>
        </w:rPr>
        <w:t>na etiketě</w:t>
      </w:r>
      <w:r w:rsidRPr="00F95A3D">
        <w:rPr>
          <w:color w:val="000000" w:themeColor="text1"/>
          <w:szCs w:val="22"/>
        </w:rPr>
        <w:t>.</w:t>
      </w:r>
    </w:p>
    <w:bookmarkEnd w:id="22"/>
    <w:p w14:paraId="5D3B13D4" w14:textId="77777777" w:rsidR="00251B91" w:rsidRPr="00F95A3D" w:rsidRDefault="00251B91" w:rsidP="00F95A3D">
      <w:pPr>
        <w:ind w:left="0" w:firstLine="0"/>
        <w:jc w:val="both"/>
        <w:rPr>
          <w:rFonts w:eastAsia="Arial"/>
          <w:bCs/>
          <w:color w:val="000000" w:themeColor="text1"/>
          <w:szCs w:val="22"/>
        </w:rPr>
      </w:pPr>
    </w:p>
    <w:p w14:paraId="3E74A3AD" w14:textId="08C2FCD1" w:rsidR="00251B91" w:rsidRPr="00F95A3D" w:rsidRDefault="00225393" w:rsidP="00F95A3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23" w:name="_Toc213406837"/>
      <w:r w:rsidRPr="00F95A3D">
        <w:rPr>
          <w:b/>
          <w:iCs/>
          <w:color w:val="000000" w:themeColor="text1"/>
          <w:szCs w:val="22"/>
        </w:rPr>
        <w:t>3.7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Použití v průběhu březosti, laktace nebo snášky</w:t>
      </w:r>
      <w:bookmarkEnd w:id="23"/>
    </w:p>
    <w:p w14:paraId="3B69A449" w14:textId="77777777" w:rsidR="00225393" w:rsidRPr="00F95A3D" w:rsidRDefault="00225393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151B2031" w14:textId="0ABDDBCD" w:rsidR="006F06A4" w:rsidRPr="00F95A3D" w:rsidRDefault="006F06A4" w:rsidP="00F95A3D">
      <w:pPr>
        <w:ind w:left="0" w:firstLine="0"/>
        <w:jc w:val="both"/>
        <w:rPr>
          <w:rFonts w:eastAsia="Arial"/>
          <w:bCs/>
          <w:color w:val="000000" w:themeColor="text1"/>
          <w:szCs w:val="22"/>
        </w:rPr>
      </w:pPr>
      <w:r w:rsidRPr="00F95A3D">
        <w:rPr>
          <w:rFonts w:eastAsia="Arial"/>
          <w:bCs/>
          <w:color w:val="000000" w:themeColor="text1"/>
          <w:szCs w:val="22"/>
        </w:rPr>
        <w:t>Březost a laktace:</w:t>
      </w:r>
    </w:p>
    <w:p w14:paraId="650BBA22" w14:textId="3E72A5DB" w:rsidR="002D2B21" w:rsidRPr="00F95A3D" w:rsidRDefault="00C00DEC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Nebyla stanovena bezpečnost veterinárního léčivého přípravku pro použití během březosti</w:t>
      </w:r>
      <w:r w:rsidR="006F06A4" w:rsidRPr="00F95A3D">
        <w:rPr>
          <w:rFonts w:eastAsia="Arial"/>
          <w:color w:val="000000" w:themeColor="text1"/>
          <w:szCs w:val="22"/>
        </w:rPr>
        <w:t xml:space="preserve"> a</w:t>
      </w:r>
      <w:r w:rsidRPr="00F95A3D">
        <w:rPr>
          <w:rFonts w:eastAsia="Arial"/>
          <w:color w:val="000000" w:themeColor="text1"/>
          <w:szCs w:val="22"/>
        </w:rPr>
        <w:t xml:space="preserve"> laktace. </w:t>
      </w:r>
    </w:p>
    <w:p w14:paraId="0DF09A99" w14:textId="6A803FDE" w:rsidR="002D2B21" w:rsidRPr="00F95A3D" w:rsidRDefault="002D2B21" w:rsidP="002D2B21">
      <w:pPr>
        <w:ind w:left="0" w:firstLine="0"/>
        <w:jc w:val="both"/>
        <w:rPr>
          <w:rFonts w:eastAsia="Arial"/>
          <w:bCs/>
          <w:color w:val="000000" w:themeColor="text1"/>
          <w:szCs w:val="22"/>
          <w:u w:val="single"/>
        </w:rPr>
      </w:pPr>
      <w:r w:rsidRPr="00F95A3D">
        <w:rPr>
          <w:rFonts w:eastAsia="Arial"/>
          <w:bCs/>
          <w:color w:val="000000" w:themeColor="text1"/>
          <w:szCs w:val="22"/>
        </w:rPr>
        <w:t>Nepoužívat v průběhu březost</w:t>
      </w:r>
      <w:r w:rsidR="00375181" w:rsidRPr="00F95A3D">
        <w:rPr>
          <w:rFonts w:eastAsia="Arial"/>
          <w:bCs/>
          <w:color w:val="000000" w:themeColor="text1"/>
          <w:szCs w:val="22"/>
        </w:rPr>
        <w:t>i</w:t>
      </w:r>
      <w:r w:rsidRPr="00F95A3D">
        <w:rPr>
          <w:rFonts w:eastAsia="Arial"/>
          <w:bCs/>
          <w:color w:val="000000" w:themeColor="text1"/>
          <w:szCs w:val="22"/>
        </w:rPr>
        <w:t xml:space="preserve"> a laktace</w:t>
      </w:r>
      <w:r w:rsidRPr="00F95A3D">
        <w:rPr>
          <w:rFonts w:eastAsia="Arial"/>
          <w:bCs/>
          <w:color w:val="000000" w:themeColor="text1"/>
          <w:szCs w:val="22"/>
          <w:u w:val="single"/>
        </w:rPr>
        <w:t>.</w:t>
      </w:r>
      <w:r w:rsidRPr="00F95A3D" w:rsidDel="00AA1566">
        <w:rPr>
          <w:rFonts w:eastAsia="Arial"/>
          <w:bCs/>
          <w:color w:val="000000" w:themeColor="text1"/>
          <w:szCs w:val="22"/>
          <w:u w:val="single"/>
        </w:rPr>
        <w:t xml:space="preserve"> </w:t>
      </w:r>
    </w:p>
    <w:p w14:paraId="3E1B3DEE" w14:textId="4F39C9C2" w:rsidR="006F06A4" w:rsidRPr="00F95A3D" w:rsidRDefault="006F06A4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37723F1D" w14:textId="355DFA94" w:rsidR="006F06A4" w:rsidRPr="00F95A3D" w:rsidRDefault="006F06A4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Nosnice:</w:t>
      </w:r>
    </w:p>
    <w:p w14:paraId="691D7DD0" w14:textId="11D27F9A" w:rsidR="00DD6D71" w:rsidRPr="00F95A3D" w:rsidRDefault="00DD6D71" w:rsidP="006F06A4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lastRenderedPageBreak/>
        <w:t>Nebyla stanovena bezpečnost veterinárního léčivého přípravku pro použití během</w:t>
      </w:r>
      <w:r w:rsidR="00313460" w:rsidRPr="00F95A3D">
        <w:rPr>
          <w:rFonts w:eastAsia="Arial"/>
          <w:color w:val="000000" w:themeColor="text1"/>
          <w:szCs w:val="22"/>
        </w:rPr>
        <w:t xml:space="preserve"> snášky.</w:t>
      </w:r>
    </w:p>
    <w:p w14:paraId="0492B63B" w14:textId="37B65667" w:rsidR="006F06A4" w:rsidRPr="00F95A3D" w:rsidRDefault="006F06A4" w:rsidP="006F06A4">
      <w:pPr>
        <w:ind w:left="0" w:firstLine="0"/>
        <w:jc w:val="both"/>
        <w:rPr>
          <w:rFonts w:eastAsia="Arial"/>
          <w:bCs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Nepoužívat u ptáků snášejících nebo určených ke snášce vajec pro lidskou spotřebu.</w:t>
      </w:r>
    </w:p>
    <w:p w14:paraId="102A1D8B" w14:textId="77777777" w:rsidR="000F4869" w:rsidRPr="00F95A3D" w:rsidRDefault="000F4869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66647941" w14:textId="76FDF309" w:rsidR="00251B91" w:rsidRPr="00F95A3D" w:rsidRDefault="00225393" w:rsidP="00F95A3D">
      <w:pPr>
        <w:keepNext/>
        <w:ind w:left="0" w:firstLine="0"/>
        <w:jc w:val="both"/>
        <w:rPr>
          <w:b/>
          <w:iCs/>
          <w:color w:val="000000" w:themeColor="text1"/>
          <w:szCs w:val="22"/>
        </w:rPr>
      </w:pPr>
      <w:bookmarkStart w:id="24" w:name="_Toc213406838"/>
      <w:r w:rsidRPr="00F95A3D">
        <w:rPr>
          <w:b/>
          <w:iCs/>
          <w:color w:val="000000" w:themeColor="text1"/>
          <w:szCs w:val="22"/>
        </w:rPr>
        <w:t>3.8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Interakce s </w:t>
      </w:r>
      <w:r w:rsidR="00E05514" w:rsidRPr="00F95A3D">
        <w:rPr>
          <w:b/>
          <w:iCs/>
          <w:color w:val="000000" w:themeColor="text1"/>
          <w:szCs w:val="22"/>
        </w:rPr>
        <w:t xml:space="preserve">jinými </w:t>
      </w:r>
      <w:r w:rsidR="00251B91" w:rsidRPr="00F95A3D">
        <w:rPr>
          <w:b/>
          <w:iCs/>
          <w:color w:val="000000" w:themeColor="text1"/>
          <w:szCs w:val="22"/>
        </w:rPr>
        <w:t>léčivými přípravky a</w:t>
      </w:r>
      <w:r w:rsidR="00AA1566" w:rsidRPr="00F95A3D">
        <w:rPr>
          <w:b/>
          <w:iCs/>
          <w:color w:val="000000" w:themeColor="text1"/>
          <w:szCs w:val="22"/>
        </w:rPr>
        <w:t xml:space="preserve"> </w:t>
      </w:r>
      <w:r w:rsidR="00251B91" w:rsidRPr="00F95A3D">
        <w:rPr>
          <w:b/>
          <w:iCs/>
          <w:color w:val="000000" w:themeColor="text1"/>
          <w:szCs w:val="22"/>
        </w:rPr>
        <w:t>další formy interakce</w:t>
      </w:r>
      <w:bookmarkEnd w:id="24"/>
    </w:p>
    <w:p w14:paraId="63661C7A" w14:textId="77777777" w:rsidR="00225393" w:rsidRPr="00F95A3D" w:rsidRDefault="00225393" w:rsidP="00F95A3D">
      <w:pPr>
        <w:keepNext/>
        <w:ind w:left="0" w:firstLine="0"/>
        <w:jc w:val="both"/>
        <w:rPr>
          <w:i/>
          <w:iCs/>
          <w:color w:val="000000" w:themeColor="text1"/>
          <w:szCs w:val="22"/>
        </w:rPr>
      </w:pPr>
    </w:p>
    <w:p w14:paraId="60757689" w14:textId="47225608" w:rsidR="009E1E3B" w:rsidRPr="00F95A3D" w:rsidRDefault="00F77D0F">
      <w:pPr>
        <w:ind w:left="0" w:firstLine="0"/>
        <w:jc w:val="both"/>
        <w:rPr>
          <w:color w:val="000000" w:themeColor="text1"/>
          <w:szCs w:val="22"/>
        </w:rPr>
      </w:pPr>
      <w:bookmarkStart w:id="25" w:name="_Hlk214942934"/>
      <w:r w:rsidRPr="00F95A3D">
        <w:rPr>
          <w:color w:val="000000" w:themeColor="text1"/>
          <w:szCs w:val="22"/>
        </w:rPr>
        <w:t>Nepodávat</w:t>
      </w:r>
      <w:r w:rsidR="009E1E3B" w:rsidRPr="00F95A3D">
        <w:rPr>
          <w:color w:val="000000" w:themeColor="text1"/>
          <w:szCs w:val="22"/>
        </w:rPr>
        <w:t xml:space="preserve"> současně</w:t>
      </w:r>
      <w:r w:rsidRPr="00F95A3D">
        <w:rPr>
          <w:color w:val="000000" w:themeColor="text1"/>
          <w:szCs w:val="22"/>
        </w:rPr>
        <w:t xml:space="preserve"> s </w:t>
      </w:r>
      <w:proofErr w:type="spellStart"/>
      <w:r w:rsidRPr="00F95A3D">
        <w:rPr>
          <w:color w:val="000000" w:themeColor="text1"/>
          <w:szCs w:val="22"/>
        </w:rPr>
        <w:t>erythromycinem</w:t>
      </w:r>
      <w:proofErr w:type="spellEnd"/>
      <w:r w:rsidR="009E1E3B" w:rsidRPr="00F95A3D">
        <w:rPr>
          <w:color w:val="000000" w:themeColor="text1"/>
          <w:szCs w:val="22"/>
        </w:rPr>
        <w:t xml:space="preserve"> ani </w:t>
      </w:r>
      <w:proofErr w:type="spellStart"/>
      <w:r w:rsidRPr="00F95A3D">
        <w:rPr>
          <w:color w:val="000000" w:themeColor="text1"/>
          <w:szCs w:val="22"/>
        </w:rPr>
        <w:t>kan</w:t>
      </w:r>
      <w:r w:rsidR="002D6B27" w:rsidRPr="00F95A3D">
        <w:rPr>
          <w:color w:val="000000" w:themeColor="text1"/>
          <w:szCs w:val="22"/>
        </w:rPr>
        <w:t>a</w:t>
      </w:r>
      <w:r w:rsidRPr="00F95A3D">
        <w:rPr>
          <w:color w:val="000000" w:themeColor="text1"/>
          <w:szCs w:val="22"/>
        </w:rPr>
        <w:t>mycinem</w:t>
      </w:r>
      <w:proofErr w:type="spellEnd"/>
      <w:r w:rsidR="009E1E3B" w:rsidRPr="00F95A3D">
        <w:rPr>
          <w:color w:val="000000" w:themeColor="text1"/>
          <w:szCs w:val="22"/>
        </w:rPr>
        <w:t>.</w:t>
      </w:r>
    </w:p>
    <w:p w14:paraId="1B43C40B" w14:textId="1E362C0C" w:rsidR="00251B91" w:rsidRPr="00F95A3D" w:rsidRDefault="009E1E3B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Nepodávat současně </w:t>
      </w:r>
      <w:r w:rsidR="00F77D0F" w:rsidRPr="00F95A3D">
        <w:rPr>
          <w:color w:val="000000" w:themeColor="text1"/>
          <w:szCs w:val="22"/>
        </w:rPr>
        <w:t>s dvojmocnými</w:t>
      </w:r>
      <w:r w:rsidR="00251B91" w:rsidRPr="00F95A3D">
        <w:rPr>
          <w:color w:val="000000" w:themeColor="text1"/>
          <w:szCs w:val="22"/>
        </w:rPr>
        <w:t xml:space="preserve"> kationty (železo, vápník, hořčík) </w:t>
      </w:r>
      <w:r w:rsidR="00E755E6" w:rsidRPr="00F95A3D">
        <w:rPr>
          <w:color w:val="000000" w:themeColor="text1"/>
          <w:szCs w:val="22"/>
        </w:rPr>
        <w:t>a </w:t>
      </w:r>
      <w:r w:rsidR="00251B91" w:rsidRPr="00F95A3D">
        <w:rPr>
          <w:color w:val="000000" w:themeColor="text1"/>
          <w:szCs w:val="22"/>
        </w:rPr>
        <w:t>nenasycen</w:t>
      </w:r>
      <w:r w:rsidR="00F77D0F" w:rsidRPr="00F95A3D">
        <w:rPr>
          <w:color w:val="000000" w:themeColor="text1"/>
          <w:szCs w:val="22"/>
        </w:rPr>
        <w:t xml:space="preserve">ými mastnými </w:t>
      </w:r>
      <w:r w:rsidR="00251B91" w:rsidRPr="00F95A3D">
        <w:rPr>
          <w:color w:val="000000" w:themeColor="text1"/>
          <w:szCs w:val="22"/>
        </w:rPr>
        <w:t>kyselin</w:t>
      </w:r>
      <w:r w:rsidR="00F77D0F" w:rsidRPr="00F95A3D">
        <w:rPr>
          <w:color w:val="000000" w:themeColor="text1"/>
          <w:szCs w:val="22"/>
        </w:rPr>
        <w:t>ami</w:t>
      </w:r>
      <w:r w:rsidR="002D6B27" w:rsidRPr="00F95A3D">
        <w:rPr>
          <w:color w:val="000000" w:themeColor="text1"/>
          <w:szCs w:val="22"/>
        </w:rPr>
        <w:t>, kvarterními sloučeninami amonia</w:t>
      </w:r>
      <w:r w:rsidR="00251B91" w:rsidRPr="00F95A3D">
        <w:rPr>
          <w:color w:val="000000" w:themeColor="text1"/>
          <w:szCs w:val="22"/>
        </w:rPr>
        <w:t xml:space="preserve"> a </w:t>
      </w:r>
      <w:proofErr w:type="spellStart"/>
      <w:r w:rsidR="00251B91" w:rsidRPr="00F95A3D">
        <w:rPr>
          <w:color w:val="000000" w:themeColor="text1"/>
          <w:szCs w:val="22"/>
        </w:rPr>
        <w:t>polyfosfáty</w:t>
      </w:r>
      <w:proofErr w:type="spellEnd"/>
      <w:r w:rsidR="00F77D0F" w:rsidRPr="00F95A3D">
        <w:rPr>
          <w:color w:val="000000" w:themeColor="text1"/>
          <w:szCs w:val="22"/>
        </w:rPr>
        <w:t>, které</w:t>
      </w:r>
      <w:r w:rsidR="002D6B27" w:rsidRPr="00F95A3D">
        <w:rPr>
          <w:color w:val="000000" w:themeColor="text1"/>
          <w:szCs w:val="22"/>
        </w:rPr>
        <w:t xml:space="preserve"> mohou</w:t>
      </w:r>
      <w:r w:rsidR="00AA1566" w:rsidRPr="00F95A3D">
        <w:rPr>
          <w:color w:val="000000" w:themeColor="text1"/>
          <w:szCs w:val="22"/>
        </w:rPr>
        <w:t xml:space="preserve"> </w:t>
      </w:r>
      <w:r w:rsidR="00F77D0F" w:rsidRPr="00F95A3D">
        <w:rPr>
          <w:color w:val="000000" w:themeColor="text1"/>
          <w:szCs w:val="22"/>
        </w:rPr>
        <w:t xml:space="preserve">působit jako antagonisté </w:t>
      </w:r>
      <w:r w:rsidRPr="00F95A3D">
        <w:rPr>
          <w:color w:val="000000" w:themeColor="text1"/>
          <w:szCs w:val="22"/>
        </w:rPr>
        <w:t xml:space="preserve">účinku </w:t>
      </w:r>
      <w:r w:rsidR="00251B91" w:rsidRPr="00F95A3D">
        <w:rPr>
          <w:color w:val="000000" w:themeColor="text1"/>
          <w:szCs w:val="22"/>
        </w:rPr>
        <w:t>kolistin</w:t>
      </w:r>
      <w:r w:rsidR="00F77D0F" w:rsidRPr="00F95A3D">
        <w:rPr>
          <w:color w:val="000000" w:themeColor="text1"/>
          <w:szCs w:val="22"/>
        </w:rPr>
        <w:t xml:space="preserve"> </w:t>
      </w:r>
      <w:r w:rsidR="00251B91" w:rsidRPr="00F95A3D">
        <w:rPr>
          <w:color w:val="000000" w:themeColor="text1"/>
          <w:szCs w:val="22"/>
        </w:rPr>
        <w:t>sulfátu.</w:t>
      </w:r>
    </w:p>
    <w:bookmarkEnd w:id="25"/>
    <w:p w14:paraId="7C0C579D" w14:textId="77777777" w:rsidR="000F4869" w:rsidRPr="00F95A3D" w:rsidRDefault="000F4869" w:rsidP="00F95A3D">
      <w:pPr>
        <w:ind w:left="0" w:firstLine="0"/>
        <w:rPr>
          <w:b/>
          <w:bCs/>
          <w:color w:val="000000" w:themeColor="text1"/>
          <w:szCs w:val="22"/>
        </w:rPr>
      </w:pPr>
    </w:p>
    <w:p w14:paraId="3F8D88EF" w14:textId="228BC431" w:rsidR="00251B91" w:rsidRPr="00F95A3D" w:rsidRDefault="00225393" w:rsidP="00F95A3D">
      <w:pPr>
        <w:keepNext/>
        <w:ind w:left="0" w:firstLine="0"/>
        <w:jc w:val="both"/>
        <w:rPr>
          <w:b/>
          <w:iCs/>
          <w:color w:val="000000" w:themeColor="text1"/>
          <w:szCs w:val="22"/>
        </w:rPr>
      </w:pPr>
      <w:r w:rsidRPr="00F95A3D">
        <w:rPr>
          <w:b/>
          <w:iCs/>
          <w:color w:val="000000" w:themeColor="text1"/>
          <w:szCs w:val="22"/>
        </w:rPr>
        <w:t>3.9</w:t>
      </w:r>
      <w:r w:rsidRPr="00F95A3D">
        <w:rPr>
          <w:b/>
          <w:iCs/>
          <w:color w:val="000000" w:themeColor="text1"/>
          <w:szCs w:val="22"/>
        </w:rPr>
        <w:tab/>
      </w:r>
      <w:bookmarkStart w:id="26" w:name="_Toc213406839"/>
      <w:r w:rsidR="00E05514" w:rsidRPr="00F95A3D">
        <w:rPr>
          <w:b/>
          <w:iCs/>
          <w:color w:val="000000" w:themeColor="text1"/>
          <w:szCs w:val="22"/>
        </w:rPr>
        <w:t>Cesty podání</w:t>
      </w:r>
      <w:r w:rsidR="00251B91" w:rsidRPr="00F95A3D">
        <w:rPr>
          <w:b/>
          <w:iCs/>
          <w:color w:val="000000" w:themeColor="text1"/>
          <w:szCs w:val="22"/>
        </w:rPr>
        <w:t xml:space="preserve"> a </w:t>
      </w:r>
      <w:r w:rsidR="00E05514" w:rsidRPr="00F95A3D">
        <w:rPr>
          <w:b/>
          <w:iCs/>
          <w:color w:val="000000" w:themeColor="text1"/>
          <w:szCs w:val="22"/>
        </w:rPr>
        <w:t>dávkování</w:t>
      </w:r>
      <w:bookmarkEnd w:id="26"/>
    </w:p>
    <w:p w14:paraId="6A053299" w14:textId="77777777" w:rsidR="00225393" w:rsidRPr="00F95A3D" w:rsidRDefault="00225393" w:rsidP="00F95A3D">
      <w:pPr>
        <w:keepNext/>
        <w:ind w:left="0" w:firstLine="0"/>
        <w:jc w:val="both"/>
        <w:rPr>
          <w:i/>
          <w:iCs/>
          <w:color w:val="000000" w:themeColor="text1"/>
          <w:szCs w:val="22"/>
        </w:rPr>
      </w:pPr>
    </w:p>
    <w:p w14:paraId="128BFEEE" w14:textId="776F4D15" w:rsidR="002300BF" w:rsidRPr="00F95A3D" w:rsidRDefault="00791F98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P</w:t>
      </w:r>
      <w:r w:rsidR="002D6B27" w:rsidRPr="00F95A3D">
        <w:rPr>
          <w:rFonts w:eastAsia="Arial"/>
          <w:color w:val="000000" w:themeColor="text1"/>
          <w:szCs w:val="22"/>
        </w:rPr>
        <w:t>odání</w:t>
      </w:r>
      <w:r w:rsidR="00F77D0F" w:rsidRPr="00F95A3D">
        <w:rPr>
          <w:color w:val="000000" w:themeColor="text1"/>
          <w:szCs w:val="22"/>
        </w:rPr>
        <w:t xml:space="preserve"> v pitné vodě</w:t>
      </w:r>
    </w:p>
    <w:p w14:paraId="346F3A31" w14:textId="77777777" w:rsidR="000F4869" w:rsidRPr="00F95A3D" w:rsidRDefault="000F4869" w:rsidP="00F95A3D">
      <w:pPr>
        <w:jc w:val="both"/>
        <w:rPr>
          <w:color w:val="000000" w:themeColor="text1"/>
          <w:szCs w:val="22"/>
          <w:u w:val="single"/>
        </w:rPr>
      </w:pPr>
    </w:p>
    <w:p w14:paraId="17B5EC34" w14:textId="03ED0D01" w:rsidR="002D6B27" w:rsidRPr="00F95A3D" w:rsidRDefault="002D6B27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  <w:u w:val="single"/>
        </w:rPr>
        <w:t xml:space="preserve">Prasata a </w:t>
      </w:r>
      <w:r w:rsidR="009E1E3B" w:rsidRPr="00F95A3D">
        <w:rPr>
          <w:color w:val="000000" w:themeColor="text1"/>
          <w:szCs w:val="22"/>
          <w:u w:val="single"/>
        </w:rPr>
        <w:t>kur domácí (brojleři)</w:t>
      </w:r>
      <w:r w:rsidRPr="00F95A3D">
        <w:rPr>
          <w:color w:val="000000" w:themeColor="text1"/>
          <w:szCs w:val="22"/>
        </w:rPr>
        <w:t>:</w:t>
      </w:r>
    </w:p>
    <w:p w14:paraId="011E8E1D" w14:textId="533643F9" w:rsidR="002300BF" w:rsidRPr="00F95A3D" w:rsidRDefault="002300BF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60</w:t>
      </w:r>
      <w:r w:rsidR="00B72D38" w:rsidRPr="00F95A3D">
        <w:rPr>
          <w:color w:val="000000" w:themeColor="text1"/>
          <w:szCs w:val="22"/>
        </w:rPr>
        <w:t> 000</w:t>
      </w:r>
      <w:r w:rsidR="00A22157" w:rsidRPr="00F95A3D">
        <w:rPr>
          <w:color w:val="000000" w:themeColor="text1"/>
          <w:szCs w:val="22"/>
        </w:rPr>
        <w:t>–</w:t>
      </w:r>
      <w:r w:rsidRPr="00F95A3D">
        <w:rPr>
          <w:color w:val="000000" w:themeColor="text1"/>
          <w:szCs w:val="22"/>
        </w:rPr>
        <w:t xml:space="preserve">96 </w:t>
      </w:r>
      <w:r w:rsidR="00B72D38" w:rsidRPr="00F95A3D">
        <w:rPr>
          <w:color w:val="000000" w:themeColor="text1"/>
          <w:szCs w:val="22"/>
        </w:rPr>
        <w:t>000</w:t>
      </w:r>
      <w:r w:rsidRPr="00F95A3D">
        <w:rPr>
          <w:color w:val="000000" w:themeColor="text1"/>
          <w:szCs w:val="22"/>
        </w:rPr>
        <w:t xml:space="preserve"> IU</w:t>
      </w:r>
      <w:r w:rsidR="00B72D38" w:rsidRPr="00F95A3D">
        <w:rPr>
          <w:color w:val="000000" w:themeColor="text1"/>
          <w:szCs w:val="22"/>
        </w:rPr>
        <w:t xml:space="preserve"> kolistin sulfátu/kg ž.hm./den, což odpovídá </w:t>
      </w:r>
      <w:r w:rsidR="00A22157" w:rsidRPr="00F95A3D">
        <w:rPr>
          <w:color w:val="000000" w:themeColor="text1"/>
          <w:szCs w:val="22"/>
        </w:rPr>
        <w:t>0,05–0,08</w:t>
      </w:r>
      <w:r w:rsidR="00B72D38" w:rsidRPr="00F95A3D">
        <w:rPr>
          <w:color w:val="000000" w:themeColor="text1"/>
          <w:szCs w:val="22"/>
        </w:rPr>
        <w:t xml:space="preserve"> g </w:t>
      </w:r>
      <w:r w:rsidR="00004C59" w:rsidRPr="00F95A3D">
        <w:rPr>
          <w:color w:val="000000" w:themeColor="text1"/>
          <w:szCs w:val="22"/>
        </w:rPr>
        <w:t xml:space="preserve">veterinárního léčivého </w:t>
      </w:r>
      <w:r w:rsidR="00B72D38" w:rsidRPr="00F95A3D">
        <w:rPr>
          <w:color w:val="000000" w:themeColor="text1"/>
          <w:szCs w:val="22"/>
        </w:rPr>
        <w:t>přípravk</w:t>
      </w:r>
      <w:r w:rsidR="002D6B27" w:rsidRPr="00F95A3D">
        <w:rPr>
          <w:color w:val="000000" w:themeColor="text1"/>
          <w:szCs w:val="22"/>
        </w:rPr>
        <w:t>u na kg ž.hm a</w:t>
      </w:r>
      <w:r w:rsidR="00A02B02" w:rsidRPr="00F95A3D">
        <w:rPr>
          <w:rFonts w:ascii="Arial" w:hAnsi="Arial" w:cs="Arial"/>
          <w:color w:val="000000" w:themeColor="text1"/>
          <w:szCs w:val="22"/>
        </w:rPr>
        <w:t xml:space="preserve"> </w:t>
      </w:r>
      <w:r w:rsidR="002D6B27" w:rsidRPr="00F95A3D">
        <w:rPr>
          <w:color w:val="000000" w:themeColor="text1"/>
          <w:szCs w:val="22"/>
        </w:rPr>
        <w:t>den</w:t>
      </w:r>
      <w:r w:rsidR="001D3687" w:rsidRPr="00F95A3D">
        <w:rPr>
          <w:color w:val="000000" w:themeColor="text1"/>
          <w:szCs w:val="22"/>
        </w:rPr>
        <w:t>,</w:t>
      </w:r>
      <w:r w:rsidR="00E05514" w:rsidRPr="00F95A3D">
        <w:rPr>
          <w:color w:val="000000" w:themeColor="text1"/>
          <w:szCs w:val="22"/>
        </w:rPr>
        <w:t xml:space="preserve"> </w:t>
      </w:r>
      <w:r w:rsidR="00B72D38" w:rsidRPr="00F95A3D">
        <w:rPr>
          <w:color w:val="000000" w:themeColor="text1"/>
          <w:szCs w:val="22"/>
        </w:rPr>
        <w:t>po</w:t>
      </w:r>
      <w:r w:rsidRPr="00F95A3D">
        <w:rPr>
          <w:color w:val="000000" w:themeColor="text1"/>
          <w:szCs w:val="22"/>
        </w:rPr>
        <w:t xml:space="preserve"> dobu 3 </w:t>
      </w:r>
      <w:r w:rsidR="00B72D38" w:rsidRPr="00F95A3D">
        <w:rPr>
          <w:color w:val="000000" w:themeColor="text1"/>
          <w:szCs w:val="22"/>
        </w:rPr>
        <w:t xml:space="preserve">po sobě jdoucích </w:t>
      </w:r>
      <w:r w:rsidRPr="00F95A3D">
        <w:rPr>
          <w:color w:val="000000" w:themeColor="text1"/>
          <w:szCs w:val="22"/>
        </w:rPr>
        <w:t>dnů.</w:t>
      </w:r>
    </w:p>
    <w:p w14:paraId="11EBB03A" w14:textId="77777777" w:rsidR="00C46705" w:rsidRPr="00F95A3D" w:rsidRDefault="00C46705" w:rsidP="00F95A3D">
      <w:pPr>
        <w:ind w:left="0" w:firstLine="0"/>
        <w:jc w:val="both"/>
        <w:rPr>
          <w:color w:val="000000" w:themeColor="text1"/>
          <w:szCs w:val="22"/>
        </w:rPr>
      </w:pPr>
    </w:p>
    <w:p w14:paraId="5802B3F9" w14:textId="6A2EA61C" w:rsidR="00251B91" w:rsidRPr="00F95A3D" w:rsidRDefault="00C46705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Na základě doporučené dávky a počtu a hmotnosti zvířat, která je třeba </w:t>
      </w:r>
      <w:r w:rsidR="001D3687" w:rsidRPr="00F95A3D">
        <w:rPr>
          <w:color w:val="000000" w:themeColor="text1"/>
          <w:szCs w:val="22"/>
        </w:rPr>
        <w:t>léčit</w:t>
      </w:r>
      <w:r w:rsidRPr="00F95A3D">
        <w:rPr>
          <w:color w:val="000000" w:themeColor="text1"/>
          <w:szCs w:val="22"/>
        </w:rPr>
        <w:t>, se přesná denní koncentrace veterinárního léčivého přípravku vypočítá podle následujícího vzorce:</w:t>
      </w:r>
    </w:p>
    <w:p w14:paraId="1AA777FC" w14:textId="77777777" w:rsidR="00F95A3D" w:rsidRPr="00F95A3D" w:rsidRDefault="00F95A3D" w:rsidP="00F95A3D">
      <w:pPr>
        <w:ind w:left="0" w:firstLine="0"/>
        <w:jc w:val="both"/>
        <w:rPr>
          <w:color w:val="000000" w:themeColor="text1"/>
          <w:szCs w:val="22"/>
        </w:rPr>
      </w:pPr>
    </w:p>
    <w:tbl>
      <w:tblPr>
        <w:tblStyle w:val="Mkatabulky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5"/>
        <w:gridCol w:w="2632"/>
        <w:gridCol w:w="345"/>
        <w:gridCol w:w="3560"/>
      </w:tblGrid>
      <w:tr w:rsidR="00F95A3D" w:rsidRPr="00F95A3D" w14:paraId="1F10FB31" w14:textId="77777777" w:rsidTr="00C60527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3DFD85" w14:textId="7383942C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  <w:r w:rsidRPr="00F95A3D">
              <w:rPr>
                <w:rFonts w:eastAsia="Arial"/>
                <w:color w:val="000000" w:themeColor="text1"/>
                <w:szCs w:val="22"/>
              </w:rPr>
              <w:t>... g přípravku na kg živé hmotnosti a den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14:paraId="5D33CC6E" w14:textId="19D86302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  <w:r w:rsidRPr="00F95A3D">
              <w:rPr>
                <w:rFonts w:eastAsia="Arial"/>
                <w:color w:val="000000" w:themeColor="text1"/>
                <w:szCs w:val="22"/>
              </w:rPr>
              <w:t>×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27366E21" w14:textId="1D5B037E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  <w:r w:rsidRPr="00F95A3D">
              <w:rPr>
                <w:rFonts w:eastAsia="Arial"/>
                <w:color w:val="000000" w:themeColor="text1"/>
                <w:szCs w:val="22"/>
              </w:rPr>
              <w:t>průměrná živá hmotnost (kg) léčených zvířat</w:t>
            </w:r>
          </w:p>
        </w:tc>
        <w:tc>
          <w:tcPr>
            <w:tcW w:w="345" w:type="dxa"/>
            <w:vMerge w:val="restart"/>
            <w:vAlign w:val="center"/>
          </w:tcPr>
          <w:p w14:paraId="6B2B53BF" w14:textId="074C4B79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  <w:r w:rsidRPr="00F95A3D">
              <w:rPr>
                <w:rFonts w:eastAsia="Arial"/>
                <w:color w:val="000000" w:themeColor="text1"/>
                <w:szCs w:val="22"/>
              </w:rPr>
              <w:t>=</w:t>
            </w:r>
          </w:p>
        </w:tc>
        <w:tc>
          <w:tcPr>
            <w:tcW w:w="3560" w:type="dxa"/>
            <w:vMerge w:val="restart"/>
            <w:vAlign w:val="center"/>
          </w:tcPr>
          <w:p w14:paraId="6E2BBD7B" w14:textId="02BF7DDD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  <w:r w:rsidRPr="00F95A3D">
              <w:rPr>
                <w:rFonts w:eastAsia="Arial"/>
                <w:color w:val="000000" w:themeColor="text1"/>
                <w:szCs w:val="22"/>
              </w:rPr>
              <w:t>... g přípravku na litr pitné vody</w:t>
            </w:r>
          </w:p>
        </w:tc>
      </w:tr>
      <w:tr w:rsidR="00F95A3D" w:rsidRPr="00F95A3D" w14:paraId="3C05ACFE" w14:textId="77777777" w:rsidTr="00C60527"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31190D60" w14:textId="6A6EA3F6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  <w:r w:rsidRPr="00F95A3D">
              <w:rPr>
                <w:rFonts w:eastAsia="Arial"/>
                <w:color w:val="000000" w:themeColor="text1"/>
                <w:szCs w:val="22"/>
              </w:rPr>
              <w:t xml:space="preserve">průměrná denní spotřeba vody (l) </w:t>
            </w:r>
            <w:r w:rsidRPr="00F95A3D">
              <w:rPr>
                <w:rFonts w:eastAsia="Arial"/>
                <w:i/>
                <w:color w:val="000000" w:themeColor="text1"/>
                <w:szCs w:val="22"/>
              </w:rPr>
              <w:t>pro toto</w:t>
            </w:r>
          </w:p>
        </w:tc>
        <w:tc>
          <w:tcPr>
            <w:tcW w:w="345" w:type="dxa"/>
            <w:vMerge/>
          </w:tcPr>
          <w:p w14:paraId="322AC301" w14:textId="77777777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</w:p>
        </w:tc>
        <w:tc>
          <w:tcPr>
            <w:tcW w:w="3560" w:type="dxa"/>
            <w:vMerge/>
          </w:tcPr>
          <w:p w14:paraId="2922EDB3" w14:textId="7838B2A8" w:rsidR="00C46705" w:rsidRPr="00F95A3D" w:rsidRDefault="00C46705" w:rsidP="00F95A3D">
            <w:pPr>
              <w:rPr>
                <w:rFonts w:eastAsia="Arial"/>
                <w:color w:val="000000" w:themeColor="text1"/>
                <w:szCs w:val="22"/>
              </w:rPr>
            </w:pPr>
          </w:p>
        </w:tc>
      </w:tr>
    </w:tbl>
    <w:p w14:paraId="523E6D77" w14:textId="77777777" w:rsidR="00251B91" w:rsidRPr="00F95A3D" w:rsidRDefault="00251B91" w:rsidP="00F95A3D">
      <w:pPr>
        <w:rPr>
          <w:rFonts w:eastAsia="Arial"/>
          <w:color w:val="000000" w:themeColor="text1"/>
          <w:szCs w:val="22"/>
        </w:rPr>
      </w:pPr>
    </w:p>
    <w:p w14:paraId="66AC56A3" w14:textId="618CB206" w:rsidR="00E755E6" w:rsidRPr="00F95A3D" w:rsidRDefault="00A02B02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  <w:r w:rsidRPr="00F95A3D">
        <w:rPr>
          <w:color w:val="000000" w:themeColor="text1"/>
          <w:spacing w:val="-2"/>
          <w:szCs w:val="22"/>
          <w:lang w:eastAsia="hu-HU"/>
        </w:rPr>
        <w:t>Pro zajištění správného dávkování by měla být co nejpřesněji stanovena živá hmotnost</w:t>
      </w:r>
      <w:r w:rsidR="002D6B27" w:rsidRPr="00F95A3D">
        <w:rPr>
          <w:color w:val="000000" w:themeColor="text1"/>
          <w:spacing w:val="-2"/>
          <w:szCs w:val="22"/>
          <w:lang w:eastAsia="hu-HU"/>
        </w:rPr>
        <w:t xml:space="preserve">. </w:t>
      </w:r>
    </w:p>
    <w:p w14:paraId="080D20EB" w14:textId="77777777" w:rsidR="00E755E6" w:rsidRPr="00F95A3D" w:rsidRDefault="00E755E6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</w:p>
    <w:p w14:paraId="7BE63100" w14:textId="6D9686F0" w:rsidR="00E755E6" w:rsidRPr="00F95A3D" w:rsidRDefault="002D6B27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  <w:bookmarkStart w:id="27" w:name="_Hlk221881186"/>
      <w:r w:rsidRPr="00F95A3D">
        <w:rPr>
          <w:color w:val="000000" w:themeColor="text1"/>
          <w:spacing w:val="-2"/>
          <w:szCs w:val="22"/>
          <w:lang w:eastAsia="hu-HU"/>
        </w:rPr>
        <w:t xml:space="preserve">Spotřeba </w:t>
      </w:r>
      <w:proofErr w:type="spellStart"/>
      <w:r w:rsidR="0029734B" w:rsidRPr="00F95A3D">
        <w:rPr>
          <w:color w:val="000000" w:themeColor="text1"/>
          <w:spacing w:val="-2"/>
          <w:szCs w:val="22"/>
          <w:lang w:eastAsia="hu-HU"/>
        </w:rPr>
        <w:t>medikované</w:t>
      </w:r>
      <w:proofErr w:type="spellEnd"/>
      <w:r w:rsidR="0029734B" w:rsidRPr="00F95A3D">
        <w:rPr>
          <w:color w:val="000000" w:themeColor="text1"/>
          <w:spacing w:val="-2"/>
          <w:szCs w:val="22"/>
          <w:lang w:eastAsia="hu-HU"/>
        </w:rPr>
        <w:t xml:space="preserve"> pitné vody</w:t>
      </w:r>
      <w:r w:rsidRPr="00F95A3D">
        <w:rPr>
          <w:color w:val="000000" w:themeColor="text1"/>
          <w:spacing w:val="-2"/>
          <w:szCs w:val="22"/>
          <w:lang w:eastAsia="hu-HU"/>
        </w:rPr>
        <w:t xml:space="preserve"> závisí na klinickém stavu zvířat. Pro dosažení správné dávky může být nutné upravit koncentraci</w:t>
      </w:r>
      <w:r w:rsidR="0029734B" w:rsidRPr="00F95A3D">
        <w:rPr>
          <w:color w:val="000000" w:themeColor="text1"/>
          <w:spacing w:val="-2"/>
          <w:szCs w:val="22"/>
          <w:lang w:eastAsia="hu-HU"/>
        </w:rPr>
        <w:t xml:space="preserve"> veterinárního léčivého</w:t>
      </w:r>
      <w:r w:rsidRPr="00F95A3D">
        <w:rPr>
          <w:color w:val="000000" w:themeColor="text1"/>
          <w:spacing w:val="-2"/>
          <w:szCs w:val="22"/>
          <w:lang w:eastAsia="hu-HU"/>
        </w:rPr>
        <w:t xml:space="preserve"> přípravku v pitné vodě</w:t>
      </w:r>
      <w:r w:rsidR="00A02B02" w:rsidRPr="00F95A3D">
        <w:rPr>
          <w:color w:val="000000" w:themeColor="text1"/>
          <w:spacing w:val="-2"/>
          <w:szCs w:val="22"/>
          <w:lang w:eastAsia="hu-HU"/>
        </w:rPr>
        <w:t xml:space="preserve"> tak</w:t>
      </w:r>
      <w:r w:rsidRPr="00F95A3D">
        <w:rPr>
          <w:color w:val="000000" w:themeColor="text1"/>
          <w:spacing w:val="-2"/>
          <w:szCs w:val="22"/>
          <w:lang w:eastAsia="hu-HU"/>
        </w:rPr>
        <w:t>, aby bylo dosaženo požadované denní dávky</w:t>
      </w:r>
      <w:bookmarkEnd w:id="27"/>
      <w:r w:rsidRPr="00F95A3D">
        <w:rPr>
          <w:color w:val="000000" w:themeColor="text1"/>
          <w:spacing w:val="-2"/>
          <w:szCs w:val="22"/>
          <w:lang w:eastAsia="hu-HU"/>
        </w:rPr>
        <w:t xml:space="preserve">. </w:t>
      </w:r>
    </w:p>
    <w:p w14:paraId="5A676E5D" w14:textId="77777777" w:rsidR="00E755E6" w:rsidRPr="00F95A3D" w:rsidRDefault="00E755E6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</w:p>
    <w:p w14:paraId="0160988F" w14:textId="42C3A192" w:rsidR="002D6B27" w:rsidRPr="00F95A3D" w:rsidRDefault="0029734B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  <w:r w:rsidRPr="00F95A3D">
        <w:rPr>
          <w:color w:val="000000" w:themeColor="text1"/>
          <w:spacing w:val="-2"/>
          <w:szCs w:val="22"/>
          <w:lang w:eastAsia="hu-HU"/>
        </w:rPr>
        <w:t>Je doporučeno</w:t>
      </w:r>
      <w:r w:rsidR="002D6B27" w:rsidRPr="00F95A3D">
        <w:rPr>
          <w:color w:val="000000" w:themeColor="text1"/>
          <w:spacing w:val="-2"/>
          <w:szCs w:val="22"/>
          <w:lang w:eastAsia="hu-HU"/>
        </w:rPr>
        <w:t xml:space="preserve"> používat správně kalibrované váhy v případě, pokud jsou používány pouze části balení.</w:t>
      </w:r>
    </w:p>
    <w:p w14:paraId="71C94C62" w14:textId="566D9C36" w:rsidR="002D6B27" w:rsidRPr="00F95A3D" w:rsidRDefault="0029734B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  <w:bookmarkStart w:id="28" w:name="_Hlk221881240"/>
      <w:r w:rsidRPr="00F95A3D">
        <w:rPr>
          <w:color w:val="000000" w:themeColor="text1"/>
          <w:spacing w:val="-2"/>
          <w:szCs w:val="22"/>
          <w:lang w:eastAsia="hu-HU"/>
        </w:rPr>
        <w:t xml:space="preserve">Vypočtené denní množství veterinárního léčivého přípravku má být přidáno do pitné vody tak, aby byla </w:t>
      </w:r>
      <w:proofErr w:type="spellStart"/>
      <w:r w:rsidRPr="00F95A3D">
        <w:rPr>
          <w:color w:val="000000" w:themeColor="text1"/>
          <w:spacing w:val="-2"/>
          <w:szCs w:val="22"/>
          <w:lang w:eastAsia="hu-HU"/>
        </w:rPr>
        <w:t>medikovaná</w:t>
      </w:r>
      <w:proofErr w:type="spellEnd"/>
      <w:r w:rsidRPr="00F95A3D">
        <w:rPr>
          <w:color w:val="000000" w:themeColor="text1"/>
          <w:spacing w:val="-2"/>
          <w:szCs w:val="22"/>
          <w:lang w:eastAsia="hu-HU"/>
        </w:rPr>
        <w:t xml:space="preserve"> voda spotřebována do 24 hodin</w:t>
      </w:r>
      <w:r w:rsidR="002D6B27" w:rsidRPr="00F95A3D">
        <w:rPr>
          <w:color w:val="000000" w:themeColor="text1"/>
          <w:spacing w:val="-2"/>
          <w:szCs w:val="22"/>
          <w:lang w:eastAsia="hu-HU"/>
        </w:rPr>
        <w:t xml:space="preserve">. </w:t>
      </w:r>
      <w:r w:rsidRPr="00F95A3D">
        <w:rPr>
          <w:color w:val="000000" w:themeColor="text1"/>
          <w:spacing w:val="-2"/>
          <w:szCs w:val="22"/>
          <w:lang w:eastAsia="hu-HU"/>
        </w:rPr>
        <w:t xml:space="preserve">Medikovanou pitnou </w:t>
      </w:r>
      <w:bookmarkEnd w:id="28"/>
      <w:r w:rsidR="002D6B27" w:rsidRPr="00F95A3D">
        <w:rPr>
          <w:color w:val="000000" w:themeColor="text1"/>
          <w:spacing w:val="-2"/>
          <w:szCs w:val="22"/>
          <w:lang w:eastAsia="hu-HU"/>
        </w:rPr>
        <w:t xml:space="preserve">vodu je nutno připravovat každých 24 hodin čerstvou. </w:t>
      </w:r>
    </w:p>
    <w:p w14:paraId="528452C6" w14:textId="77777777" w:rsidR="002D6B27" w:rsidRPr="00F95A3D" w:rsidRDefault="002D6B27" w:rsidP="00F95A3D">
      <w:pPr>
        <w:ind w:left="0" w:firstLine="0"/>
        <w:jc w:val="both"/>
        <w:rPr>
          <w:color w:val="000000" w:themeColor="text1"/>
          <w:spacing w:val="-2"/>
          <w:szCs w:val="22"/>
          <w:lang w:eastAsia="hu-HU"/>
        </w:rPr>
      </w:pPr>
      <w:r w:rsidRPr="00F95A3D">
        <w:rPr>
          <w:color w:val="000000" w:themeColor="text1"/>
          <w:spacing w:val="-2"/>
          <w:szCs w:val="22"/>
          <w:lang w:eastAsia="hu-HU"/>
        </w:rPr>
        <w:t>Doba trvání léčby by měla být omezena na minimální dobu nutnou k vyléčení onemocnění.</w:t>
      </w:r>
    </w:p>
    <w:p w14:paraId="71AC4B87" w14:textId="77777777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79DA7CA4" w14:textId="3F212722" w:rsidR="00251B91" w:rsidRPr="00F95A3D" w:rsidRDefault="00225393" w:rsidP="00F95A3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29" w:name="_Toc213406840"/>
      <w:bookmarkStart w:id="30" w:name="_Hlk214942966"/>
      <w:r w:rsidRPr="00F95A3D">
        <w:rPr>
          <w:b/>
          <w:iCs/>
          <w:color w:val="000000" w:themeColor="text1"/>
          <w:szCs w:val="22"/>
        </w:rPr>
        <w:t>3.10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P</w:t>
      </w:r>
      <w:r w:rsidR="009E4EB9" w:rsidRPr="00F95A3D">
        <w:rPr>
          <w:b/>
          <w:iCs/>
          <w:color w:val="000000" w:themeColor="text1"/>
          <w:szCs w:val="22"/>
        </w:rPr>
        <w:t>říznaky p</w:t>
      </w:r>
      <w:r w:rsidR="00251B91" w:rsidRPr="00F95A3D">
        <w:rPr>
          <w:b/>
          <w:iCs/>
          <w:color w:val="000000" w:themeColor="text1"/>
          <w:szCs w:val="22"/>
        </w:rPr>
        <w:t>ředávkování (</w:t>
      </w:r>
      <w:r w:rsidR="009E4EB9" w:rsidRPr="00F95A3D">
        <w:rPr>
          <w:b/>
          <w:iCs/>
          <w:color w:val="000000" w:themeColor="text1"/>
          <w:szCs w:val="22"/>
        </w:rPr>
        <w:t>a kde je relevantní</w:t>
      </w:r>
      <w:r w:rsidR="00251B91" w:rsidRPr="00F95A3D">
        <w:rPr>
          <w:b/>
          <w:iCs/>
          <w:color w:val="000000" w:themeColor="text1"/>
          <w:szCs w:val="22"/>
        </w:rPr>
        <w:t>, první pomoc</w:t>
      </w:r>
      <w:r w:rsidR="009E4EB9" w:rsidRPr="00F95A3D">
        <w:rPr>
          <w:b/>
          <w:iCs/>
          <w:color w:val="000000" w:themeColor="text1"/>
          <w:szCs w:val="22"/>
        </w:rPr>
        <w:t xml:space="preserve"> a</w:t>
      </w:r>
      <w:r w:rsidR="00251B91" w:rsidRPr="00F95A3D">
        <w:rPr>
          <w:b/>
          <w:iCs/>
          <w:color w:val="000000" w:themeColor="text1"/>
          <w:szCs w:val="22"/>
        </w:rPr>
        <w:t xml:space="preserve"> antidota)</w:t>
      </w:r>
      <w:bookmarkEnd w:id="29"/>
    </w:p>
    <w:p w14:paraId="6B5C1387" w14:textId="77777777" w:rsidR="00225393" w:rsidRPr="00F95A3D" w:rsidRDefault="00225393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077027CA" w14:textId="77777777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Nejsou.</w:t>
      </w:r>
    </w:p>
    <w:bookmarkEnd w:id="30"/>
    <w:p w14:paraId="178AA06A" w14:textId="77777777" w:rsidR="009E4EB9" w:rsidRPr="00F95A3D" w:rsidRDefault="009E4EB9" w:rsidP="00F95A3D">
      <w:pPr>
        <w:ind w:left="0" w:firstLine="0"/>
        <w:jc w:val="both"/>
        <w:rPr>
          <w:bCs/>
          <w:color w:val="000000" w:themeColor="text1"/>
          <w:szCs w:val="22"/>
        </w:rPr>
      </w:pPr>
    </w:p>
    <w:p w14:paraId="74B32714" w14:textId="7E8EFBB3" w:rsidR="00251B91" w:rsidRPr="00F95A3D" w:rsidRDefault="00225393" w:rsidP="00F95A3D">
      <w:pPr>
        <w:jc w:val="both"/>
        <w:rPr>
          <w:b/>
          <w:iCs/>
          <w:color w:val="000000" w:themeColor="text1"/>
          <w:szCs w:val="22"/>
        </w:rPr>
      </w:pPr>
      <w:bookmarkStart w:id="31" w:name="_Toc213406841"/>
      <w:bookmarkStart w:id="32" w:name="_Hlk214942993"/>
      <w:r w:rsidRPr="00F95A3D">
        <w:rPr>
          <w:b/>
          <w:iCs/>
          <w:color w:val="000000" w:themeColor="text1"/>
          <w:szCs w:val="22"/>
        </w:rPr>
        <w:t>3.11</w:t>
      </w:r>
      <w:r w:rsidRPr="00F95A3D">
        <w:rPr>
          <w:b/>
          <w:iCs/>
          <w:color w:val="000000" w:themeColor="text1"/>
          <w:szCs w:val="22"/>
        </w:rPr>
        <w:tab/>
      </w:r>
      <w:r w:rsidR="009E4EB9" w:rsidRPr="00F95A3D">
        <w:rPr>
          <w:b/>
          <w:iCs/>
          <w:color w:val="000000" w:themeColor="text1"/>
          <w:szCs w:val="22"/>
        </w:rPr>
        <w:t xml:space="preserve">Zvláštní omezení pro použití a zvláštní podmínky pro použití, včetně omezení používání antimikrobních a </w:t>
      </w:r>
      <w:proofErr w:type="spellStart"/>
      <w:r w:rsidR="009E4EB9" w:rsidRPr="00F95A3D">
        <w:rPr>
          <w:b/>
          <w:iCs/>
          <w:color w:val="000000" w:themeColor="text1"/>
          <w:szCs w:val="22"/>
        </w:rPr>
        <w:t>antiparazitárních</w:t>
      </w:r>
      <w:proofErr w:type="spellEnd"/>
      <w:r w:rsidR="009E4EB9" w:rsidRPr="00F95A3D">
        <w:rPr>
          <w:b/>
          <w:iCs/>
          <w:color w:val="000000" w:themeColor="text1"/>
          <w:szCs w:val="22"/>
        </w:rPr>
        <w:t xml:space="preserve"> veterinárních léčivých přípravků, za účelem snížení rizika rozvoje rezistence</w:t>
      </w:r>
      <w:bookmarkEnd w:id="31"/>
    </w:p>
    <w:p w14:paraId="4E5B091F" w14:textId="77777777" w:rsidR="00225393" w:rsidRPr="00F95A3D" w:rsidRDefault="00225393" w:rsidP="00F95A3D">
      <w:pPr>
        <w:jc w:val="both"/>
        <w:rPr>
          <w:i/>
          <w:iCs/>
          <w:color w:val="000000" w:themeColor="text1"/>
          <w:szCs w:val="22"/>
        </w:rPr>
      </w:pPr>
    </w:p>
    <w:p w14:paraId="0238E804" w14:textId="5558DDCC" w:rsidR="009E4EB9" w:rsidRPr="00F95A3D" w:rsidRDefault="009E4EB9" w:rsidP="00F95A3D">
      <w:pPr>
        <w:ind w:left="0" w:firstLine="0"/>
        <w:jc w:val="both"/>
        <w:rPr>
          <w:color w:val="000000" w:themeColor="text1"/>
          <w:szCs w:val="22"/>
        </w:rPr>
      </w:pPr>
      <w:bookmarkStart w:id="33" w:name="_Hlk212556620"/>
      <w:r w:rsidRPr="00F95A3D">
        <w:rPr>
          <w:color w:val="000000" w:themeColor="text1"/>
          <w:szCs w:val="22"/>
        </w:rPr>
        <w:t>Nepoužívejte pro profylaxi.</w:t>
      </w:r>
      <w:bookmarkEnd w:id="33"/>
    </w:p>
    <w:bookmarkEnd w:id="32"/>
    <w:p w14:paraId="4DF9ACC1" w14:textId="77777777" w:rsidR="009E4EB9" w:rsidRPr="00F95A3D" w:rsidRDefault="009E4EB9" w:rsidP="00F95A3D">
      <w:pPr>
        <w:ind w:left="0" w:firstLine="0"/>
        <w:jc w:val="both"/>
        <w:rPr>
          <w:color w:val="000000" w:themeColor="text1"/>
          <w:szCs w:val="22"/>
        </w:rPr>
      </w:pPr>
    </w:p>
    <w:p w14:paraId="17EF1B09" w14:textId="5505518A" w:rsidR="00251B91" w:rsidRPr="00F95A3D" w:rsidRDefault="00225393" w:rsidP="00F95A3D">
      <w:pPr>
        <w:ind w:left="0" w:firstLine="0"/>
        <w:jc w:val="both"/>
        <w:rPr>
          <w:bCs/>
          <w:color w:val="000000" w:themeColor="text1"/>
          <w:szCs w:val="22"/>
        </w:rPr>
      </w:pPr>
      <w:bookmarkStart w:id="34" w:name="_Toc213406842"/>
      <w:r w:rsidRPr="00F95A3D">
        <w:rPr>
          <w:b/>
          <w:iCs/>
          <w:color w:val="000000" w:themeColor="text1"/>
          <w:szCs w:val="22"/>
        </w:rPr>
        <w:t>3.12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Ochranné lhůty</w:t>
      </w:r>
      <w:bookmarkEnd w:id="34"/>
    </w:p>
    <w:p w14:paraId="286F9612" w14:textId="77777777" w:rsidR="00225393" w:rsidRPr="00F95A3D" w:rsidRDefault="00225393" w:rsidP="00F95A3D">
      <w:pPr>
        <w:ind w:left="0" w:firstLine="0"/>
        <w:jc w:val="both"/>
        <w:rPr>
          <w:b/>
          <w:bCs/>
          <w:color w:val="000000" w:themeColor="text1"/>
          <w:szCs w:val="22"/>
        </w:rPr>
      </w:pPr>
    </w:p>
    <w:p w14:paraId="7DD9277C" w14:textId="483CF44F" w:rsidR="00251B91" w:rsidRPr="00F95A3D" w:rsidRDefault="00B72D38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bCs/>
          <w:color w:val="000000" w:themeColor="text1"/>
          <w:szCs w:val="22"/>
        </w:rPr>
        <w:t>Prasata: Maso</w:t>
      </w:r>
      <w:r w:rsidR="00F5659E" w:rsidRPr="00F95A3D">
        <w:rPr>
          <w:bCs/>
          <w:color w:val="000000" w:themeColor="text1"/>
          <w:szCs w:val="22"/>
        </w:rPr>
        <w:t>:</w:t>
      </w:r>
      <w:r w:rsidRPr="00F95A3D">
        <w:rPr>
          <w:bCs/>
          <w:color w:val="000000" w:themeColor="text1"/>
          <w:szCs w:val="22"/>
        </w:rPr>
        <w:t xml:space="preserve"> 2 dny</w:t>
      </w:r>
    </w:p>
    <w:p w14:paraId="0ECCB011" w14:textId="657553B6" w:rsidR="00251B91" w:rsidRPr="00F95A3D" w:rsidRDefault="00F5659E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Kur domácí (brojleři): Maso: </w:t>
      </w:r>
      <w:r w:rsidR="00B72D38" w:rsidRPr="00F95A3D">
        <w:rPr>
          <w:color w:val="000000" w:themeColor="text1"/>
          <w:szCs w:val="22"/>
        </w:rPr>
        <w:t>2 dny</w:t>
      </w:r>
    </w:p>
    <w:p w14:paraId="5A802A08" w14:textId="06C1475A" w:rsidR="008C68F3" w:rsidRPr="00F95A3D" w:rsidRDefault="008C68F3" w:rsidP="008C68F3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Nepoužívat u ptáků snášejících nebo určených ke snášce vajec pro lidskou spotřebu.</w:t>
      </w:r>
    </w:p>
    <w:p w14:paraId="1FBEC146" w14:textId="77777777" w:rsidR="007603DD" w:rsidRPr="00F95A3D" w:rsidRDefault="007603DD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3FE1C8DA" w14:textId="3013EEA1" w:rsidR="00225393" w:rsidRPr="001234D0" w:rsidRDefault="00225393" w:rsidP="00F95A3D">
      <w:pPr>
        <w:keepNext/>
        <w:ind w:left="0" w:firstLine="0"/>
        <w:jc w:val="both"/>
        <w:rPr>
          <w:b/>
          <w:caps/>
          <w:color w:val="000000" w:themeColor="text1"/>
          <w:szCs w:val="22"/>
          <w:rPrChange w:id="35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</w:pPr>
      <w:bookmarkStart w:id="36" w:name="_Toc137553236"/>
      <w:bookmarkStart w:id="37" w:name="_Toc213406843"/>
      <w:r w:rsidRPr="001234D0">
        <w:rPr>
          <w:b/>
          <w:caps/>
          <w:color w:val="000000" w:themeColor="text1"/>
          <w:szCs w:val="22"/>
          <w:rPrChange w:id="38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lastRenderedPageBreak/>
        <w:t>4.</w:t>
      </w:r>
      <w:r w:rsidRPr="001234D0">
        <w:rPr>
          <w:b/>
          <w:caps/>
          <w:color w:val="000000" w:themeColor="text1"/>
          <w:szCs w:val="22"/>
          <w:rPrChange w:id="39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ab/>
      </w:r>
      <w:r w:rsidR="00251B91" w:rsidRPr="001234D0">
        <w:rPr>
          <w:b/>
          <w:caps/>
          <w:color w:val="000000" w:themeColor="text1"/>
          <w:szCs w:val="22"/>
          <w:rPrChange w:id="40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 xml:space="preserve">FARMAKOLOGICKÉ </w:t>
      </w:r>
      <w:bookmarkEnd w:id="36"/>
      <w:r w:rsidR="009E4EB9" w:rsidRPr="001234D0">
        <w:rPr>
          <w:b/>
          <w:caps/>
          <w:color w:val="000000" w:themeColor="text1"/>
          <w:szCs w:val="22"/>
          <w:rPrChange w:id="41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>informace</w:t>
      </w:r>
      <w:bookmarkEnd w:id="37"/>
    </w:p>
    <w:p w14:paraId="2A6D9B73" w14:textId="07B668D7" w:rsidR="00251B91" w:rsidRPr="00F95A3D" w:rsidRDefault="009E4EB9" w:rsidP="00F95A3D">
      <w:pPr>
        <w:keepNext/>
        <w:ind w:left="0" w:firstLine="0"/>
        <w:jc w:val="both"/>
        <w:rPr>
          <w:b/>
          <w:color w:val="000000" w:themeColor="text1"/>
          <w:szCs w:val="22"/>
        </w:rPr>
      </w:pPr>
      <w:r w:rsidRPr="001234D0">
        <w:rPr>
          <w:b/>
          <w:caps/>
          <w:color w:val="000000" w:themeColor="text1"/>
          <w:szCs w:val="22"/>
          <w:rPrChange w:id="42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 xml:space="preserve"> </w:t>
      </w:r>
      <w:bookmarkStart w:id="43" w:name="_Toc213406844"/>
      <w:bookmarkEnd w:id="43"/>
    </w:p>
    <w:p w14:paraId="4A29F00A" w14:textId="5103EB18" w:rsidR="00251B91" w:rsidRPr="00F95A3D" w:rsidRDefault="00225393" w:rsidP="00F95A3D">
      <w:pPr>
        <w:keepNext/>
        <w:ind w:left="0" w:firstLine="0"/>
        <w:jc w:val="both"/>
        <w:rPr>
          <w:bCs/>
          <w:iCs/>
          <w:color w:val="000000" w:themeColor="text1"/>
          <w:szCs w:val="22"/>
        </w:rPr>
      </w:pPr>
      <w:bookmarkStart w:id="44" w:name="_Toc213404122"/>
      <w:r w:rsidRPr="00F95A3D">
        <w:rPr>
          <w:b/>
          <w:iCs/>
          <w:color w:val="000000" w:themeColor="text1"/>
          <w:szCs w:val="22"/>
        </w:rPr>
        <w:t>4.1</w:t>
      </w:r>
      <w:r w:rsidRPr="00F95A3D">
        <w:rPr>
          <w:b/>
          <w:iCs/>
          <w:color w:val="000000" w:themeColor="text1"/>
          <w:szCs w:val="22"/>
        </w:rPr>
        <w:tab/>
      </w:r>
      <w:bookmarkStart w:id="45" w:name="_Toc213406845"/>
      <w:bookmarkStart w:id="46" w:name="_Toc213406846"/>
      <w:bookmarkEnd w:id="44"/>
      <w:bookmarkEnd w:id="45"/>
      <w:proofErr w:type="spellStart"/>
      <w:r w:rsidR="00251B91" w:rsidRPr="00F95A3D">
        <w:rPr>
          <w:b/>
          <w:iCs/>
          <w:color w:val="000000" w:themeColor="text1"/>
          <w:szCs w:val="22"/>
        </w:rPr>
        <w:t>ATCvet</w:t>
      </w:r>
      <w:proofErr w:type="spellEnd"/>
      <w:r w:rsidR="00251B91" w:rsidRPr="00F95A3D">
        <w:rPr>
          <w:b/>
          <w:iCs/>
          <w:color w:val="000000" w:themeColor="text1"/>
          <w:szCs w:val="22"/>
        </w:rPr>
        <w:t xml:space="preserve"> kód</w:t>
      </w:r>
      <w:r w:rsidR="00251B91" w:rsidRPr="00F95A3D">
        <w:rPr>
          <w:b/>
          <w:bCs/>
          <w:iCs/>
          <w:color w:val="000000" w:themeColor="text1"/>
          <w:szCs w:val="22"/>
        </w:rPr>
        <w:t xml:space="preserve">: </w:t>
      </w:r>
      <w:r w:rsidR="00251B91" w:rsidRPr="00F95A3D">
        <w:rPr>
          <w:bCs/>
          <w:iCs/>
          <w:color w:val="000000" w:themeColor="text1"/>
          <w:szCs w:val="22"/>
        </w:rPr>
        <w:t>QA07AA10</w:t>
      </w:r>
      <w:bookmarkEnd w:id="46"/>
    </w:p>
    <w:p w14:paraId="4FA208A7" w14:textId="77777777" w:rsidR="00225393" w:rsidRPr="00F95A3D" w:rsidRDefault="00225393" w:rsidP="00F95A3D">
      <w:pPr>
        <w:keepNext/>
        <w:ind w:left="0" w:firstLine="0"/>
        <w:jc w:val="both"/>
        <w:rPr>
          <w:color w:val="000000" w:themeColor="text1"/>
          <w:szCs w:val="22"/>
        </w:rPr>
      </w:pPr>
    </w:p>
    <w:p w14:paraId="51F37544" w14:textId="3A7F9FBF" w:rsidR="00251B91" w:rsidRPr="00F95A3D" w:rsidRDefault="00225393" w:rsidP="00F95A3D">
      <w:pPr>
        <w:keepNext/>
        <w:ind w:left="0" w:firstLine="0"/>
        <w:jc w:val="both"/>
        <w:rPr>
          <w:b/>
          <w:iCs/>
          <w:color w:val="000000" w:themeColor="text1"/>
          <w:szCs w:val="22"/>
        </w:rPr>
      </w:pPr>
      <w:bookmarkStart w:id="47" w:name="_Toc213406847"/>
      <w:bookmarkEnd w:id="47"/>
      <w:r w:rsidRPr="00F95A3D">
        <w:rPr>
          <w:b/>
          <w:iCs/>
          <w:color w:val="000000" w:themeColor="text1"/>
          <w:szCs w:val="22"/>
        </w:rPr>
        <w:t>4.2</w:t>
      </w:r>
      <w:r w:rsidRPr="00F95A3D">
        <w:rPr>
          <w:b/>
          <w:iCs/>
          <w:color w:val="000000" w:themeColor="text1"/>
          <w:szCs w:val="22"/>
        </w:rPr>
        <w:tab/>
      </w:r>
      <w:bookmarkStart w:id="48" w:name="_Toc213406848"/>
      <w:r w:rsidR="00251B91" w:rsidRPr="00F95A3D">
        <w:rPr>
          <w:b/>
          <w:iCs/>
          <w:color w:val="000000" w:themeColor="text1"/>
          <w:szCs w:val="22"/>
        </w:rPr>
        <w:t>Farmakodynami</w:t>
      </w:r>
      <w:r w:rsidR="00CD4CA5" w:rsidRPr="00F95A3D">
        <w:rPr>
          <w:b/>
          <w:iCs/>
          <w:color w:val="000000" w:themeColor="text1"/>
          <w:szCs w:val="22"/>
        </w:rPr>
        <w:t>ka</w:t>
      </w:r>
      <w:bookmarkEnd w:id="48"/>
    </w:p>
    <w:p w14:paraId="29E70CDE" w14:textId="77777777" w:rsidR="00225393" w:rsidRPr="00F95A3D" w:rsidRDefault="00225393" w:rsidP="00F95A3D">
      <w:pPr>
        <w:keepNext/>
        <w:ind w:left="0" w:firstLine="0"/>
        <w:jc w:val="both"/>
        <w:rPr>
          <w:i/>
          <w:iCs/>
          <w:color w:val="000000" w:themeColor="text1"/>
          <w:szCs w:val="22"/>
        </w:rPr>
      </w:pPr>
    </w:p>
    <w:p w14:paraId="3FA3983C" w14:textId="77777777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 xml:space="preserve">Kolistin je polypeptidové antibiotikum patřící do třídy polymyxinů. </w:t>
      </w:r>
    </w:p>
    <w:p w14:paraId="38E6C0E0" w14:textId="4D203136" w:rsidR="00251B91" w:rsidRPr="00F95A3D" w:rsidRDefault="00B72D38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Baktericidní účinek kolistinu spočívá v zásahu do struktury a funkce cytoplazmatické membrány, ale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>zčásti i buněčné stěny gramnegativní bakteriální buňky. Poškození osmotické bariéry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>cytoplazmatické membrány vede k úniku nitrobuněčných komponent. Molekula kolistinu je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>komponována tak, že umožňuje interakci s fosfolipidy a lipopolysacharidy buněčné stěny. K narušení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>elektrostatické rovnováhy dochází vytěsňováním bivalentních kationtů (Ca</w:t>
      </w:r>
      <w:r w:rsidRPr="00F95A3D">
        <w:rPr>
          <w:rFonts w:eastAsia="Arial"/>
          <w:color w:val="000000" w:themeColor="text1"/>
          <w:szCs w:val="22"/>
          <w:vertAlign w:val="superscript"/>
        </w:rPr>
        <w:t>2+</w:t>
      </w:r>
      <w:r w:rsidRPr="00F95A3D">
        <w:rPr>
          <w:rFonts w:eastAsia="Arial"/>
          <w:color w:val="000000" w:themeColor="text1"/>
          <w:szCs w:val="22"/>
        </w:rPr>
        <w:t xml:space="preserve"> a Mg</w:t>
      </w:r>
      <w:r w:rsidRPr="00F95A3D">
        <w:rPr>
          <w:rFonts w:eastAsia="Arial"/>
          <w:color w:val="000000" w:themeColor="text1"/>
          <w:szCs w:val="22"/>
          <w:vertAlign w:val="superscript"/>
        </w:rPr>
        <w:t>2+</w:t>
      </w:r>
      <w:r w:rsidRPr="00F95A3D">
        <w:rPr>
          <w:rFonts w:eastAsia="Arial"/>
          <w:color w:val="000000" w:themeColor="text1"/>
          <w:szCs w:val="22"/>
        </w:rPr>
        <w:t>) z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>negativně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>nabitých fosfátových skupin lipidů membrány.</w:t>
      </w:r>
    </w:p>
    <w:p w14:paraId="2FD3F839" w14:textId="19E1AAB6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Kolistin má silný baktericidní účinek proti gramnegativním bakte</w:t>
      </w:r>
      <w:r w:rsidR="00B72D38" w:rsidRPr="00F95A3D">
        <w:rPr>
          <w:rFonts w:eastAsia="Arial"/>
          <w:color w:val="000000" w:themeColor="text1"/>
          <w:szCs w:val="22"/>
        </w:rPr>
        <w:t xml:space="preserve">riím, </w:t>
      </w:r>
      <w:r w:rsidR="00B15946" w:rsidRPr="00F95A3D">
        <w:rPr>
          <w:rFonts w:eastAsia="Arial"/>
          <w:color w:val="000000" w:themeColor="text1"/>
          <w:szCs w:val="22"/>
        </w:rPr>
        <w:t xml:space="preserve">zejména proti </w:t>
      </w:r>
      <w:proofErr w:type="spellStart"/>
      <w:r w:rsidR="00B72D38" w:rsidRPr="00F95A3D">
        <w:rPr>
          <w:rFonts w:eastAsia="Arial"/>
          <w:color w:val="000000" w:themeColor="text1"/>
          <w:szCs w:val="22"/>
        </w:rPr>
        <w:t>enterobakteriím</w:t>
      </w:r>
      <w:proofErr w:type="spellEnd"/>
      <w:r w:rsidR="00B15946" w:rsidRPr="00F95A3D">
        <w:rPr>
          <w:rFonts w:eastAsia="Arial"/>
          <w:color w:val="000000" w:themeColor="text1"/>
          <w:szCs w:val="22"/>
        </w:rPr>
        <w:t>, včetně</w:t>
      </w:r>
      <w:r w:rsidRPr="00F95A3D">
        <w:rPr>
          <w:rFonts w:eastAsia="Arial"/>
          <w:color w:val="000000" w:themeColor="text1"/>
          <w:szCs w:val="22"/>
        </w:rPr>
        <w:t xml:space="preserve"> </w:t>
      </w:r>
      <w:proofErr w:type="spellStart"/>
      <w:r w:rsidRPr="00F95A3D">
        <w:rPr>
          <w:rFonts w:eastAsia="Arial"/>
          <w:i/>
          <w:iCs/>
          <w:color w:val="000000" w:themeColor="text1"/>
          <w:szCs w:val="22"/>
        </w:rPr>
        <w:t>Escherichia</w:t>
      </w:r>
      <w:proofErr w:type="spellEnd"/>
      <w:r w:rsidRPr="00F95A3D">
        <w:rPr>
          <w:rFonts w:eastAsia="Arial"/>
          <w:i/>
          <w:iCs/>
          <w:color w:val="000000" w:themeColor="text1"/>
          <w:szCs w:val="22"/>
        </w:rPr>
        <w:t xml:space="preserve"> coli</w:t>
      </w:r>
      <w:r w:rsidRPr="00F95A3D">
        <w:rPr>
          <w:rFonts w:eastAsia="Arial"/>
          <w:color w:val="000000" w:themeColor="text1"/>
          <w:szCs w:val="22"/>
        </w:rPr>
        <w:t xml:space="preserve">. </w:t>
      </w:r>
      <w:r w:rsidR="00B72D38" w:rsidRPr="00F95A3D">
        <w:rPr>
          <w:rFonts w:eastAsia="Arial"/>
          <w:color w:val="000000" w:themeColor="text1"/>
          <w:szCs w:val="22"/>
        </w:rPr>
        <w:t xml:space="preserve">Do spektra působení lze zahrnout </w:t>
      </w:r>
      <w:r w:rsidR="00B72D38" w:rsidRPr="00F95A3D">
        <w:rPr>
          <w:rFonts w:eastAsia="Arial"/>
          <w:i/>
          <w:color w:val="000000" w:themeColor="text1"/>
          <w:szCs w:val="22"/>
        </w:rPr>
        <w:t xml:space="preserve">Pseudomonas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aeruginosa</w:t>
      </w:r>
      <w:proofErr w:type="spellEnd"/>
      <w:r w:rsidR="00B72D38" w:rsidRPr="00F95A3D">
        <w:rPr>
          <w:rFonts w:eastAsia="Arial"/>
          <w:i/>
          <w:color w:val="000000" w:themeColor="text1"/>
          <w:szCs w:val="22"/>
        </w:rPr>
        <w:t xml:space="preserve">,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Bordetella</w:t>
      </w:r>
      <w:proofErr w:type="spellEnd"/>
      <w:r w:rsidR="00AA1566" w:rsidRPr="00F95A3D">
        <w:rPr>
          <w:rFonts w:eastAsia="Arial"/>
          <w:i/>
          <w:color w:val="000000" w:themeColor="text1"/>
          <w:szCs w:val="22"/>
        </w:rPr>
        <w:t xml:space="preserve">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bronchiseptica</w:t>
      </w:r>
      <w:proofErr w:type="spellEnd"/>
      <w:r w:rsidR="00B72D38" w:rsidRPr="00F95A3D">
        <w:rPr>
          <w:rFonts w:eastAsia="Arial"/>
          <w:color w:val="000000" w:themeColor="text1"/>
          <w:szCs w:val="22"/>
        </w:rPr>
        <w:t xml:space="preserve"> a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Acinetobacter</w:t>
      </w:r>
      <w:proofErr w:type="spellEnd"/>
      <w:r w:rsidR="00B72D38" w:rsidRPr="00F95A3D">
        <w:rPr>
          <w:rFonts w:eastAsia="Arial"/>
          <w:color w:val="000000" w:themeColor="text1"/>
          <w:szCs w:val="22"/>
        </w:rPr>
        <w:t xml:space="preserve"> spp. Rozdílná může být citlivost kmenů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Klebsiella</w:t>
      </w:r>
      <w:proofErr w:type="spellEnd"/>
      <w:r w:rsidR="00B72D38" w:rsidRPr="00F95A3D">
        <w:rPr>
          <w:rFonts w:eastAsia="Arial"/>
          <w:color w:val="000000" w:themeColor="text1"/>
          <w:szCs w:val="22"/>
        </w:rPr>
        <w:t xml:space="preserve"> spp.,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Yersinia</w:t>
      </w:r>
      <w:proofErr w:type="spellEnd"/>
      <w:r w:rsidR="00B72D38" w:rsidRPr="00F95A3D">
        <w:rPr>
          <w:rFonts w:eastAsia="Arial"/>
          <w:i/>
          <w:color w:val="000000" w:themeColor="text1"/>
          <w:szCs w:val="22"/>
        </w:rPr>
        <w:t xml:space="preserve"> </w:t>
      </w:r>
      <w:r w:rsidR="003411F6" w:rsidRPr="00F95A3D">
        <w:rPr>
          <w:rFonts w:eastAsia="Arial"/>
          <w:color w:val="000000" w:themeColor="text1"/>
          <w:szCs w:val="22"/>
        </w:rPr>
        <w:t>spp.</w:t>
      </w:r>
      <w:r w:rsidR="00AA1566" w:rsidRPr="00F95A3D">
        <w:rPr>
          <w:rFonts w:eastAsia="Arial"/>
          <w:color w:val="000000" w:themeColor="text1"/>
          <w:szCs w:val="22"/>
        </w:rPr>
        <w:t xml:space="preserve"> </w:t>
      </w:r>
      <w:r w:rsidR="0002331D" w:rsidRPr="00F95A3D">
        <w:rPr>
          <w:rFonts w:eastAsia="Arial"/>
          <w:color w:val="000000" w:themeColor="text1"/>
          <w:szCs w:val="22"/>
        </w:rPr>
        <w:t>Z </w:t>
      </w:r>
      <w:r w:rsidR="00B72D38" w:rsidRPr="00F95A3D">
        <w:rPr>
          <w:rFonts w:eastAsia="Arial"/>
          <w:color w:val="000000" w:themeColor="text1"/>
          <w:szCs w:val="22"/>
        </w:rPr>
        <w:t xml:space="preserve">gramnegativních tyčinek jsou citlivé druhy z rodu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Pasteurella</w:t>
      </w:r>
      <w:proofErr w:type="spellEnd"/>
      <w:r w:rsidR="00B72D38" w:rsidRPr="00F95A3D">
        <w:rPr>
          <w:rFonts w:eastAsia="Arial"/>
          <w:color w:val="000000" w:themeColor="text1"/>
          <w:szCs w:val="22"/>
        </w:rPr>
        <w:t xml:space="preserve"> spp., </w:t>
      </w:r>
      <w:proofErr w:type="spellStart"/>
      <w:r w:rsidR="00B72D38" w:rsidRPr="00F95A3D">
        <w:rPr>
          <w:rFonts w:eastAsia="Arial"/>
          <w:i/>
          <w:color w:val="000000" w:themeColor="text1"/>
          <w:szCs w:val="22"/>
        </w:rPr>
        <w:t>Actinobacillus</w:t>
      </w:r>
      <w:proofErr w:type="spellEnd"/>
      <w:r w:rsidR="003411F6" w:rsidRPr="00F95A3D">
        <w:rPr>
          <w:rFonts w:eastAsia="Arial"/>
          <w:color w:val="000000" w:themeColor="text1"/>
          <w:szCs w:val="22"/>
        </w:rPr>
        <w:t xml:space="preserve"> spp.</w:t>
      </w:r>
      <w:r w:rsidR="003A21C1" w:rsidRPr="00F95A3D">
        <w:rPr>
          <w:rFonts w:eastAsia="Arial"/>
          <w:color w:val="000000" w:themeColor="text1"/>
          <w:szCs w:val="22"/>
        </w:rPr>
        <w:t>,</w:t>
      </w:r>
      <w:r w:rsidR="00E755E6" w:rsidRPr="00F95A3D">
        <w:rPr>
          <w:rFonts w:eastAsia="Arial"/>
          <w:i/>
          <w:color w:val="000000" w:themeColor="text1"/>
          <w:szCs w:val="22"/>
        </w:rPr>
        <w:t> </w:t>
      </w:r>
      <w:proofErr w:type="spellStart"/>
      <w:r w:rsidR="003A21C1" w:rsidRPr="00F95A3D">
        <w:rPr>
          <w:rFonts w:eastAsia="Arial"/>
          <w:i/>
          <w:color w:val="000000" w:themeColor="text1"/>
          <w:szCs w:val="22"/>
        </w:rPr>
        <w:t>Glaesserella</w:t>
      </w:r>
      <w:proofErr w:type="spellEnd"/>
      <w:r w:rsidR="003A21C1" w:rsidRPr="00F95A3D">
        <w:rPr>
          <w:rFonts w:eastAsia="Arial"/>
          <w:i/>
          <w:color w:val="000000" w:themeColor="text1"/>
          <w:szCs w:val="22"/>
        </w:rPr>
        <w:t xml:space="preserve"> </w:t>
      </w:r>
      <w:r w:rsidR="003A21C1" w:rsidRPr="00F95A3D">
        <w:rPr>
          <w:rFonts w:eastAsia="Arial"/>
          <w:color w:val="000000" w:themeColor="text1"/>
          <w:szCs w:val="22"/>
        </w:rPr>
        <w:t>spp.</w:t>
      </w:r>
      <w:r w:rsidR="001B555E" w:rsidRPr="00F95A3D">
        <w:rPr>
          <w:rFonts w:eastAsia="Arial"/>
          <w:color w:val="000000" w:themeColor="text1"/>
          <w:szCs w:val="22"/>
        </w:rPr>
        <w:t xml:space="preserve"> a </w:t>
      </w:r>
      <w:proofErr w:type="spellStart"/>
      <w:r w:rsidR="001B555E" w:rsidRPr="00F95A3D">
        <w:rPr>
          <w:rFonts w:eastAsia="Arial"/>
          <w:i/>
          <w:color w:val="000000" w:themeColor="text1"/>
          <w:szCs w:val="22"/>
        </w:rPr>
        <w:t>Avibacterium</w:t>
      </w:r>
      <w:proofErr w:type="spellEnd"/>
      <w:r w:rsidR="001B555E" w:rsidRPr="00F95A3D">
        <w:rPr>
          <w:rFonts w:eastAsia="Arial"/>
          <w:i/>
          <w:color w:val="000000" w:themeColor="text1"/>
          <w:szCs w:val="22"/>
        </w:rPr>
        <w:t xml:space="preserve"> </w:t>
      </w:r>
      <w:proofErr w:type="spellStart"/>
      <w:r w:rsidR="001B555E" w:rsidRPr="00F95A3D">
        <w:rPr>
          <w:rFonts w:eastAsia="Arial"/>
          <w:i/>
          <w:color w:val="000000" w:themeColor="text1"/>
          <w:szCs w:val="22"/>
        </w:rPr>
        <w:t>paragallinarum</w:t>
      </w:r>
      <w:proofErr w:type="spellEnd"/>
      <w:r w:rsidR="001B555E" w:rsidRPr="00F95A3D">
        <w:rPr>
          <w:rFonts w:eastAsia="Arial"/>
          <w:color w:val="000000" w:themeColor="text1"/>
          <w:szCs w:val="22"/>
        </w:rPr>
        <w:t>.</w:t>
      </w:r>
    </w:p>
    <w:p w14:paraId="3E2F55EF" w14:textId="6D6CB2F8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 xml:space="preserve">Kolistin v zásadě nevykazuje žádnou aktivitu proti </w:t>
      </w:r>
      <w:proofErr w:type="spellStart"/>
      <w:r w:rsidRPr="00F95A3D">
        <w:rPr>
          <w:rFonts w:eastAsia="Arial"/>
          <w:color w:val="000000" w:themeColor="text1"/>
          <w:szCs w:val="22"/>
        </w:rPr>
        <w:t>grampoziti</w:t>
      </w:r>
      <w:r w:rsidR="00B72D38" w:rsidRPr="00F95A3D">
        <w:rPr>
          <w:rFonts w:eastAsia="Arial"/>
          <w:color w:val="000000" w:themeColor="text1"/>
          <w:szCs w:val="22"/>
        </w:rPr>
        <w:t>vním</w:t>
      </w:r>
      <w:proofErr w:type="spellEnd"/>
      <w:r w:rsidR="00B72D38" w:rsidRPr="00F95A3D">
        <w:rPr>
          <w:rFonts w:eastAsia="Arial"/>
          <w:color w:val="000000" w:themeColor="text1"/>
          <w:szCs w:val="22"/>
        </w:rPr>
        <w:t xml:space="preserve"> bakteriím a mikroskopickým</w:t>
      </w:r>
      <w:r w:rsidR="000F4869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 xml:space="preserve">houbám. </w:t>
      </w:r>
    </w:p>
    <w:p w14:paraId="39008931" w14:textId="77777777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Grampozitivní bakterie jsou přirozeně rezistentní ke kol</w:t>
      </w:r>
      <w:r w:rsidR="00B72D38" w:rsidRPr="00F95A3D">
        <w:rPr>
          <w:rFonts w:eastAsia="Arial"/>
          <w:color w:val="000000" w:themeColor="text1"/>
          <w:szCs w:val="22"/>
        </w:rPr>
        <w:t>istinu stejně jako určité druhy</w:t>
      </w:r>
      <w:r w:rsidR="003411F6" w:rsidRPr="00F95A3D">
        <w:rPr>
          <w:rFonts w:eastAsia="Arial"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 xml:space="preserve">gramnegativních bakterií, jako jsou rody </w:t>
      </w:r>
      <w:r w:rsidRPr="00F95A3D">
        <w:rPr>
          <w:rFonts w:eastAsia="Arial"/>
          <w:i/>
          <w:iCs/>
          <w:color w:val="000000" w:themeColor="text1"/>
          <w:szCs w:val="22"/>
        </w:rPr>
        <w:t>Proteus</w:t>
      </w:r>
      <w:r w:rsidRPr="00F95A3D">
        <w:rPr>
          <w:rFonts w:eastAsia="Arial"/>
          <w:color w:val="000000" w:themeColor="text1"/>
          <w:szCs w:val="22"/>
        </w:rPr>
        <w:t xml:space="preserve"> a </w:t>
      </w:r>
      <w:proofErr w:type="spellStart"/>
      <w:r w:rsidRPr="00F95A3D">
        <w:rPr>
          <w:rFonts w:eastAsia="Arial"/>
          <w:i/>
          <w:iCs/>
          <w:color w:val="000000" w:themeColor="text1"/>
          <w:szCs w:val="22"/>
        </w:rPr>
        <w:t>Serratia</w:t>
      </w:r>
      <w:proofErr w:type="spellEnd"/>
      <w:r w:rsidRPr="00F95A3D">
        <w:rPr>
          <w:rFonts w:eastAsia="Arial"/>
          <w:color w:val="000000" w:themeColor="text1"/>
          <w:szCs w:val="22"/>
        </w:rPr>
        <w:t xml:space="preserve">. </w:t>
      </w:r>
    </w:p>
    <w:p w14:paraId="649BEEB2" w14:textId="54EF3822" w:rsidR="00251B91" w:rsidRPr="00F95A3D" w:rsidRDefault="00251B9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Kolistin vykazuje proti gramnegativním bakteriím účinnost závislou na koncentraci.</w:t>
      </w:r>
    </w:p>
    <w:p w14:paraId="4D2110F5" w14:textId="77777777" w:rsidR="002D6B27" w:rsidRPr="00F95A3D" w:rsidRDefault="002D6B27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509A42C2" w14:textId="63F67475" w:rsidR="00F5659E" w:rsidRPr="00F95A3D" w:rsidRDefault="00F5659E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V tabulce níže jsou prezentovány hodnoty MIC kolistinu pro patogeny izolované z klinicky nemocných zvířat. Hodnoty reflektují stav v čase a geografické lokalitě, a proto použití </w:t>
      </w:r>
      <w:r w:rsidR="00B15946" w:rsidRPr="00F95A3D">
        <w:rPr>
          <w:color w:val="000000" w:themeColor="text1"/>
          <w:szCs w:val="22"/>
        </w:rPr>
        <w:t xml:space="preserve">veterinárního léčivého </w:t>
      </w:r>
      <w:r w:rsidRPr="00F95A3D">
        <w:rPr>
          <w:color w:val="000000" w:themeColor="text1"/>
          <w:szCs w:val="22"/>
        </w:rPr>
        <w:t xml:space="preserve">přípravku by mělo být vždy, kdy je to možné, založeno na výsledku </w:t>
      </w:r>
      <w:r w:rsidR="00B15946" w:rsidRPr="00F95A3D">
        <w:rPr>
          <w:color w:val="000000" w:themeColor="text1"/>
          <w:szCs w:val="22"/>
        </w:rPr>
        <w:t xml:space="preserve">stanovení </w:t>
      </w:r>
      <w:r w:rsidRPr="00F95A3D">
        <w:rPr>
          <w:color w:val="000000" w:themeColor="text1"/>
          <w:szCs w:val="22"/>
        </w:rPr>
        <w:t>citlivosti.</w:t>
      </w:r>
    </w:p>
    <w:p w14:paraId="48FFEBB6" w14:textId="77777777" w:rsidR="00F5659E" w:rsidRPr="00F95A3D" w:rsidRDefault="00F5659E" w:rsidP="00F95A3D">
      <w:pPr>
        <w:rPr>
          <w:color w:val="000000" w:themeColor="text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1987"/>
        <w:gridCol w:w="1847"/>
        <w:gridCol w:w="2576"/>
      </w:tblGrid>
      <w:tr w:rsidR="00F95A3D" w:rsidRPr="00F95A3D" w14:paraId="58389242" w14:textId="77777777" w:rsidTr="00861662">
        <w:trPr>
          <w:trHeight w:hRule="exact" w:val="619"/>
        </w:trPr>
        <w:tc>
          <w:tcPr>
            <w:tcW w:w="146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7937AA" w14:textId="1EF56312" w:rsidR="00EA4B11" w:rsidRPr="00F95A3D" w:rsidRDefault="00EA4B11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P</w:t>
            </w:r>
            <w:r w:rsidR="00F5659E" w:rsidRPr="00F95A3D">
              <w:rPr>
                <w:b/>
                <w:color w:val="000000" w:themeColor="text1"/>
                <w:szCs w:val="22"/>
              </w:rPr>
              <w:t xml:space="preserve">ůvodce onemocnění </w:t>
            </w:r>
          </w:p>
          <w:p w14:paraId="1D0279CA" w14:textId="7D59284E" w:rsidR="00F5659E" w:rsidRPr="00F95A3D" w:rsidRDefault="00F5659E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(počet izolátů)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306F79A" w14:textId="77777777" w:rsidR="00F5659E" w:rsidRPr="00F95A3D" w:rsidRDefault="00F5659E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MIC</w:t>
            </w:r>
            <w:r w:rsidRPr="00F95A3D">
              <w:rPr>
                <w:b/>
                <w:color w:val="000000" w:themeColor="text1"/>
                <w:szCs w:val="22"/>
                <w:vertAlign w:val="subscript"/>
              </w:rPr>
              <w:t>50</w:t>
            </w:r>
            <w:r w:rsidRPr="00F95A3D">
              <w:rPr>
                <w:b/>
                <w:color w:val="000000" w:themeColor="text1"/>
                <w:szCs w:val="22"/>
              </w:rPr>
              <w:t xml:space="preserve"> [</w:t>
            </w:r>
            <w:proofErr w:type="spellStart"/>
            <w:r w:rsidRPr="00F95A3D">
              <w:rPr>
                <w:b/>
                <w:color w:val="000000" w:themeColor="text1"/>
                <w:szCs w:val="22"/>
              </w:rPr>
              <w:t>μg</w:t>
            </w:r>
            <w:proofErr w:type="spellEnd"/>
            <w:r w:rsidRPr="00F95A3D">
              <w:rPr>
                <w:b/>
                <w:color w:val="000000" w:themeColor="text1"/>
                <w:szCs w:val="22"/>
              </w:rPr>
              <w:t>/ml]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5591C8" w14:textId="77777777" w:rsidR="00F5659E" w:rsidRPr="00F95A3D" w:rsidRDefault="00F5659E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MIC</w:t>
            </w:r>
            <w:r w:rsidRPr="00F95A3D">
              <w:rPr>
                <w:b/>
                <w:color w:val="000000" w:themeColor="text1"/>
                <w:szCs w:val="22"/>
                <w:vertAlign w:val="subscript"/>
              </w:rPr>
              <w:t>90</w:t>
            </w:r>
            <w:r w:rsidRPr="00F95A3D">
              <w:rPr>
                <w:b/>
                <w:color w:val="000000" w:themeColor="text1"/>
                <w:szCs w:val="22"/>
              </w:rPr>
              <w:t xml:space="preserve"> [</w:t>
            </w:r>
            <w:proofErr w:type="spellStart"/>
            <w:r w:rsidRPr="00F95A3D">
              <w:rPr>
                <w:b/>
                <w:color w:val="000000" w:themeColor="text1"/>
                <w:szCs w:val="22"/>
              </w:rPr>
              <w:t>μg</w:t>
            </w:r>
            <w:proofErr w:type="spellEnd"/>
            <w:r w:rsidRPr="00F95A3D">
              <w:rPr>
                <w:b/>
                <w:color w:val="000000" w:themeColor="text1"/>
                <w:szCs w:val="22"/>
              </w:rPr>
              <w:t>/ml]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C68066" w14:textId="46E65CA4" w:rsidR="00F5659E" w:rsidRPr="00F95A3D" w:rsidRDefault="00EA4B11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P</w:t>
            </w:r>
            <w:r w:rsidR="00F5659E" w:rsidRPr="00F95A3D">
              <w:rPr>
                <w:b/>
                <w:color w:val="000000" w:themeColor="text1"/>
                <w:szCs w:val="22"/>
              </w:rPr>
              <w:t>ůvod izolátů, rok sběru</w:t>
            </w:r>
          </w:p>
        </w:tc>
      </w:tr>
      <w:tr w:rsidR="00F95A3D" w:rsidRPr="00F95A3D" w14:paraId="4B5AAFF2" w14:textId="77777777" w:rsidTr="00861662">
        <w:trPr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4FD994" w14:textId="77777777" w:rsidR="00F5659E" w:rsidRPr="00F95A3D" w:rsidRDefault="00F5659E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Prase domácí</w:t>
            </w:r>
          </w:p>
        </w:tc>
      </w:tr>
      <w:tr w:rsidR="00F95A3D" w:rsidRPr="00F95A3D" w14:paraId="070B8A07" w14:textId="77777777" w:rsidTr="00861662">
        <w:trPr>
          <w:trHeight w:hRule="exact" w:val="340"/>
        </w:trPr>
        <w:tc>
          <w:tcPr>
            <w:tcW w:w="1467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1CC50E" w14:textId="69B138B5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proofErr w:type="spellStart"/>
            <w:r w:rsidRPr="00F95A3D">
              <w:rPr>
                <w:i/>
                <w:color w:val="000000" w:themeColor="text1"/>
                <w:szCs w:val="22"/>
              </w:rPr>
              <w:t>Escherichia</w:t>
            </w:r>
            <w:proofErr w:type="spellEnd"/>
            <w:r w:rsidRPr="00F95A3D">
              <w:rPr>
                <w:i/>
                <w:color w:val="000000" w:themeColor="text1"/>
                <w:szCs w:val="22"/>
              </w:rPr>
              <w:t xml:space="preserve"> coli </w:t>
            </w:r>
            <w:r w:rsidRPr="00F95A3D">
              <w:rPr>
                <w:color w:val="000000" w:themeColor="text1"/>
                <w:szCs w:val="22"/>
              </w:rPr>
              <w:t>(14</w:t>
            </w:r>
            <w:r w:rsidR="00E46E09" w:rsidRPr="00F95A3D">
              <w:rPr>
                <w:color w:val="000000" w:themeColor="text1"/>
                <w:szCs w:val="22"/>
              </w:rPr>
              <w:t>0</w:t>
            </w:r>
            <w:r w:rsidRPr="00F95A3D">
              <w:rPr>
                <w:color w:val="000000" w:themeColor="text1"/>
                <w:szCs w:val="22"/>
              </w:rPr>
              <w:t>)</w:t>
            </w:r>
          </w:p>
        </w:tc>
        <w:tc>
          <w:tcPr>
            <w:tcW w:w="109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C0AABC" w14:textId="77777777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r w:rsidRPr="00F95A3D">
              <w:rPr>
                <w:color w:val="000000" w:themeColor="text1"/>
                <w:szCs w:val="22"/>
              </w:rPr>
              <w:t>≤1</w:t>
            </w:r>
          </w:p>
        </w:tc>
        <w:tc>
          <w:tcPr>
            <w:tcW w:w="101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62E9DB" w14:textId="77777777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r w:rsidRPr="00F95A3D">
              <w:rPr>
                <w:color w:val="000000" w:themeColor="text1"/>
                <w:szCs w:val="22"/>
              </w:rPr>
              <w:t>≤1</w:t>
            </w:r>
          </w:p>
        </w:tc>
        <w:tc>
          <w:tcPr>
            <w:tcW w:w="141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B23E44" w14:textId="4ED970D6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r w:rsidRPr="00F95A3D">
              <w:rPr>
                <w:color w:val="000000" w:themeColor="text1"/>
                <w:szCs w:val="22"/>
              </w:rPr>
              <w:t>ČR, 20</w:t>
            </w:r>
            <w:r w:rsidR="00E46E09" w:rsidRPr="00F95A3D">
              <w:rPr>
                <w:color w:val="000000" w:themeColor="text1"/>
                <w:szCs w:val="22"/>
              </w:rPr>
              <w:t>20</w:t>
            </w:r>
          </w:p>
        </w:tc>
      </w:tr>
      <w:tr w:rsidR="00F95A3D" w:rsidRPr="00F95A3D" w14:paraId="7C66AC85" w14:textId="77777777" w:rsidTr="00861662">
        <w:trPr>
          <w:trHeight w:hRule="exact"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BAE16B" w14:textId="77777777" w:rsidR="00F5659E" w:rsidRPr="00F95A3D" w:rsidRDefault="00F5659E" w:rsidP="00F95A3D">
            <w:pPr>
              <w:rPr>
                <w:b/>
                <w:color w:val="000000" w:themeColor="text1"/>
                <w:szCs w:val="22"/>
              </w:rPr>
            </w:pPr>
            <w:r w:rsidRPr="00F95A3D">
              <w:rPr>
                <w:b/>
                <w:color w:val="000000" w:themeColor="text1"/>
                <w:szCs w:val="22"/>
              </w:rPr>
              <w:t>Brojler kura domácího</w:t>
            </w:r>
          </w:p>
        </w:tc>
      </w:tr>
      <w:tr w:rsidR="00F95A3D" w:rsidRPr="00F95A3D" w14:paraId="08F679B4" w14:textId="77777777" w:rsidTr="00861662">
        <w:trPr>
          <w:trHeight w:hRule="exact" w:val="340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564AE" w14:textId="06CAAFF7" w:rsidR="00F5659E" w:rsidRPr="00F95A3D" w:rsidRDefault="00F5659E" w:rsidP="00F95A3D">
            <w:pPr>
              <w:rPr>
                <w:i/>
                <w:color w:val="000000" w:themeColor="text1"/>
                <w:szCs w:val="22"/>
              </w:rPr>
            </w:pPr>
            <w:proofErr w:type="spellStart"/>
            <w:r w:rsidRPr="00F95A3D">
              <w:rPr>
                <w:i/>
                <w:color w:val="000000" w:themeColor="text1"/>
                <w:szCs w:val="22"/>
              </w:rPr>
              <w:t>Escherichia</w:t>
            </w:r>
            <w:proofErr w:type="spellEnd"/>
            <w:r w:rsidRPr="00F95A3D">
              <w:rPr>
                <w:i/>
                <w:color w:val="000000" w:themeColor="text1"/>
                <w:szCs w:val="22"/>
              </w:rPr>
              <w:t xml:space="preserve"> coli </w:t>
            </w:r>
            <w:r w:rsidRPr="00F95A3D">
              <w:rPr>
                <w:color w:val="000000" w:themeColor="text1"/>
                <w:szCs w:val="22"/>
              </w:rPr>
              <w:t>(1</w:t>
            </w:r>
            <w:r w:rsidR="00E46E09" w:rsidRPr="00F95A3D">
              <w:rPr>
                <w:color w:val="000000" w:themeColor="text1"/>
                <w:szCs w:val="22"/>
              </w:rPr>
              <w:t>9</w:t>
            </w:r>
            <w:r w:rsidRPr="00F95A3D">
              <w:rPr>
                <w:color w:val="000000" w:themeColor="text1"/>
                <w:szCs w:val="22"/>
              </w:rPr>
              <w:t>0)</w:t>
            </w:r>
          </w:p>
        </w:tc>
        <w:tc>
          <w:tcPr>
            <w:tcW w:w="10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0C27" w14:textId="77777777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r w:rsidRPr="00F95A3D">
              <w:rPr>
                <w:color w:val="000000" w:themeColor="text1"/>
                <w:szCs w:val="22"/>
              </w:rPr>
              <w:t>≤1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2FCB3" w14:textId="77777777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r w:rsidRPr="00F95A3D">
              <w:rPr>
                <w:color w:val="000000" w:themeColor="text1"/>
                <w:szCs w:val="22"/>
              </w:rPr>
              <w:t>≤1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53246" w14:textId="721C8092" w:rsidR="00F5659E" w:rsidRPr="00F95A3D" w:rsidRDefault="00F5659E" w:rsidP="00F95A3D">
            <w:pPr>
              <w:rPr>
                <w:color w:val="000000" w:themeColor="text1"/>
                <w:szCs w:val="22"/>
              </w:rPr>
            </w:pPr>
            <w:r w:rsidRPr="00F95A3D">
              <w:rPr>
                <w:color w:val="000000" w:themeColor="text1"/>
                <w:szCs w:val="22"/>
              </w:rPr>
              <w:t>ČR, 20</w:t>
            </w:r>
            <w:r w:rsidR="00E46E09" w:rsidRPr="00F95A3D">
              <w:rPr>
                <w:color w:val="000000" w:themeColor="text1"/>
                <w:szCs w:val="22"/>
              </w:rPr>
              <w:t>20</w:t>
            </w:r>
          </w:p>
        </w:tc>
      </w:tr>
    </w:tbl>
    <w:p w14:paraId="72A7B2CC" w14:textId="77777777" w:rsidR="00F5659E" w:rsidRPr="00F95A3D" w:rsidRDefault="00F5659E" w:rsidP="00F95A3D">
      <w:pPr>
        <w:rPr>
          <w:color w:val="000000" w:themeColor="text1"/>
          <w:szCs w:val="22"/>
        </w:rPr>
      </w:pPr>
    </w:p>
    <w:p w14:paraId="08946F3C" w14:textId="77777777" w:rsidR="002D6B27" w:rsidRPr="00F95A3D" w:rsidRDefault="002D6B27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 xml:space="preserve">Výskyt rezistence na kolistin vzniklých jednostupňovou mutací je vzácný, nicméně se vzrůstající frekvencí je zaznamenáván výskyt rezistencí přenosných </w:t>
      </w:r>
      <w:proofErr w:type="spellStart"/>
      <w:r w:rsidRPr="00F95A3D">
        <w:rPr>
          <w:rFonts w:eastAsia="Arial"/>
          <w:color w:val="000000" w:themeColor="text1"/>
          <w:szCs w:val="22"/>
        </w:rPr>
        <w:t>plasmidy</w:t>
      </w:r>
      <w:proofErr w:type="spellEnd"/>
      <w:r w:rsidRPr="00F95A3D">
        <w:rPr>
          <w:rFonts w:eastAsia="Arial"/>
          <w:color w:val="000000" w:themeColor="text1"/>
          <w:szCs w:val="22"/>
        </w:rPr>
        <w:t xml:space="preserve"> (kódovaných geny</w:t>
      </w:r>
      <w:r w:rsidRPr="00F95A3D">
        <w:rPr>
          <w:color w:val="000000" w:themeColor="text1"/>
          <w:szCs w:val="22"/>
          <w:lang w:eastAsia="hu-HU"/>
        </w:rPr>
        <w:t xml:space="preserve"> </w:t>
      </w:r>
      <w:proofErr w:type="spellStart"/>
      <w:r w:rsidRPr="00F95A3D">
        <w:rPr>
          <w:i/>
          <w:color w:val="000000" w:themeColor="text1"/>
          <w:szCs w:val="22"/>
          <w:lang w:eastAsia="hu-HU"/>
        </w:rPr>
        <w:t>mcr</w:t>
      </w:r>
      <w:proofErr w:type="spellEnd"/>
      <w:r w:rsidRPr="00F95A3D">
        <w:rPr>
          <w:color w:val="000000" w:themeColor="text1"/>
          <w:szCs w:val="22"/>
          <w:lang w:eastAsia="hu-HU"/>
        </w:rPr>
        <w:t xml:space="preserve">). </w:t>
      </w:r>
      <w:r w:rsidRPr="00F95A3D">
        <w:rPr>
          <w:rFonts w:eastAsia="Arial"/>
          <w:color w:val="000000" w:themeColor="text1"/>
          <w:szCs w:val="22"/>
        </w:rPr>
        <w:t xml:space="preserve">Jsou definovány klinické </w:t>
      </w:r>
      <w:proofErr w:type="spellStart"/>
      <w:r w:rsidRPr="00F95A3D">
        <w:rPr>
          <w:rFonts w:eastAsia="Arial"/>
          <w:color w:val="000000" w:themeColor="text1"/>
          <w:szCs w:val="22"/>
        </w:rPr>
        <w:t>breakpointy</w:t>
      </w:r>
      <w:proofErr w:type="spellEnd"/>
      <w:r w:rsidRPr="00F95A3D">
        <w:rPr>
          <w:rFonts w:eastAsia="Arial"/>
          <w:color w:val="000000" w:themeColor="text1"/>
          <w:szCs w:val="22"/>
        </w:rPr>
        <w:t xml:space="preserve"> dle EUCAST (2020, odvozené od humánních izolátů) </w:t>
      </w:r>
      <w:proofErr w:type="spellStart"/>
      <w:r w:rsidRPr="00F95A3D">
        <w:rPr>
          <w:rFonts w:eastAsia="Arial"/>
          <w:i/>
          <w:color w:val="000000" w:themeColor="text1"/>
          <w:szCs w:val="22"/>
        </w:rPr>
        <w:t>Enterobacteriaceae</w:t>
      </w:r>
      <w:proofErr w:type="spellEnd"/>
      <w:r w:rsidRPr="00F95A3D">
        <w:rPr>
          <w:rFonts w:eastAsia="Arial"/>
          <w:i/>
          <w:color w:val="000000" w:themeColor="text1"/>
          <w:szCs w:val="22"/>
        </w:rPr>
        <w:t xml:space="preserve"> </w:t>
      </w:r>
      <w:r w:rsidRPr="00F95A3D">
        <w:rPr>
          <w:rFonts w:eastAsia="Arial"/>
          <w:color w:val="000000" w:themeColor="text1"/>
          <w:szCs w:val="22"/>
        </w:rPr>
        <w:t xml:space="preserve">C &lt; 2 mg/l ; R &gt; 2 mg/l. Stanovení citlivosti a detekce MIC by mělo být prováděno bujónovou </w:t>
      </w:r>
      <w:proofErr w:type="spellStart"/>
      <w:r w:rsidRPr="00F95A3D">
        <w:rPr>
          <w:rFonts w:eastAsia="Arial"/>
          <w:color w:val="000000" w:themeColor="text1"/>
          <w:szCs w:val="22"/>
        </w:rPr>
        <w:t>mikrodiluční</w:t>
      </w:r>
      <w:proofErr w:type="spellEnd"/>
      <w:r w:rsidRPr="00F95A3D">
        <w:rPr>
          <w:rFonts w:eastAsia="Arial"/>
          <w:color w:val="000000" w:themeColor="text1"/>
          <w:szCs w:val="22"/>
        </w:rPr>
        <w:t xml:space="preserve"> metodou.</w:t>
      </w:r>
    </w:p>
    <w:p w14:paraId="140FCDE4" w14:textId="77777777" w:rsidR="003411F6" w:rsidRPr="00F95A3D" w:rsidRDefault="003411F6" w:rsidP="00F95A3D">
      <w:pPr>
        <w:ind w:left="0" w:firstLine="0"/>
        <w:jc w:val="both"/>
        <w:rPr>
          <w:b/>
          <w:bCs/>
          <w:color w:val="000000" w:themeColor="text1"/>
          <w:szCs w:val="22"/>
        </w:rPr>
      </w:pPr>
    </w:p>
    <w:p w14:paraId="3D5A6B03" w14:textId="00DEA538" w:rsidR="00251B91" w:rsidRPr="00F95A3D" w:rsidRDefault="00124857" w:rsidP="0002331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49" w:name="_Toc213406849"/>
      <w:r w:rsidRPr="00F95A3D">
        <w:rPr>
          <w:b/>
          <w:iCs/>
          <w:color w:val="000000" w:themeColor="text1"/>
          <w:szCs w:val="22"/>
        </w:rPr>
        <w:t>4.3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Farmakokineti</w:t>
      </w:r>
      <w:r w:rsidR="0039771C" w:rsidRPr="00F95A3D">
        <w:rPr>
          <w:b/>
          <w:iCs/>
          <w:color w:val="000000" w:themeColor="text1"/>
          <w:szCs w:val="22"/>
        </w:rPr>
        <w:t>ka</w:t>
      </w:r>
      <w:bookmarkEnd w:id="49"/>
    </w:p>
    <w:p w14:paraId="56083D76" w14:textId="77777777" w:rsidR="00124857" w:rsidRPr="00F95A3D" w:rsidRDefault="00124857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27C0785D" w14:textId="41A58C86" w:rsidR="002D6B27" w:rsidRPr="00F95A3D" w:rsidRDefault="003A21C1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 xml:space="preserve">Po perorálním podání je </w:t>
      </w:r>
      <w:r w:rsidRPr="00F95A3D">
        <w:rPr>
          <w:rFonts w:eastAsia="Arial"/>
          <w:bCs/>
          <w:color w:val="000000" w:themeColor="text1"/>
          <w:szCs w:val="22"/>
        </w:rPr>
        <w:t>kolistin sulfát z gastrointestinálního traktu vstřebáván pouze minimálně</w:t>
      </w:r>
      <w:r w:rsidR="002D6B27" w:rsidRPr="00F95A3D">
        <w:rPr>
          <w:rFonts w:eastAsia="Arial"/>
          <w:color w:val="000000" w:themeColor="text1"/>
          <w:szCs w:val="22"/>
        </w:rPr>
        <w:t xml:space="preserve">, a </w:t>
      </w:r>
      <w:r w:rsidRPr="00F95A3D">
        <w:rPr>
          <w:rFonts w:eastAsia="Arial"/>
          <w:color w:val="000000" w:themeColor="text1"/>
          <w:szCs w:val="22"/>
        </w:rPr>
        <w:t>proto</w:t>
      </w:r>
      <w:r w:rsidR="002D6B27" w:rsidRPr="00F95A3D">
        <w:rPr>
          <w:rFonts w:eastAsia="Arial"/>
          <w:color w:val="000000" w:themeColor="text1"/>
          <w:szCs w:val="22"/>
        </w:rPr>
        <w:t xml:space="preserve"> jsou </w:t>
      </w:r>
      <w:r w:rsidRPr="00F95A3D">
        <w:rPr>
          <w:rFonts w:eastAsia="Arial"/>
          <w:color w:val="000000" w:themeColor="text1"/>
          <w:szCs w:val="22"/>
        </w:rPr>
        <w:t xml:space="preserve">maximální </w:t>
      </w:r>
      <w:r w:rsidR="002D6B27" w:rsidRPr="00F95A3D">
        <w:rPr>
          <w:rFonts w:eastAsia="Arial"/>
          <w:color w:val="000000" w:themeColor="text1"/>
          <w:szCs w:val="22"/>
        </w:rPr>
        <w:t>plazmatické koncentrace prakticky nedetekovatelné. Koncentrace v trávicím traktu jsou však vysoké, proto působí primárně proti citlivým bakteriím v zažívacím traktu. Nebyly prokázány aktivní metabolity kolistinu. Většina kolistinu je</w:t>
      </w:r>
      <w:r w:rsidR="00775FDC" w:rsidRPr="00F95A3D">
        <w:rPr>
          <w:rFonts w:eastAsia="Arial"/>
          <w:color w:val="000000" w:themeColor="text1"/>
          <w:szCs w:val="22"/>
        </w:rPr>
        <w:t xml:space="preserve"> po perorálním podání</w:t>
      </w:r>
      <w:r w:rsidR="002D6B27" w:rsidRPr="00F95A3D">
        <w:rPr>
          <w:rFonts w:eastAsia="Arial"/>
          <w:color w:val="000000" w:themeColor="text1"/>
          <w:szCs w:val="22"/>
        </w:rPr>
        <w:t xml:space="preserve"> vyloučena prostřednictvím </w:t>
      </w:r>
      <w:proofErr w:type="spellStart"/>
      <w:r w:rsidR="002D6B27" w:rsidRPr="00F95A3D">
        <w:rPr>
          <w:rFonts w:eastAsia="Arial"/>
          <w:color w:val="000000" w:themeColor="text1"/>
          <w:szCs w:val="22"/>
        </w:rPr>
        <w:t>faeces</w:t>
      </w:r>
      <w:proofErr w:type="spellEnd"/>
      <w:r w:rsidR="002D6B27" w:rsidRPr="00F95A3D">
        <w:rPr>
          <w:rFonts w:eastAsia="Arial"/>
          <w:color w:val="000000" w:themeColor="text1"/>
          <w:szCs w:val="22"/>
        </w:rPr>
        <w:t>.</w:t>
      </w:r>
    </w:p>
    <w:p w14:paraId="62B6F0B3" w14:textId="77777777" w:rsidR="000F4869" w:rsidRPr="00F95A3D" w:rsidRDefault="000F4869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795542ED" w14:textId="17A3E7A8" w:rsidR="006D337A" w:rsidRPr="00F95A3D" w:rsidRDefault="006D337A" w:rsidP="00F95A3D">
      <w:pPr>
        <w:ind w:left="0" w:firstLine="0"/>
        <w:jc w:val="both"/>
        <w:rPr>
          <w:rFonts w:eastAsia="Arial"/>
          <w:i/>
          <w:iCs/>
          <w:color w:val="000000" w:themeColor="text1"/>
          <w:szCs w:val="22"/>
        </w:rPr>
      </w:pPr>
      <w:bookmarkStart w:id="50" w:name="_Toc213406850"/>
      <w:r w:rsidRPr="00F95A3D">
        <w:rPr>
          <w:rFonts w:eastAsia="Arial"/>
          <w:b/>
          <w:iCs/>
          <w:color w:val="000000" w:themeColor="text1"/>
          <w:szCs w:val="22"/>
        </w:rPr>
        <w:t>Environmentální vlastnosti</w:t>
      </w:r>
      <w:bookmarkEnd w:id="50"/>
    </w:p>
    <w:p w14:paraId="20CA9ADE" w14:textId="599D8FA5" w:rsidR="006D337A" w:rsidRPr="00F95A3D" w:rsidRDefault="006D337A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  <w:r w:rsidRPr="00F95A3D">
        <w:rPr>
          <w:rFonts w:eastAsia="Arial"/>
          <w:color w:val="000000" w:themeColor="text1"/>
          <w:szCs w:val="22"/>
        </w:rPr>
        <w:t>Léčivá látka kolistin sulfát je velmi perzistentní v půdách.</w:t>
      </w:r>
    </w:p>
    <w:p w14:paraId="2CD9B155" w14:textId="77777777" w:rsidR="006D337A" w:rsidRPr="00F95A3D" w:rsidRDefault="006D337A" w:rsidP="00F95A3D">
      <w:pPr>
        <w:ind w:left="0" w:firstLine="0"/>
        <w:jc w:val="both"/>
        <w:rPr>
          <w:rFonts w:eastAsia="Arial"/>
          <w:color w:val="000000" w:themeColor="text1"/>
          <w:szCs w:val="22"/>
        </w:rPr>
      </w:pPr>
    </w:p>
    <w:p w14:paraId="4033396C" w14:textId="7B269BA9" w:rsidR="00251B91" w:rsidRPr="00F95A3D" w:rsidRDefault="00251B91" w:rsidP="00F95A3D">
      <w:pPr>
        <w:ind w:left="0" w:firstLine="0"/>
        <w:jc w:val="both"/>
        <w:rPr>
          <w:rFonts w:eastAsia="Arial"/>
          <w:b/>
          <w:bCs/>
          <w:color w:val="000000" w:themeColor="text1"/>
          <w:szCs w:val="22"/>
        </w:rPr>
      </w:pPr>
    </w:p>
    <w:p w14:paraId="082ECC9D" w14:textId="070CBEFC" w:rsidR="00251B91" w:rsidRPr="00F95A3D" w:rsidRDefault="00124857" w:rsidP="0002331D">
      <w:pPr>
        <w:ind w:left="0" w:firstLine="0"/>
        <w:jc w:val="both"/>
        <w:rPr>
          <w:b/>
          <w:color w:val="000000" w:themeColor="text1"/>
          <w:szCs w:val="22"/>
        </w:rPr>
      </w:pPr>
      <w:bookmarkStart w:id="51" w:name="_Toc137553237"/>
      <w:r w:rsidRPr="00F95A3D">
        <w:rPr>
          <w:b/>
          <w:color w:val="000000" w:themeColor="text1"/>
          <w:szCs w:val="22"/>
        </w:rPr>
        <w:t>5.</w:t>
      </w:r>
      <w:r w:rsidRPr="00F95A3D">
        <w:rPr>
          <w:b/>
          <w:color w:val="000000" w:themeColor="text1"/>
          <w:szCs w:val="22"/>
        </w:rPr>
        <w:tab/>
      </w:r>
      <w:bookmarkStart w:id="52" w:name="_Toc213406851"/>
      <w:r w:rsidR="00251B91" w:rsidRPr="00F95A3D">
        <w:rPr>
          <w:b/>
          <w:color w:val="000000" w:themeColor="text1"/>
          <w:szCs w:val="22"/>
        </w:rPr>
        <w:t>FARMACEUTICKÉ ÚDAJE</w:t>
      </w:r>
      <w:bookmarkEnd w:id="51"/>
      <w:bookmarkEnd w:id="52"/>
    </w:p>
    <w:p w14:paraId="004FC609" w14:textId="77777777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</w:p>
    <w:p w14:paraId="1C6BA611" w14:textId="159F9975" w:rsidR="00251B91" w:rsidRPr="00F95A3D" w:rsidRDefault="00124857" w:rsidP="0002331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53" w:name="_Toc213404128"/>
      <w:r w:rsidRPr="00F95A3D">
        <w:rPr>
          <w:b/>
          <w:iCs/>
          <w:color w:val="000000" w:themeColor="text1"/>
          <w:szCs w:val="22"/>
        </w:rPr>
        <w:lastRenderedPageBreak/>
        <w:t>5.1</w:t>
      </w:r>
      <w:r w:rsidRPr="00F95A3D">
        <w:rPr>
          <w:b/>
          <w:iCs/>
          <w:color w:val="000000" w:themeColor="text1"/>
          <w:szCs w:val="22"/>
        </w:rPr>
        <w:tab/>
      </w:r>
      <w:r w:rsidR="0068347F" w:rsidRPr="00F95A3D">
        <w:rPr>
          <w:b/>
          <w:iCs/>
          <w:color w:val="000000" w:themeColor="text1"/>
          <w:szCs w:val="22"/>
        </w:rPr>
        <w:t xml:space="preserve">Hlavní </w:t>
      </w:r>
      <w:bookmarkStart w:id="54" w:name="_Toc213406852"/>
      <w:bookmarkStart w:id="55" w:name="_Toc213406854"/>
      <w:bookmarkStart w:id="56" w:name="_Toc213406855"/>
      <w:bookmarkStart w:id="57" w:name="_Hlk214943030"/>
      <w:bookmarkEnd w:id="53"/>
      <w:bookmarkEnd w:id="54"/>
      <w:bookmarkEnd w:id="55"/>
      <w:r w:rsidR="0068347F" w:rsidRPr="00F95A3D">
        <w:rPr>
          <w:b/>
          <w:iCs/>
          <w:color w:val="000000" w:themeColor="text1"/>
          <w:szCs w:val="22"/>
        </w:rPr>
        <w:t>i</w:t>
      </w:r>
      <w:r w:rsidR="00251B91" w:rsidRPr="00F95A3D">
        <w:rPr>
          <w:b/>
          <w:iCs/>
          <w:color w:val="000000" w:themeColor="text1"/>
          <w:szCs w:val="22"/>
        </w:rPr>
        <w:t>nkompatibility</w:t>
      </w:r>
      <w:bookmarkEnd w:id="56"/>
    </w:p>
    <w:p w14:paraId="1AFDB6EE" w14:textId="77777777" w:rsidR="00124857" w:rsidRPr="00F95A3D" w:rsidRDefault="00124857" w:rsidP="00F95A3D">
      <w:pPr>
        <w:ind w:left="0" w:firstLine="0"/>
        <w:jc w:val="both"/>
        <w:rPr>
          <w:b/>
          <w:iCs/>
          <w:color w:val="000000" w:themeColor="text1"/>
          <w:szCs w:val="22"/>
        </w:rPr>
      </w:pPr>
    </w:p>
    <w:p w14:paraId="0E6E6030" w14:textId="693C4772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Studie kompatibility nejsou k dispozici, a proto tento veterinární léčivý příp</w:t>
      </w:r>
      <w:r w:rsidR="003411F6" w:rsidRPr="00F95A3D">
        <w:rPr>
          <w:color w:val="000000" w:themeColor="text1"/>
          <w:szCs w:val="22"/>
        </w:rPr>
        <w:t>ravek nesmí být</w:t>
      </w:r>
      <w:r w:rsidR="002D50A1" w:rsidRPr="00F95A3D">
        <w:rPr>
          <w:color w:val="000000" w:themeColor="text1"/>
          <w:szCs w:val="22"/>
        </w:rPr>
        <w:t xml:space="preserve"> </w:t>
      </w:r>
      <w:r w:rsidR="003411F6" w:rsidRPr="00F95A3D">
        <w:rPr>
          <w:color w:val="000000" w:themeColor="text1"/>
          <w:szCs w:val="22"/>
        </w:rPr>
        <w:t xml:space="preserve">mísen </w:t>
      </w:r>
      <w:r w:rsidR="00124857" w:rsidRPr="00F95A3D">
        <w:rPr>
          <w:color w:val="000000" w:themeColor="text1"/>
          <w:szCs w:val="22"/>
        </w:rPr>
        <w:t>s </w:t>
      </w:r>
      <w:r w:rsidR="003411F6" w:rsidRPr="00F95A3D">
        <w:rPr>
          <w:color w:val="000000" w:themeColor="text1"/>
          <w:szCs w:val="22"/>
        </w:rPr>
        <w:t xml:space="preserve">žádnými </w:t>
      </w:r>
      <w:r w:rsidRPr="00F95A3D">
        <w:rPr>
          <w:color w:val="000000" w:themeColor="text1"/>
          <w:szCs w:val="22"/>
        </w:rPr>
        <w:t>dalšími veterinárními léčivými přípravky.</w:t>
      </w:r>
    </w:p>
    <w:bookmarkEnd w:id="57"/>
    <w:p w14:paraId="644ABD48" w14:textId="77777777" w:rsidR="003B078C" w:rsidRPr="00F95A3D" w:rsidRDefault="003B078C" w:rsidP="00F95A3D">
      <w:pPr>
        <w:ind w:left="0" w:firstLine="0"/>
        <w:jc w:val="both"/>
        <w:rPr>
          <w:bCs/>
          <w:color w:val="000000" w:themeColor="text1"/>
          <w:szCs w:val="22"/>
        </w:rPr>
      </w:pPr>
    </w:p>
    <w:p w14:paraId="5594A4A5" w14:textId="64587D63" w:rsidR="00251B91" w:rsidRPr="00F95A3D" w:rsidRDefault="00124857" w:rsidP="0002331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58" w:name="_Toc213406856"/>
      <w:r w:rsidRPr="00F95A3D">
        <w:rPr>
          <w:b/>
          <w:iCs/>
          <w:color w:val="000000" w:themeColor="text1"/>
          <w:szCs w:val="22"/>
        </w:rPr>
        <w:t>5.2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Doba použitelnosti</w:t>
      </w:r>
      <w:bookmarkEnd w:id="58"/>
    </w:p>
    <w:p w14:paraId="31CF2E3C" w14:textId="77777777" w:rsidR="00124857" w:rsidRPr="00F95A3D" w:rsidRDefault="00124857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59D00E45" w14:textId="77777777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Doba použitelnosti veterinárního léčivého </w:t>
      </w:r>
      <w:r w:rsidR="003411F6" w:rsidRPr="00F95A3D">
        <w:rPr>
          <w:color w:val="000000" w:themeColor="text1"/>
          <w:szCs w:val="22"/>
        </w:rPr>
        <w:t>přípravku v neporušeném obalu: 2</w:t>
      </w:r>
      <w:r w:rsidRPr="00F95A3D">
        <w:rPr>
          <w:color w:val="000000" w:themeColor="text1"/>
          <w:szCs w:val="22"/>
        </w:rPr>
        <w:t xml:space="preserve"> roky.</w:t>
      </w:r>
    </w:p>
    <w:p w14:paraId="02172BE0" w14:textId="4C5580EF" w:rsidR="00215898" w:rsidRPr="00F95A3D" w:rsidRDefault="00215898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Doba použitelnosti po prvním otevření vnitřního obalu: spotřebujte ihned.</w:t>
      </w:r>
    </w:p>
    <w:p w14:paraId="7791DFBD" w14:textId="4CC0E3B2" w:rsidR="00251B91" w:rsidRPr="00F95A3D" w:rsidRDefault="00251B91" w:rsidP="00F95A3D">
      <w:pPr>
        <w:ind w:left="0" w:firstLine="0"/>
        <w:jc w:val="both"/>
        <w:rPr>
          <w:bCs/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Doba použitelnosti po rozpuštění podle návodu: 24 hodin.</w:t>
      </w:r>
    </w:p>
    <w:p w14:paraId="3241526B" w14:textId="77777777" w:rsidR="00251B91" w:rsidRPr="00F95A3D" w:rsidRDefault="00251B91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0F0396FC" w14:textId="0AD65CDA" w:rsidR="00251B91" w:rsidRPr="00F95A3D" w:rsidRDefault="00124857" w:rsidP="0002331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59" w:name="_Toc213406857"/>
      <w:r w:rsidRPr="00F95A3D">
        <w:rPr>
          <w:b/>
          <w:iCs/>
          <w:color w:val="000000" w:themeColor="text1"/>
          <w:szCs w:val="22"/>
        </w:rPr>
        <w:t>5.3</w:t>
      </w:r>
      <w:r w:rsidRPr="00F95A3D">
        <w:rPr>
          <w:b/>
          <w:iCs/>
          <w:color w:val="000000" w:themeColor="text1"/>
          <w:szCs w:val="22"/>
        </w:rPr>
        <w:tab/>
      </w:r>
      <w:r w:rsidR="00251B91" w:rsidRPr="00F95A3D">
        <w:rPr>
          <w:b/>
          <w:iCs/>
          <w:color w:val="000000" w:themeColor="text1"/>
          <w:szCs w:val="22"/>
        </w:rPr>
        <w:t>Zvláštní opatření pro uchovávání</w:t>
      </w:r>
      <w:bookmarkEnd w:id="59"/>
    </w:p>
    <w:p w14:paraId="5CB4D0BD" w14:textId="77777777" w:rsidR="00124857" w:rsidRPr="00F95A3D" w:rsidRDefault="00124857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18CCF705" w14:textId="77777777" w:rsidR="00874226" w:rsidRPr="00F95A3D" w:rsidRDefault="003411F6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Uchovávejte při teplotě do 25</w:t>
      </w:r>
      <w:r w:rsidR="003207B1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 xml:space="preserve">°C. </w:t>
      </w:r>
    </w:p>
    <w:p w14:paraId="05FBFAE4" w14:textId="14B2CE31" w:rsidR="00874226" w:rsidRPr="00F95A3D" w:rsidRDefault="003411F6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Uchovávejte v</w:t>
      </w:r>
      <w:r w:rsidR="003207B1" w:rsidRPr="00F95A3D">
        <w:rPr>
          <w:color w:val="000000" w:themeColor="text1"/>
          <w:szCs w:val="22"/>
        </w:rPr>
        <w:t xml:space="preserve"> </w:t>
      </w:r>
      <w:r w:rsidRPr="00F95A3D">
        <w:rPr>
          <w:color w:val="000000" w:themeColor="text1"/>
          <w:szCs w:val="22"/>
        </w:rPr>
        <w:t xml:space="preserve">suchu. </w:t>
      </w:r>
    </w:p>
    <w:p w14:paraId="25BCF05B" w14:textId="2ED4B33A" w:rsidR="003411F6" w:rsidRPr="00F95A3D" w:rsidRDefault="003411F6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Chraňte před přímým slunečním zářením.</w:t>
      </w:r>
    </w:p>
    <w:p w14:paraId="2F09E35A" w14:textId="77777777" w:rsidR="003B078C" w:rsidRPr="00F95A3D" w:rsidRDefault="003B078C" w:rsidP="00F95A3D">
      <w:pPr>
        <w:ind w:left="0" w:firstLine="0"/>
        <w:jc w:val="both"/>
        <w:rPr>
          <w:color w:val="000000" w:themeColor="text1"/>
          <w:szCs w:val="22"/>
        </w:rPr>
      </w:pPr>
    </w:p>
    <w:p w14:paraId="748F1939" w14:textId="37A7185B" w:rsidR="00251B91" w:rsidRPr="00F95A3D" w:rsidRDefault="00124857" w:rsidP="0002331D">
      <w:pPr>
        <w:ind w:left="0" w:firstLine="0"/>
        <w:jc w:val="both"/>
        <w:rPr>
          <w:b/>
          <w:iCs/>
          <w:color w:val="000000" w:themeColor="text1"/>
          <w:szCs w:val="22"/>
        </w:rPr>
      </w:pPr>
      <w:bookmarkStart w:id="60" w:name="_Toc213406858"/>
      <w:bookmarkEnd w:id="60"/>
      <w:r w:rsidRPr="00F95A3D">
        <w:rPr>
          <w:b/>
          <w:bCs/>
          <w:color w:val="000000" w:themeColor="text1"/>
          <w:szCs w:val="22"/>
        </w:rPr>
        <w:t>5.4</w:t>
      </w:r>
      <w:r w:rsidRPr="00F95A3D">
        <w:rPr>
          <w:b/>
          <w:bCs/>
          <w:color w:val="000000" w:themeColor="text1"/>
          <w:szCs w:val="22"/>
        </w:rPr>
        <w:tab/>
      </w:r>
      <w:bookmarkStart w:id="61" w:name="_Toc213406859"/>
      <w:r w:rsidR="00251B91" w:rsidRPr="00F95A3D">
        <w:rPr>
          <w:b/>
          <w:iCs/>
          <w:color w:val="000000" w:themeColor="text1"/>
          <w:szCs w:val="22"/>
        </w:rPr>
        <w:t>Druh a složení vnitřního obalu</w:t>
      </w:r>
      <w:bookmarkEnd w:id="61"/>
    </w:p>
    <w:p w14:paraId="6B135FA0" w14:textId="77777777" w:rsidR="00124857" w:rsidRPr="00F95A3D" w:rsidRDefault="00124857" w:rsidP="00F95A3D">
      <w:pPr>
        <w:ind w:left="0" w:firstLine="0"/>
        <w:jc w:val="both"/>
        <w:rPr>
          <w:i/>
          <w:iCs/>
          <w:color w:val="000000" w:themeColor="text1"/>
          <w:szCs w:val="22"/>
        </w:rPr>
      </w:pPr>
    </w:p>
    <w:p w14:paraId="1C87E3A3" w14:textId="3AB29592" w:rsidR="003411F6" w:rsidRPr="00F95A3D" w:rsidRDefault="00F031CA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Třívrstvý metalizovaný vak s vnitřní PE vrstvou: </w:t>
      </w:r>
      <w:smartTag w:uri="urn:schemas-microsoft-com:office:smarttags" w:element="metricconverter">
        <w:smartTagPr>
          <w:attr w:name="ProductID" w:val="5 kg"/>
        </w:smartTagPr>
        <w:r w:rsidR="003411F6" w:rsidRPr="00F95A3D">
          <w:rPr>
            <w:color w:val="000000" w:themeColor="text1"/>
            <w:szCs w:val="22"/>
          </w:rPr>
          <w:t>5 kg</w:t>
        </w:r>
      </w:smartTag>
      <w:r w:rsidR="003411F6" w:rsidRPr="00F95A3D">
        <w:rPr>
          <w:color w:val="000000" w:themeColor="text1"/>
          <w:szCs w:val="22"/>
        </w:rPr>
        <w:t xml:space="preserve"> a </w:t>
      </w:r>
      <w:smartTag w:uri="urn:schemas-microsoft-com:office:smarttags" w:element="metricconverter">
        <w:smartTagPr>
          <w:attr w:name="ProductID" w:val="10 kg"/>
        </w:smartTagPr>
        <w:r w:rsidR="003411F6" w:rsidRPr="00F95A3D">
          <w:rPr>
            <w:color w:val="000000" w:themeColor="text1"/>
            <w:szCs w:val="22"/>
          </w:rPr>
          <w:t>10 kg</w:t>
        </w:r>
        <w:r w:rsidRPr="00F95A3D">
          <w:rPr>
            <w:color w:val="000000" w:themeColor="text1"/>
            <w:szCs w:val="22"/>
          </w:rPr>
          <w:t>.</w:t>
        </w:r>
      </w:smartTag>
    </w:p>
    <w:p w14:paraId="13FC2CD3" w14:textId="0B3D55CF" w:rsidR="003411F6" w:rsidRPr="00F95A3D" w:rsidRDefault="00F031CA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Třívrstvý papírový vak s vnitřní PE vrstvou: </w:t>
      </w:r>
      <w:smartTag w:uri="urn:schemas-microsoft-com:office:smarttags" w:element="metricconverter">
        <w:smartTagPr>
          <w:attr w:name="ProductID" w:val="15 kg"/>
        </w:smartTagPr>
        <w:r w:rsidR="003411F6" w:rsidRPr="00F95A3D">
          <w:rPr>
            <w:color w:val="000000" w:themeColor="text1"/>
            <w:szCs w:val="22"/>
          </w:rPr>
          <w:t>15 kg</w:t>
        </w:r>
      </w:smartTag>
      <w:r w:rsidR="003411F6" w:rsidRPr="00F95A3D">
        <w:rPr>
          <w:color w:val="000000" w:themeColor="text1"/>
          <w:szCs w:val="22"/>
        </w:rPr>
        <w:t xml:space="preserve">, </w:t>
      </w:r>
      <w:smartTag w:uri="urn:schemas-microsoft-com:office:smarttags" w:element="metricconverter">
        <w:smartTagPr>
          <w:attr w:name="ProductID" w:val="20 kg"/>
        </w:smartTagPr>
        <w:r w:rsidR="003411F6" w:rsidRPr="00F95A3D">
          <w:rPr>
            <w:color w:val="000000" w:themeColor="text1"/>
            <w:szCs w:val="22"/>
          </w:rPr>
          <w:t>20 kg</w:t>
        </w:r>
      </w:smartTag>
      <w:r w:rsidR="00E46E09" w:rsidRPr="00F95A3D">
        <w:rPr>
          <w:color w:val="000000" w:themeColor="text1"/>
          <w:szCs w:val="22"/>
        </w:rPr>
        <w:t xml:space="preserve"> a</w:t>
      </w:r>
      <w:r w:rsidR="003411F6" w:rsidRPr="00F95A3D">
        <w:rPr>
          <w:color w:val="000000" w:themeColor="text1"/>
          <w:szCs w:val="22"/>
        </w:rPr>
        <w:t xml:space="preserve"> 25 kg</w:t>
      </w:r>
      <w:r w:rsidR="00E46E09" w:rsidRPr="00F95A3D">
        <w:rPr>
          <w:color w:val="000000" w:themeColor="text1"/>
          <w:szCs w:val="22"/>
        </w:rPr>
        <w:t>.</w:t>
      </w:r>
    </w:p>
    <w:p w14:paraId="3968A7D6" w14:textId="550E0CB4" w:rsidR="00CA5F7B" w:rsidRPr="00F95A3D" w:rsidRDefault="00F031CA" w:rsidP="00F95A3D">
      <w:pPr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PE dóza (bez vnějšího </w:t>
      </w:r>
      <w:r w:rsidR="0068347F" w:rsidRPr="00F95A3D">
        <w:rPr>
          <w:color w:val="000000" w:themeColor="text1"/>
          <w:szCs w:val="22"/>
        </w:rPr>
        <w:t>o</w:t>
      </w:r>
      <w:r w:rsidRPr="00F95A3D">
        <w:rPr>
          <w:color w:val="000000" w:themeColor="text1"/>
          <w:szCs w:val="22"/>
        </w:rPr>
        <w:t xml:space="preserve">balu): </w:t>
      </w:r>
      <w:smartTag w:uri="urn:schemas-microsoft-com:office:smarttags" w:element="metricconverter">
        <w:smartTagPr>
          <w:attr w:name="ProductID" w:val="250 g"/>
        </w:smartTagPr>
        <w:r w:rsidR="00E02C0E" w:rsidRPr="00F95A3D">
          <w:rPr>
            <w:color w:val="000000" w:themeColor="text1"/>
            <w:szCs w:val="22"/>
          </w:rPr>
          <w:t>250 g</w:t>
        </w:r>
      </w:smartTag>
      <w:r w:rsidR="00E02C0E" w:rsidRPr="00F95A3D">
        <w:rPr>
          <w:color w:val="000000" w:themeColor="text1"/>
          <w:szCs w:val="22"/>
        </w:rPr>
        <w:t>,</w:t>
      </w:r>
      <w:r w:rsidR="00775FDC" w:rsidRPr="00F95A3D">
        <w:rPr>
          <w:color w:val="000000" w:themeColor="text1"/>
          <w:szCs w:val="22"/>
        </w:rPr>
        <w:t xml:space="preserve"> </w:t>
      </w:r>
      <w:smartTag w:uri="urn:schemas-microsoft-com:office:smarttags" w:element="metricconverter">
        <w:smartTagPr>
          <w:attr w:name="ProductID" w:val="500 g"/>
        </w:smartTagPr>
        <w:r w:rsidR="00E02C0E" w:rsidRPr="00F95A3D">
          <w:rPr>
            <w:color w:val="000000" w:themeColor="text1"/>
            <w:szCs w:val="22"/>
          </w:rPr>
          <w:t>500 g</w:t>
        </w:r>
        <w:r w:rsidR="00CA5F7B" w:rsidRPr="00F95A3D">
          <w:rPr>
            <w:color w:val="000000" w:themeColor="text1"/>
            <w:szCs w:val="22"/>
          </w:rPr>
          <w:t xml:space="preserve"> a </w:t>
        </w:r>
      </w:smartTag>
      <w:smartTag w:uri="urn:schemas-microsoft-com:office:smarttags" w:element="metricconverter">
        <w:smartTagPr>
          <w:attr w:name="ProductID" w:val="1 kg"/>
        </w:smartTagPr>
        <w:r w:rsidR="00E02C0E" w:rsidRPr="00F95A3D">
          <w:rPr>
            <w:color w:val="000000" w:themeColor="text1"/>
            <w:szCs w:val="22"/>
          </w:rPr>
          <w:t>1 kg</w:t>
        </w:r>
      </w:smartTag>
      <w:r w:rsidRPr="00F95A3D">
        <w:rPr>
          <w:color w:val="000000" w:themeColor="text1"/>
          <w:szCs w:val="22"/>
        </w:rPr>
        <w:t>.</w:t>
      </w:r>
    </w:p>
    <w:p w14:paraId="17EDFD02" w14:textId="1BDC7BBA" w:rsidR="00F031CA" w:rsidRPr="00F95A3D" w:rsidRDefault="00CA5F7B" w:rsidP="00F95A3D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PE kyblík (bez vnějšího </w:t>
      </w:r>
      <w:r w:rsidR="0068347F" w:rsidRPr="00F95A3D">
        <w:rPr>
          <w:color w:val="000000" w:themeColor="text1"/>
          <w:szCs w:val="22"/>
        </w:rPr>
        <w:t>o</w:t>
      </w:r>
      <w:r w:rsidRPr="00F95A3D">
        <w:rPr>
          <w:color w:val="000000" w:themeColor="text1"/>
          <w:szCs w:val="22"/>
        </w:rPr>
        <w:t>balu): 1 kg a 5 kg.</w:t>
      </w:r>
      <w:r w:rsidR="00F031CA" w:rsidRPr="00F95A3D">
        <w:rPr>
          <w:color w:val="000000" w:themeColor="text1"/>
          <w:szCs w:val="22"/>
        </w:rPr>
        <w:t xml:space="preserve"> </w:t>
      </w:r>
    </w:p>
    <w:p w14:paraId="20141619" w14:textId="63B20373" w:rsidR="00775FDC" w:rsidRPr="00F95A3D" w:rsidRDefault="00F031CA" w:rsidP="00F95A3D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Dvouvrstvá metalická fólie s vnitřní PE vrstvou: </w:t>
      </w:r>
      <w:r w:rsidR="00775FDC" w:rsidRPr="00F95A3D">
        <w:rPr>
          <w:color w:val="000000" w:themeColor="text1"/>
          <w:szCs w:val="22"/>
        </w:rPr>
        <w:t>0,5</w:t>
      </w:r>
      <w:r w:rsidRPr="00F95A3D">
        <w:rPr>
          <w:color w:val="000000" w:themeColor="text1"/>
          <w:szCs w:val="22"/>
        </w:rPr>
        <w:t xml:space="preserve"> </w:t>
      </w:r>
      <w:r w:rsidR="00775FDC" w:rsidRPr="00F95A3D">
        <w:rPr>
          <w:color w:val="000000" w:themeColor="text1"/>
          <w:szCs w:val="22"/>
        </w:rPr>
        <w:t>kg, 1</w:t>
      </w:r>
      <w:r w:rsidRPr="00F95A3D">
        <w:rPr>
          <w:color w:val="000000" w:themeColor="text1"/>
          <w:szCs w:val="22"/>
        </w:rPr>
        <w:t xml:space="preserve"> </w:t>
      </w:r>
      <w:r w:rsidR="00775FDC" w:rsidRPr="00F95A3D">
        <w:rPr>
          <w:color w:val="000000" w:themeColor="text1"/>
          <w:szCs w:val="22"/>
        </w:rPr>
        <w:t>kg, 5</w:t>
      </w:r>
      <w:r w:rsidRPr="00F95A3D">
        <w:rPr>
          <w:color w:val="000000" w:themeColor="text1"/>
          <w:szCs w:val="22"/>
        </w:rPr>
        <w:t xml:space="preserve"> </w:t>
      </w:r>
      <w:r w:rsidR="00775FDC" w:rsidRPr="00F95A3D">
        <w:rPr>
          <w:color w:val="000000" w:themeColor="text1"/>
          <w:szCs w:val="22"/>
        </w:rPr>
        <w:t>kg a 10</w:t>
      </w:r>
      <w:r w:rsidRPr="00F95A3D">
        <w:rPr>
          <w:color w:val="000000" w:themeColor="text1"/>
          <w:szCs w:val="22"/>
        </w:rPr>
        <w:t xml:space="preserve"> </w:t>
      </w:r>
      <w:r w:rsidR="00775FDC" w:rsidRPr="00F95A3D">
        <w:rPr>
          <w:color w:val="000000" w:themeColor="text1"/>
          <w:szCs w:val="22"/>
        </w:rPr>
        <w:t>kg</w:t>
      </w:r>
      <w:r w:rsidRPr="00F95A3D">
        <w:rPr>
          <w:color w:val="000000" w:themeColor="text1"/>
          <w:szCs w:val="22"/>
        </w:rPr>
        <w:t>.</w:t>
      </w:r>
    </w:p>
    <w:p w14:paraId="1A811E5A" w14:textId="77777777" w:rsidR="00251B91" w:rsidRPr="00F95A3D" w:rsidRDefault="00251B91" w:rsidP="00F95A3D">
      <w:pPr>
        <w:rPr>
          <w:bCs/>
          <w:color w:val="000000" w:themeColor="text1"/>
          <w:szCs w:val="22"/>
        </w:rPr>
      </w:pPr>
    </w:p>
    <w:p w14:paraId="6676163E" w14:textId="77777777" w:rsidR="00251B91" w:rsidRPr="00F95A3D" w:rsidRDefault="00251B91" w:rsidP="00F95A3D">
      <w:pPr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Na trhu nemusí být všechny velikosti balení.</w:t>
      </w:r>
    </w:p>
    <w:p w14:paraId="343DE86B" w14:textId="77777777" w:rsidR="00251B91" w:rsidRPr="00F95A3D" w:rsidRDefault="00251B91" w:rsidP="00F95A3D">
      <w:pPr>
        <w:jc w:val="both"/>
        <w:rPr>
          <w:bCs/>
          <w:color w:val="000000" w:themeColor="text1"/>
          <w:szCs w:val="22"/>
        </w:rPr>
      </w:pPr>
    </w:p>
    <w:p w14:paraId="460A204C" w14:textId="34ED2818" w:rsidR="00251B91" w:rsidRPr="00F95A3D" w:rsidRDefault="00124857" w:rsidP="00F95A3D">
      <w:pPr>
        <w:keepNext/>
        <w:jc w:val="both"/>
        <w:rPr>
          <w:i/>
          <w:iCs/>
          <w:color w:val="000000" w:themeColor="text1"/>
          <w:szCs w:val="22"/>
        </w:rPr>
      </w:pPr>
      <w:bookmarkStart w:id="62" w:name="_Toc213406860"/>
      <w:r w:rsidRPr="00F95A3D">
        <w:rPr>
          <w:b/>
          <w:iCs/>
          <w:color w:val="000000" w:themeColor="text1"/>
          <w:szCs w:val="22"/>
        </w:rPr>
        <w:t>5.5</w:t>
      </w:r>
      <w:r w:rsidRPr="00F95A3D">
        <w:rPr>
          <w:b/>
          <w:iCs/>
          <w:color w:val="000000" w:themeColor="text1"/>
          <w:szCs w:val="22"/>
        </w:rPr>
        <w:tab/>
      </w:r>
      <w:r w:rsidR="0039771C" w:rsidRPr="00F95A3D">
        <w:rPr>
          <w:b/>
          <w:iCs/>
          <w:color w:val="000000" w:themeColor="text1"/>
          <w:szCs w:val="22"/>
        </w:rPr>
        <w:t>Zvláštní opatření pro likvidaci nepoužitých veterinárních léčivých přípravků nebo odpadů, které pochází z těchto přípravků</w:t>
      </w:r>
      <w:bookmarkEnd w:id="62"/>
      <w:r w:rsidR="0039771C" w:rsidRPr="00F95A3D" w:rsidDel="0039771C">
        <w:rPr>
          <w:b/>
          <w:iCs/>
          <w:color w:val="000000" w:themeColor="text1"/>
          <w:szCs w:val="22"/>
        </w:rPr>
        <w:t xml:space="preserve"> </w:t>
      </w:r>
    </w:p>
    <w:p w14:paraId="312B7372" w14:textId="77777777" w:rsidR="007603DD" w:rsidRPr="00F95A3D" w:rsidRDefault="007603DD" w:rsidP="00F95A3D">
      <w:pPr>
        <w:keepNext/>
        <w:ind w:left="0" w:firstLine="0"/>
        <w:jc w:val="both"/>
        <w:rPr>
          <w:color w:val="000000" w:themeColor="text1"/>
          <w:szCs w:val="22"/>
        </w:rPr>
      </w:pPr>
    </w:p>
    <w:p w14:paraId="6638C2AF" w14:textId="1B8DFA96" w:rsidR="00124857" w:rsidRPr="00F95A3D" w:rsidRDefault="0039771C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Léčivé přípravky se nesmí likvidovat prostřednictvím odpadní vody či domovního odpadu.</w:t>
      </w:r>
    </w:p>
    <w:p w14:paraId="09AFE4A4" w14:textId="77777777" w:rsidR="0039771C" w:rsidRPr="00F95A3D" w:rsidRDefault="0039771C" w:rsidP="00F95A3D">
      <w:pPr>
        <w:ind w:left="0" w:firstLine="0"/>
        <w:jc w:val="both"/>
        <w:rPr>
          <w:color w:val="000000" w:themeColor="text1"/>
          <w:szCs w:val="22"/>
        </w:rPr>
      </w:pPr>
    </w:p>
    <w:p w14:paraId="1F3CEC01" w14:textId="5FD7CD6A" w:rsidR="000F4869" w:rsidRPr="00F95A3D" w:rsidRDefault="0039771C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  <w:bookmarkStart w:id="63" w:name="_Toc137553238"/>
    </w:p>
    <w:p w14:paraId="0E3B76FF" w14:textId="3C15A9E0" w:rsidR="00251B91" w:rsidRPr="00F95A3D" w:rsidRDefault="00251B91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2622C3C7" w14:textId="77777777" w:rsidR="007603DD" w:rsidRPr="00F95A3D" w:rsidRDefault="007603DD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1A50D381" w14:textId="57AA9ACD" w:rsidR="00251B91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  <w:bookmarkStart w:id="64" w:name="_Toc213406861"/>
      <w:r w:rsidRPr="00F95A3D">
        <w:rPr>
          <w:b/>
          <w:color w:val="000000" w:themeColor="text1"/>
          <w:szCs w:val="22"/>
        </w:rPr>
        <w:t>6.</w:t>
      </w:r>
      <w:r w:rsidRPr="00F95A3D">
        <w:rPr>
          <w:b/>
          <w:color w:val="000000" w:themeColor="text1"/>
          <w:szCs w:val="22"/>
        </w:rPr>
        <w:tab/>
      </w:r>
      <w:r w:rsidR="0039771C" w:rsidRPr="00F95A3D">
        <w:rPr>
          <w:b/>
          <w:caps/>
          <w:color w:val="000000" w:themeColor="text1"/>
          <w:szCs w:val="22"/>
        </w:rPr>
        <w:t xml:space="preserve">jméno </w:t>
      </w:r>
      <w:r w:rsidR="00251B91" w:rsidRPr="00F95A3D">
        <w:rPr>
          <w:b/>
          <w:caps/>
          <w:color w:val="000000" w:themeColor="text1"/>
          <w:szCs w:val="22"/>
        </w:rPr>
        <w:t>DRŽITEL</w:t>
      </w:r>
      <w:r w:rsidR="0039771C" w:rsidRPr="00F95A3D">
        <w:rPr>
          <w:b/>
          <w:caps/>
          <w:color w:val="000000" w:themeColor="text1"/>
          <w:szCs w:val="22"/>
        </w:rPr>
        <w:t>e</w:t>
      </w:r>
      <w:r w:rsidR="00251B91" w:rsidRPr="00F95A3D">
        <w:rPr>
          <w:b/>
          <w:caps/>
          <w:color w:val="000000" w:themeColor="text1"/>
          <w:szCs w:val="22"/>
        </w:rPr>
        <w:t xml:space="preserve"> ROZHODNUTÍ O REGISTRACI</w:t>
      </w:r>
      <w:bookmarkEnd w:id="63"/>
      <w:bookmarkEnd w:id="64"/>
    </w:p>
    <w:p w14:paraId="47018416" w14:textId="77777777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</w:p>
    <w:p w14:paraId="29CEBE8D" w14:textId="3BB5B133" w:rsidR="00E02C0E" w:rsidRPr="00F95A3D" w:rsidRDefault="00E02C0E" w:rsidP="00F95A3D">
      <w:pPr>
        <w:ind w:left="0" w:firstLine="0"/>
        <w:jc w:val="both"/>
        <w:rPr>
          <w:color w:val="000000" w:themeColor="text1"/>
          <w:szCs w:val="22"/>
        </w:rPr>
      </w:pPr>
      <w:proofErr w:type="spellStart"/>
      <w:r w:rsidRPr="00F95A3D">
        <w:rPr>
          <w:color w:val="000000" w:themeColor="text1"/>
          <w:szCs w:val="22"/>
        </w:rPr>
        <w:t>Tekro</w:t>
      </w:r>
      <w:proofErr w:type="spellEnd"/>
      <w:r w:rsidRPr="00F95A3D">
        <w:rPr>
          <w:color w:val="000000" w:themeColor="text1"/>
          <w:szCs w:val="22"/>
        </w:rPr>
        <w:t>, spol. s r.o.</w:t>
      </w:r>
    </w:p>
    <w:p w14:paraId="445BC958" w14:textId="77777777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</w:p>
    <w:p w14:paraId="2FEE87EF" w14:textId="77777777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bookmarkStart w:id="65" w:name="_Toc137553239"/>
    </w:p>
    <w:p w14:paraId="6CE1AB19" w14:textId="3629C224" w:rsidR="00251B91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  <w:bookmarkStart w:id="66" w:name="_Toc213406862"/>
      <w:r w:rsidRPr="00F95A3D">
        <w:rPr>
          <w:b/>
          <w:color w:val="000000" w:themeColor="text1"/>
          <w:szCs w:val="22"/>
        </w:rPr>
        <w:t>7.</w:t>
      </w:r>
      <w:r w:rsidRPr="00F95A3D">
        <w:rPr>
          <w:b/>
          <w:color w:val="000000" w:themeColor="text1"/>
          <w:szCs w:val="22"/>
        </w:rPr>
        <w:tab/>
      </w:r>
      <w:r w:rsidR="00251B91" w:rsidRPr="00F95A3D">
        <w:rPr>
          <w:b/>
          <w:color w:val="000000" w:themeColor="text1"/>
          <w:szCs w:val="22"/>
        </w:rPr>
        <w:t>REGISTRAČNÍ ČÍSLO</w:t>
      </w:r>
      <w:bookmarkEnd w:id="65"/>
      <w:bookmarkEnd w:id="66"/>
    </w:p>
    <w:p w14:paraId="1B92A132" w14:textId="77777777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</w:p>
    <w:p w14:paraId="15385ED8" w14:textId="77777777" w:rsidR="00E02C0E" w:rsidRPr="00F95A3D" w:rsidRDefault="00E02C0E" w:rsidP="00F95A3D">
      <w:pPr>
        <w:ind w:left="0" w:firstLine="0"/>
        <w:jc w:val="both"/>
        <w:rPr>
          <w:color w:val="000000" w:themeColor="text1"/>
          <w:szCs w:val="22"/>
        </w:rPr>
      </w:pPr>
      <w:bookmarkStart w:id="67" w:name="_Toc137553240"/>
      <w:r w:rsidRPr="00F95A3D">
        <w:rPr>
          <w:color w:val="000000" w:themeColor="text1"/>
          <w:szCs w:val="22"/>
        </w:rPr>
        <w:t>96/055/03-C</w:t>
      </w:r>
    </w:p>
    <w:p w14:paraId="2E9B4B34" w14:textId="5B2C0385" w:rsidR="00251B91" w:rsidRPr="00F95A3D" w:rsidRDefault="00251B91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428FFAE1" w14:textId="77777777" w:rsidR="00124857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1D71602A" w14:textId="629EF2F5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  <w:bookmarkStart w:id="68" w:name="_Toc213406863"/>
      <w:r w:rsidRPr="001234D0">
        <w:rPr>
          <w:b/>
          <w:caps/>
          <w:color w:val="000000" w:themeColor="text1"/>
          <w:szCs w:val="22"/>
          <w:lang w:val="de-DE"/>
          <w:rPrChange w:id="69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>8.</w:t>
      </w:r>
      <w:r w:rsidRPr="001234D0">
        <w:rPr>
          <w:b/>
          <w:caps/>
          <w:color w:val="000000" w:themeColor="text1"/>
          <w:szCs w:val="22"/>
          <w:lang w:val="de-DE"/>
          <w:rPrChange w:id="70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ab/>
      </w:r>
      <w:r w:rsidR="00251B91" w:rsidRPr="001234D0">
        <w:rPr>
          <w:b/>
          <w:caps/>
          <w:color w:val="000000" w:themeColor="text1"/>
          <w:szCs w:val="22"/>
          <w:lang w:val="de-DE"/>
          <w:rPrChange w:id="71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 xml:space="preserve">DATUM </w:t>
      </w:r>
      <w:r w:rsidR="0039771C" w:rsidRPr="001234D0">
        <w:rPr>
          <w:b/>
          <w:caps/>
          <w:color w:val="000000" w:themeColor="text1"/>
          <w:szCs w:val="22"/>
          <w:lang w:val="de-DE"/>
          <w:rPrChange w:id="72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 xml:space="preserve">první </w:t>
      </w:r>
      <w:r w:rsidR="00251B91" w:rsidRPr="001234D0">
        <w:rPr>
          <w:b/>
          <w:caps/>
          <w:color w:val="000000" w:themeColor="text1"/>
          <w:szCs w:val="22"/>
          <w:lang w:val="de-DE"/>
          <w:rPrChange w:id="73" w:author="Nepejchalová Leona" w:date="2026-05-11T17:14:00Z">
            <w:rPr>
              <w:b/>
              <w:caps/>
              <w:color w:val="000000" w:themeColor="text1"/>
              <w:szCs w:val="22"/>
              <w:lang w:val="en-US"/>
            </w:rPr>
          </w:rPrChange>
        </w:rPr>
        <w:t>REGISTRACE</w:t>
      </w:r>
      <w:bookmarkEnd w:id="67"/>
      <w:bookmarkEnd w:id="68"/>
    </w:p>
    <w:p w14:paraId="323F71C9" w14:textId="77777777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bookmarkStart w:id="74" w:name="_Toc213406864"/>
      <w:bookmarkEnd w:id="74"/>
    </w:p>
    <w:p w14:paraId="46FCE770" w14:textId="31D1E6C3" w:rsidR="00251B91" w:rsidRPr="00F95A3D" w:rsidRDefault="00E02C0E" w:rsidP="00F95A3D">
      <w:pPr>
        <w:ind w:left="0" w:firstLine="0"/>
        <w:jc w:val="both"/>
        <w:rPr>
          <w:color w:val="000000" w:themeColor="text1"/>
          <w:szCs w:val="22"/>
        </w:rPr>
      </w:pPr>
      <w:bookmarkStart w:id="75" w:name="_Toc137553241"/>
      <w:r w:rsidRPr="00F95A3D">
        <w:rPr>
          <w:color w:val="000000" w:themeColor="text1"/>
          <w:szCs w:val="22"/>
        </w:rPr>
        <w:t>25.7.2003</w:t>
      </w:r>
    </w:p>
    <w:p w14:paraId="5C1018EC" w14:textId="77777777" w:rsidR="00124857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0C1C44F9" w14:textId="77777777" w:rsidR="000F4869" w:rsidRPr="00F95A3D" w:rsidRDefault="000F4869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2749A300" w14:textId="796D21C8" w:rsidR="00251B91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  <w:bookmarkStart w:id="76" w:name="_Toc213406865"/>
      <w:r w:rsidRPr="00F95A3D">
        <w:rPr>
          <w:b/>
          <w:color w:val="000000" w:themeColor="text1"/>
          <w:szCs w:val="22"/>
        </w:rPr>
        <w:t>9.</w:t>
      </w:r>
      <w:r w:rsidRPr="00F95A3D">
        <w:rPr>
          <w:b/>
          <w:color w:val="000000" w:themeColor="text1"/>
          <w:szCs w:val="22"/>
        </w:rPr>
        <w:tab/>
      </w:r>
      <w:r w:rsidR="00251B91" w:rsidRPr="00F95A3D">
        <w:rPr>
          <w:b/>
          <w:color w:val="000000" w:themeColor="text1"/>
          <w:szCs w:val="22"/>
        </w:rPr>
        <w:t xml:space="preserve">DATUM </w:t>
      </w:r>
      <w:r w:rsidR="0039771C" w:rsidRPr="00F95A3D">
        <w:rPr>
          <w:b/>
          <w:color w:val="000000" w:themeColor="text1"/>
          <w:szCs w:val="22"/>
        </w:rPr>
        <w:t>POSLEDNÍ AKTUALIZACE SOUHRNU ÚDAJŮ O PŘÍPRAVKU</w:t>
      </w:r>
      <w:bookmarkEnd w:id="76"/>
      <w:r w:rsidR="0039771C" w:rsidRPr="00F95A3D" w:rsidDel="0039771C">
        <w:rPr>
          <w:b/>
          <w:color w:val="000000" w:themeColor="text1"/>
          <w:szCs w:val="22"/>
        </w:rPr>
        <w:t xml:space="preserve"> </w:t>
      </w:r>
      <w:bookmarkEnd w:id="75"/>
    </w:p>
    <w:p w14:paraId="16862FD7" w14:textId="77777777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</w:p>
    <w:p w14:paraId="7FE5901D" w14:textId="6AB5EB84" w:rsidR="0039771C" w:rsidRPr="00F95A3D" w:rsidRDefault="00B15946" w:rsidP="00F95A3D">
      <w:pPr>
        <w:ind w:left="0" w:firstLine="0"/>
        <w:jc w:val="both"/>
        <w:rPr>
          <w:color w:val="000000" w:themeColor="text1"/>
          <w:szCs w:val="22"/>
        </w:rPr>
      </w:pPr>
      <w:bookmarkStart w:id="77" w:name="_Hlk212559058"/>
      <w:r w:rsidRPr="00F95A3D">
        <w:rPr>
          <w:color w:val="000000" w:themeColor="text1"/>
          <w:szCs w:val="22"/>
        </w:rPr>
        <w:t>0</w:t>
      </w:r>
      <w:r w:rsidR="00AE08A0" w:rsidRPr="00F95A3D">
        <w:rPr>
          <w:color w:val="000000" w:themeColor="text1"/>
          <w:szCs w:val="22"/>
        </w:rPr>
        <w:t>4</w:t>
      </w:r>
      <w:r w:rsidRPr="00F95A3D">
        <w:rPr>
          <w:color w:val="000000" w:themeColor="text1"/>
          <w:szCs w:val="22"/>
        </w:rPr>
        <w:t>/2026</w:t>
      </w:r>
    </w:p>
    <w:bookmarkEnd w:id="77"/>
    <w:p w14:paraId="1D0B1C81" w14:textId="77777777" w:rsidR="00124857" w:rsidRPr="00F95A3D" w:rsidRDefault="00124857" w:rsidP="00F95A3D">
      <w:pPr>
        <w:ind w:left="0" w:firstLine="0"/>
        <w:jc w:val="both"/>
        <w:rPr>
          <w:color w:val="000000" w:themeColor="text1"/>
          <w:szCs w:val="22"/>
        </w:rPr>
      </w:pPr>
    </w:p>
    <w:p w14:paraId="59883F8D" w14:textId="77777777" w:rsidR="00251B91" w:rsidRPr="00F95A3D" w:rsidRDefault="00251B91" w:rsidP="00F95A3D">
      <w:pPr>
        <w:ind w:left="0" w:firstLine="0"/>
        <w:jc w:val="both"/>
        <w:rPr>
          <w:b/>
          <w:bCs/>
          <w:color w:val="000000" w:themeColor="text1"/>
          <w:szCs w:val="22"/>
        </w:rPr>
      </w:pPr>
    </w:p>
    <w:p w14:paraId="338EC26C" w14:textId="3F04CE1B" w:rsidR="000F4869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  <w:bookmarkStart w:id="78" w:name="_Hlk211592516"/>
      <w:bookmarkStart w:id="79" w:name="_Toc213406866"/>
      <w:r w:rsidRPr="00F95A3D">
        <w:rPr>
          <w:b/>
          <w:color w:val="000000" w:themeColor="text1"/>
          <w:szCs w:val="22"/>
        </w:rPr>
        <w:lastRenderedPageBreak/>
        <w:t>10.</w:t>
      </w:r>
      <w:r w:rsidRPr="00F95A3D">
        <w:rPr>
          <w:b/>
          <w:color w:val="000000" w:themeColor="text1"/>
          <w:szCs w:val="22"/>
        </w:rPr>
        <w:tab/>
      </w:r>
      <w:r w:rsidR="0039771C" w:rsidRPr="00F95A3D">
        <w:rPr>
          <w:b/>
          <w:color w:val="000000" w:themeColor="text1"/>
          <w:szCs w:val="22"/>
        </w:rPr>
        <w:t>KLASIFIKACE VETERINÁRNÍCH LÉČIVÝCH PŘÍPRAVKŮ</w:t>
      </w:r>
      <w:bookmarkEnd w:id="78"/>
      <w:bookmarkEnd w:id="79"/>
    </w:p>
    <w:p w14:paraId="3663AC97" w14:textId="77777777" w:rsidR="00124857" w:rsidRPr="00F95A3D" w:rsidRDefault="00124857" w:rsidP="00F95A3D">
      <w:pPr>
        <w:ind w:left="0" w:firstLine="0"/>
        <w:jc w:val="both"/>
        <w:rPr>
          <w:b/>
          <w:color w:val="000000" w:themeColor="text1"/>
          <w:szCs w:val="22"/>
        </w:rPr>
      </w:pPr>
    </w:p>
    <w:p w14:paraId="6745250A" w14:textId="77777777" w:rsidR="00251B91" w:rsidRPr="00F95A3D" w:rsidRDefault="00251B91" w:rsidP="00F95A3D">
      <w:pPr>
        <w:ind w:left="0" w:firstLine="0"/>
        <w:jc w:val="both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>Veterinární léčivý přípravek je vydáván pouze na předpis.</w:t>
      </w:r>
    </w:p>
    <w:p w14:paraId="177A0DC4" w14:textId="77777777" w:rsidR="0039771C" w:rsidRPr="00F95A3D" w:rsidRDefault="0039771C" w:rsidP="00F95A3D">
      <w:pPr>
        <w:ind w:left="0" w:firstLine="0"/>
        <w:jc w:val="both"/>
        <w:rPr>
          <w:color w:val="000000" w:themeColor="text1"/>
          <w:szCs w:val="22"/>
        </w:rPr>
      </w:pPr>
    </w:p>
    <w:p w14:paraId="76ADD83D" w14:textId="12788350" w:rsidR="00F95A3D" w:rsidRDefault="00F95A3D" w:rsidP="00F95A3D">
      <w:pPr>
        <w:ind w:left="0" w:firstLine="0"/>
        <w:jc w:val="both"/>
        <w:rPr>
          <w:color w:val="000000" w:themeColor="text1"/>
          <w:szCs w:val="22"/>
        </w:rPr>
      </w:pPr>
      <w:bookmarkStart w:id="80" w:name="_Hlk212559345"/>
      <w:r w:rsidRPr="00F95A3D">
        <w:rPr>
          <w:color w:val="000000" w:themeColor="text1"/>
          <w:szCs w:val="22"/>
        </w:rPr>
        <w:t>Podrobné informace o tomto veterinárním léčivém přípravku jsou k dispozici v databázi přípravků Unie (https://medicines.health.europa.eu/</w:t>
      </w:r>
      <w:proofErr w:type="spellStart"/>
      <w:r w:rsidRPr="00F95A3D">
        <w:rPr>
          <w:color w:val="000000" w:themeColor="text1"/>
          <w:szCs w:val="22"/>
        </w:rPr>
        <w:t>veterinary</w:t>
      </w:r>
      <w:proofErr w:type="spellEnd"/>
      <w:r w:rsidRPr="00F95A3D">
        <w:rPr>
          <w:color w:val="000000" w:themeColor="text1"/>
          <w:szCs w:val="22"/>
        </w:rPr>
        <w:t xml:space="preserve">). </w:t>
      </w:r>
    </w:p>
    <w:p w14:paraId="34526224" w14:textId="77777777" w:rsidR="00F95A3D" w:rsidRPr="00F95A3D" w:rsidRDefault="00F95A3D" w:rsidP="00F95A3D">
      <w:pPr>
        <w:ind w:left="0" w:firstLine="0"/>
        <w:jc w:val="both"/>
        <w:rPr>
          <w:color w:val="000000" w:themeColor="text1"/>
          <w:szCs w:val="22"/>
        </w:rPr>
      </w:pPr>
    </w:p>
    <w:p w14:paraId="62AAE4C5" w14:textId="3A20A6FD" w:rsidR="00990659" w:rsidRPr="00F95A3D" w:rsidRDefault="00F95A3D" w:rsidP="00F95A3D">
      <w:pPr>
        <w:ind w:left="0" w:firstLine="0"/>
        <w:rPr>
          <w:color w:val="000000" w:themeColor="text1"/>
          <w:szCs w:val="22"/>
        </w:rPr>
      </w:pPr>
      <w:r w:rsidRPr="00F95A3D">
        <w:rPr>
          <w:color w:val="000000" w:themeColor="text1"/>
          <w:szCs w:val="22"/>
        </w:rPr>
        <w:t xml:space="preserve">Podrobné informace o tomto veterinárním léčivém přípravku naleznete také v národní databázi (https://www.uskvbl.cz). </w:t>
      </w:r>
      <w:bookmarkEnd w:id="80"/>
    </w:p>
    <w:sectPr w:rsidR="00990659" w:rsidRPr="00F95A3D" w:rsidSect="007C49A8">
      <w:footerReference w:type="default" r:id="rId8"/>
      <w:headerReference w:type="first" r:id="rId9"/>
      <w:footerReference w:type="first" r:id="rId10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54131" w14:textId="77777777" w:rsidR="00A75A47" w:rsidRDefault="00A75A47">
      <w:r>
        <w:separator/>
      </w:r>
    </w:p>
  </w:endnote>
  <w:endnote w:type="continuationSeparator" w:id="0">
    <w:p w14:paraId="6E14775E" w14:textId="77777777" w:rsidR="00A75A47" w:rsidRDefault="00A7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02138" w14:textId="77777777" w:rsidR="009B2827" w:rsidRDefault="009B2827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4A274287" w14:textId="77777777" w:rsidR="009B2827" w:rsidRDefault="009B28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C20EE" w14:textId="77777777" w:rsidR="009B2827" w:rsidRDefault="009B2827">
    <w:pPr>
      <w:pStyle w:val="Zpat"/>
      <w:tabs>
        <w:tab w:val="clear" w:pos="8930"/>
        <w:tab w:val="right" w:pos="8931"/>
      </w:tabs>
    </w:pPr>
  </w:p>
  <w:p w14:paraId="1C683948" w14:textId="77777777" w:rsidR="009B2827" w:rsidRDefault="009B28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B9F40" w14:textId="77777777" w:rsidR="00A75A47" w:rsidRDefault="00A75A47">
      <w:r>
        <w:separator/>
      </w:r>
    </w:p>
  </w:footnote>
  <w:footnote w:type="continuationSeparator" w:id="0">
    <w:p w14:paraId="614B20BA" w14:textId="77777777" w:rsidR="00A75A47" w:rsidRDefault="00A7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A7F57" w14:textId="77777777" w:rsidR="009B2827" w:rsidRDefault="009B2827" w:rsidP="00F95A3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F22EA9"/>
    <w:multiLevelType w:val="hybridMultilevel"/>
    <w:tmpl w:val="A7A29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13865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F503C"/>
    <w:multiLevelType w:val="multilevel"/>
    <w:tmpl w:val="2236EC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18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  <w:bCs w:val="0"/>
        <w:i w:val="0"/>
        <w:iCs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7"/>
  </w:num>
  <w:num w:numId="5">
    <w:abstractNumId w:val="36"/>
  </w:num>
  <w:num w:numId="6">
    <w:abstractNumId w:val="12"/>
  </w:num>
  <w:num w:numId="7">
    <w:abstractNumId w:val="24"/>
  </w:num>
  <w:num w:numId="8">
    <w:abstractNumId w:val="23"/>
  </w:num>
  <w:num w:numId="9">
    <w:abstractNumId w:val="6"/>
  </w:num>
  <w:num w:numId="10">
    <w:abstractNumId w:val="34"/>
  </w:num>
  <w:num w:numId="11">
    <w:abstractNumId w:val="35"/>
  </w:num>
  <w:num w:numId="12">
    <w:abstractNumId w:val="18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38"/>
  </w:num>
  <w:num w:numId="18">
    <w:abstractNumId w:val="7"/>
  </w:num>
  <w:num w:numId="19">
    <w:abstractNumId w:val="1"/>
  </w:num>
  <w:num w:numId="20">
    <w:abstractNumId w:val="19"/>
  </w:num>
  <w:num w:numId="21">
    <w:abstractNumId w:val="3"/>
  </w:num>
  <w:num w:numId="22">
    <w:abstractNumId w:val="5"/>
  </w:num>
  <w:num w:numId="23">
    <w:abstractNumId w:val="27"/>
  </w:num>
  <w:num w:numId="24">
    <w:abstractNumId w:val="11"/>
  </w:num>
  <w:num w:numId="25">
    <w:abstractNumId w:val="32"/>
  </w:num>
  <w:num w:numId="26">
    <w:abstractNumId w:val="26"/>
  </w:num>
  <w:num w:numId="27">
    <w:abstractNumId w:val="13"/>
  </w:num>
  <w:num w:numId="28">
    <w:abstractNumId w:val="9"/>
  </w:num>
  <w:num w:numId="29">
    <w:abstractNumId w:val="22"/>
  </w:num>
  <w:num w:numId="30">
    <w:abstractNumId w:val="25"/>
  </w:num>
  <w:num w:numId="31">
    <w:abstractNumId w:val="16"/>
  </w:num>
  <w:num w:numId="32">
    <w:abstractNumId w:val="8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39"/>
  </w:num>
  <w:num w:numId="39">
    <w:abstractNumId w:val="21"/>
  </w:num>
  <w:num w:numId="40">
    <w:abstractNumId w:val="10"/>
  </w:num>
  <w:num w:numId="4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pejchalová Leona">
    <w15:presenceInfo w15:providerId="AD" w15:userId="S-1-5-21-1482476501-1326574676-839522115-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534"/>
    <w:rsid w:val="00004C59"/>
    <w:rsid w:val="000205A0"/>
    <w:rsid w:val="0002198B"/>
    <w:rsid w:val="0002331D"/>
    <w:rsid w:val="00083478"/>
    <w:rsid w:val="000950E4"/>
    <w:rsid w:val="000B2924"/>
    <w:rsid w:val="000B34FC"/>
    <w:rsid w:val="000D27CC"/>
    <w:rsid w:val="000E2F5C"/>
    <w:rsid w:val="000F4869"/>
    <w:rsid w:val="00100985"/>
    <w:rsid w:val="00120227"/>
    <w:rsid w:val="001234D0"/>
    <w:rsid w:val="00124857"/>
    <w:rsid w:val="00126587"/>
    <w:rsid w:val="00151442"/>
    <w:rsid w:val="00160769"/>
    <w:rsid w:val="001816F0"/>
    <w:rsid w:val="001A6BAC"/>
    <w:rsid w:val="001B37FD"/>
    <w:rsid w:val="001B555E"/>
    <w:rsid w:val="001C7736"/>
    <w:rsid w:val="001D3687"/>
    <w:rsid w:val="001D6166"/>
    <w:rsid w:val="001E59FA"/>
    <w:rsid w:val="00202DB5"/>
    <w:rsid w:val="00215898"/>
    <w:rsid w:val="00217D1E"/>
    <w:rsid w:val="00225393"/>
    <w:rsid w:val="002300BF"/>
    <w:rsid w:val="00235927"/>
    <w:rsid w:val="00251B91"/>
    <w:rsid w:val="00253B53"/>
    <w:rsid w:val="00260260"/>
    <w:rsid w:val="0026720C"/>
    <w:rsid w:val="00282F71"/>
    <w:rsid w:val="0029734B"/>
    <w:rsid w:val="002978D3"/>
    <w:rsid w:val="002A0BAF"/>
    <w:rsid w:val="002A40B3"/>
    <w:rsid w:val="002D2B21"/>
    <w:rsid w:val="002D50A1"/>
    <w:rsid w:val="002D6B27"/>
    <w:rsid w:val="002E41A4"/>
    <w:rsid w:val="002E602A"/>
    <w:rsid w:val="0030181A"/>
    <w:rsid w:val="00313460"/>
    <w:rsid w:val="00314154"/>
    <w:rsid w:val="00317756"/>
    <w:rsid w:val="003207B1"/>
    <w:rsid w:val="003411F6"/>
    <w:rsid w:val="003540D3"/>
    <w:rsid w:val="00365AE8"/>
    <w:rsid w:val="003713AA"/>
    <w:rsid w:val="00372461"/>
    <w:rsid w:val="00375181"/>
    <w:rsid w:val="003956C7"/>
    <w:rsid w:val="0039771C"/>
    <w:rsid w:val="003A21C1"/>
    <w:rsid w:val="003A4271"/>
    <w:rsid w:val="003B078C"/>
    <w:rsid w:val="003E1CFE"/>
    <w:rsid w:val="00447A5F"/>
    <w:rsid w:val="0048189F"/>
    <w:rsid w:val="00482413"/>
    <w:rsid w:val="004B05A9"/>
    <w:rsid w:val="004B5ACB"/>
    <w:rsid w:val="004C11A1"/>
    <w:rsid w:val="004D1789"/>
    <w:rsid w:val="00504351"/>
    <w:rsid w:val="0051497E"/>
    <w:rsid w:val="00524E98"/>
    <w:rsid w:val="0053728A"/>
    <w:rsid w:val="00570084"/>
    <w:rsid w:val="005726FD"/>
    <w:rsid w:val="005C022C"/>
    <w:rsid w:val="005C1A1A"/>
    <w:rsid w:val="006220E6"/>
    <w:rsid w:val="00627776"/>
    <w:rsid w:val="00657AD2"/>
    <w:rsid w:val="0066185F"/>
    <w:rsid w:val="00666142"/>
    <w:rsid w:val="0068347F"/>
    <w:rsid w:val="006C0529"/>
    <w:rsid w:val="006D337A"/>
    <w:rsid w:val="006D792A"/>
    <w:rsid w:val="006F06A4"/>
    <w:rsid w:val="0071745D"/>
    <w:rsid w:val="00724C9E"/>
    <w:rsid w:val="00742871"/>
    <w:rsid w:val="0075378D"/>
    <w:rsid w:val="007603DD"/>
    <w:rsid w:val="00775FDC"/>
    <w:rsid w:val="007802B6"/>
    <w:rsid w:val="00791F98"/>
    <w:rsid w:val="007C49A8"/>
    <w:rsid w:val="007D048F"/>
    <w:rsid w:val="007E2A84"/>
    <w:rsid w:val="00810028"/>
    <w:rsid w:val="008205CA"/>
    <w:rsid w:val="00832A83"/>
    <w:rsid w:val="00844A8A"/>
    <w:rsid w:val="00850479"/>
    <w:rsid w:val="00854929"/>
    <w:rsid w:val="00861662"/>
    <w:rsid w:val="00874226"/>
    <w:rsid w:val="00880936"/>
    <w:rsid w:val="008C419D"/>
    <w:rsid w:val="008C68F3"/>
    <w:rsid w:val="008E4C22"/>
    <w:rsid w:val="008F2124"/>
    <w:rsid w:val="00964E35"/>
    <w:rsid w:val="009652F1"/>
    <w:rsid w:val="00990659"/>
    <w:rsid w:val="009B2827"/>
    <w:rsid w:val="009D6DA1"/>
    <w:rsid w:val="009E1E3B"/>
    <w:rsid w:val="009E4EB9"/>
    <w:rsid w:val="009E70CD"/>
    <w:rsid w:val="00A02B02"/>
    <w:rsid w:val="00A117F1"/>
    <w:rsid w:val="00A12E98"/>
    <w:rsid w:val="00A22157"/>
    <w:rsid w:val="00A57073"/>
    <w:rsid w:val="00A5789A"/>
    <w:rsid w:val="00A71063"/>
    <w:rsid w:val="00A749E7"/>
    <w:rsid w:val="00A75A47"/>
    <w:rsid w:val="00A76593"/>
    <w:rsid w:val="00A80DAD"/>
    <w:rsid w:val="00A82534"/>
    <w:rsid w:val="00A90943"/>
    <w:rsid w:val="00A97290"/>
    <w:rsid w:val="00AA1566"/>
    <w:rsid w:val="00AC148B"/>
    <w:rsid w:val="00AD6615"/>
    <w:rsid w:val="00AE08A0"/>
    <w:rsid w:val="00AF2FA6"/>
    <w:rsid w:val="00B15946"/>
    <w:rsid w:val="00B55B99"/>
    <w:rsid w:val="00B6647F"/>
    <w:rsid w:val="00B72D38"/>
    <w:rsid w:val="00B863C3"/>
    <w:rsid w:val="00BB3F9F"/>
    <w:rsid w:val="00BD3D4B"/>
    <w:rsid w:val="00BF7B41"/>
    <w:rsid w:val="00C00DEC"/>
    <w:rsid w:val="00C45EA6"/>
    <w:rsid w:val="00C46705"/>
    <w:rsid w:val="00C5554F"/>
    <w:rsid w:val="00C60527"/>
    <w:rsid w:val="00C76A2F"/>
    <w:rsid w:val="00C94944"/>
    <w:rsid w:val="00CA5F7B"/>
    <w:rsid w:val="00CA6738"/>
    <w:rsid w:val="00CB7C0C"/>
    <w:rsid w:val="00CD4CA5"/>
    <w:rsid w:val="00CF5269"/>
    <w:rsid w:val="00D0581B"/>
    <w:rsid w:val="00D10794"/>
    <w:rsid w:val="00D2211D"/>
    <w:rsid w:val="00D40830"/>
    <w:rsid w:val="00D5118E"/>
    <w:rsid w:val="00D65877"/>
    <w:rsid w:val="00DD2535"/>
    <w:rsid w:val="00DD6D71"/>
    <w:rsid w:val="00DE2DC6"/>
    <w:rsid w:val="00E00A48"/>
    <w:rsid w:val="00E02C0E"/>
    <w:rsid w:val="00E0541A"/>
    <w:rsid w:val="00E05514"/>
    <w:rsid w:val="00E213B6"/>
    <w:rsid w:val="00E42EEE"/>
    <w:rsid w:val="00E46E09"/>
    <w:rsid w:val="00E46E59"/>
    <w:rsid w:val="00E71162"/>
    <w:rsid w:val="00E755E6"/>
    <w:rsid w:val="00E82021"/>
    <w:rsid w:val="00EA4B11"/>
    <w:rsid w:val="00ED0C5C"/>
    <w:rsid w:val="00ED46AD"/>
    <w:rsid w:val="00F031CA"/>
    <w:rsid w:val="00F125F6"/>
    <w:rsid w:val="00F227B1"/>
    <w:rsid w:val="00F46A4C"/>
    <w:rsid w:val="00F51F9C"/>
    <w:rsid w:val="00F52A74"/>
    <w:rsid w:val="00F5659E"/>
    <w:rsid w:val="00F62A2A"/>
    <w:rsid w:val="00F66471"/>
    <w:rsid w:val="00F728D7"/>
    <w:rsid w:val="00F77D0F"/>
    <w:rsid w:val="00F80E74"/>
    <w:rsid w:val="00F86849"/>
    <w:rsid w:val="00F906B5"/>
    <w:rsid w:val="00F95A3D"/>
    <w:rsid w:val="00FB7D47"/>
    <w:rsid w:val="00F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007BE1"/>
  <w15:docId w15:val="{C1541214-BF77-4E90-9D83-D4E9A11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9A8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7C49A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7C49A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7C49A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7C49A8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7C49A8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7C49A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7C49A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7C49A8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7C49A8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C49A8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7C49A8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7C49A8"/>
    <w:pPr>
      <w:ind w:left="1760"/>
    </w:pPr>
  </w:style>
  <w:style w:type="character" w:styleId="Odkaznavysvtlivky">
    <w:name w:val="endnote reference"/>
    <w:rsid w:val="007C49A8"/>
    <w:rPr>
      <w:vertAlign w:val="superscript"/>
    </w:rPr>
  </w:style>
  <w:style w:type="character" w:styleId="Znakapoznpodarou">
    <w:name w:val="footnote reference"/>
    <w:rsid w:val="007C49A8"/>
    <w:rPr>
      <w:vertAlign w:val="superscript"/>
    </w:rPr>
  </w:style>
  <w:style w:type="paragraph" w:styleId="Textpoznpodarou">
    <w:name w:val="footnote text"/>
    <w:basedOn w:val="Normln"/>
    <w:rsid w:val="007C49A8"/>
    <w:pPr>
      <w:jc w:val="both"/>
    </w:pPr>
    <w:rPr>
      <w:sz w:val="20"/>
    </w:rPr>
  </w:style>
  <w:style w:type="paragraph" w:styleId="Zkladntext">
    <w:name w:val="Body Text"/>
    <w:basedOn w:val="Normln"/>
    <w:rsid w:val="007C49A8"/>
    <w:pPr>
      <w:jc w:val="both"/>
    </w:pPr>
  </w:style>
  <w:style w:type="paragraph" w:styleId="Textvbloku">
    <w:name w:val="Block Text"/>
    <w:basedOn w:val="Normln"/>
    <w:rsid w:val="007C49A8"/>
    <w:pPr>
      <w:ind w:left="2268" w:right="1711"/>
    </w:pPr>
    <w:rPr>
      <w:b/>
    </w:rPr>
  </w:style>
  <w:style w:type="paragraph" w:styleId="Zkladntext2">
    <w:name w:val="Body Text 2"/>
    <w:basedOn w:val="Normln"/>
    <w:rsid w:val="007C49A8"/>
    <w:rPr>
      <w:b/>
    </w:rPr>
  </w:style>
  <w:style w:type="paragraph" w:styleId="Zkladntext3">
    <w:name w:val="Body Text 3"/>
    <w:basedOn w:val="Normln"/>
    <w:rsid w:val="007C49A8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7C49A8"/>
  </w:style>
  <w:style w:type="character" w:styleId="Odkaznakoment">
    <w:name w:val="annotation reference"/>
    <w:rsid w:val="007C49A8"/>
    <w:rPr>
      <w:sz w:val="16"/>
    </w:rPr>
  </w:style>
  <w:style w:type="paragraph" w:styleId="Zkladntextodsazen2">
    <w:name w:val="Body Text Indent 2"/>
    <w:basedOn w:val="Normln"/>
    <w:rsid w:val="007C49A8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7C49A8"/>
    <w:rPr>
      <w:sz w:val="20"/>
    </w:rPr>
  </w:style>
  <w:style w:type="paragraph" w:styleId="Zkladntextodsazen3">
    <w:name w:val="Body Text Indent 3"/>
    <w:basedOn w:val="Normln"/>
    <w:rsid w:val="007C49A8"/>
  </w:style>
  <w:style w:type="paragraph" w:customStyle="1" w:styleId="Bullet">
    <w:name w:val="Bullet"/>
    <w:basedOn w:val="Normln"/>
    <w:rsid w:val="007C49A8"/>
    <w:pPr>
      <w:numPr>
        <w:numId w:val="2"/>
      </w:numPr>
    </w:pPr>
  </w:style>
  <w:style w:type="paragraph" w:styleId="Textbubliny">
    <w:name w:val="Balloon Text"/>
    <w:basedOn w:val="Normln"/>
    <w:rsid w:val="007C49A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C49A8"/>
    <w:rPr>
      <w:color w:val="0000FF"/>
      <w:u w:val="single"/>
    </w:rPr>
  </w:style>
  <w:style w:type="paragraph" w:customStyle="1" w:styleId="AHeader1">
    <w:name w:val="AHeader 1"/>
    <w:basedOn w:val="Normln"/>
    <w:rsid w:val="007C49A8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7C49A8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C49A8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7C49A8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C49A8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7C49A8"/>
    <w:rPr>
      <w:color w:val="800080"/>
      <w:u w:val="single"/>
    </w:rPr>
  </w:style>
  <w:style w:type="table" w:styleId="Mkatabulky">
    <w:name w:val="Table Grid"/>
    <w:basedOn w:val="Normlntabulka"/>
    <w:rsid w:val="00251B91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083478"/>
    <w:rPr>
      <w:b/>
      <w:bCs/>
    </w:rPr>
  </w:style>
  <w:style w:type="character" w:customStyle="1" w:styleId="TextkomenteChar">
    <w:name w:val="Text komentáře Char"/>
    <w:link w:val="Textkomente"/>
    <w:rsid w:val="00083478"/>
    <w:rPr>
      <w:lang w:eastAsia="en-US"/>
    </w:rPr>
  </w:style>
  <w:style w:type="character" w:customStyle="1" w:styleId="PedmtkomenteChar">
    <w:name w:val="Předmět komentáře Char"/>
    <w:link w:val="Pedmtkomente"/>
    <w:rsid w:val="00083478"/>
    <w:rPr>
      <w:b/>
      <w:bCs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53B53"/>
    <w:rPr>
      <w:rFonts w:ascii="Helvetica" w:hAnsi="Helvetica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2D50A1"/>
    <w:pPr>
      <w:keepNext/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cs-CZ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62A2A"/>
    <w:pPr>
      <w:tabs>
        <w:tab w:val="left" w:pos="709"/>
        <w:tab w:val="left" w:pos="851"/>
        <w:tab w:val="right" w:leader="dot" w:pos="9072"/>
      </w:tabs>
      <w:spacing w:after="120"/>
    </w:pPr>
  </w:style>
  <w:style w:type="paragraph" w:styleId="Obsah1">
    <w:name w:val="toc 1"/>
    <w:basedOn w:val="Normln"/>
    <w:next w:val="Normln"/>
    <w:autoRedefine/>
    <w:uiPriority w:val="39"/>
    <w:unhideWhenUsed/>
    <w:rsid w:val="002D50A1"/>
    <w:pPr>
      <w:spacing w:after="100"/>
      <w:ind w:left="0"/>
    </w:pPr>
  </w:style>
  <w:style w:type="paragraph" w:styleId="Revize">
    <w:name w:val="Revision"/>
    <w:hidden/>
    <w:semiHidden/>
    <w:rsid w:val="004B5ACB"/>
    <w:rPr>
      <w:sz w:val="22"/>
      <w:lang w:eastAsia="en-US"/>
    </w:rPr>
  </w:style>
  <w:style w:type="paragraph" w:styleId="Odstavecseseznamem">
    <w:name w:val="List Paragraph"/>
    <w:basedOn w:val="Normln"/>
    <w:qFormat/>
    <w:rsid w:val="004B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04BD-7B02-4BFA-8701-BB0CE9D2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1845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[Version 7</vt:lpstr>
    </vt:vector>
  </TitlesOfParts>
  <Company>Translation Centre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Pokludová Lucie</dc:creator>
  <cp:lastModifiedBy>Nepejchalová Leona</cp:lastModifiedBy>
  <cp:revision>46</cp:revision>
  <cp:lastPrinted>2026-05-11T15:14:00Z</cp:lastPrinted>
  <dcterms:created xsi:type="dcterms:W3CDTF">2025-11-06T08:40:00Z</dcterms:created>
  <dcterms:modified xsi:type="dcterms:W3CDTF">2026-05-11T15:14:00Z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