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1D77F6" w:rsidRDefault="00C114FF" w:rsidP="00A9226B">
      <w:pPr>
        <w:tabs>
          <w:tab w:val="clear" w:pos="567"/>
        </w:tabs>
        <w:spacing w:line="240" w:lineRule="auto"/>
        <w:rPr>
          <w:szCs w:val="22"/>
        </w:rPr>
      </w:pPr>
    </w:p>
    <w:p w14:paraId="43D17506" w14:textId="77777777" w:rsidR="00C114FF" w:rsidRPr="001D77F6" w:rsidRDefault="00C114FF" w:rsidP="00A9226B">
      <w:pPr>
        <w:tabs>
          <w:tab w:val="clear" w:pos="567"/>
        </w:tabs>
        <w:spacing w:line="240" w:lineRule="auto"/>
        <w:rPr>
          <w:szCs w:val="22"/>
        </w:rPr>
      </w:pPr>
    </w:p>
    <w:p w14:paraId="55834DAE" w14:textId="77777777" w:rsidR="00C114FF" w:rsidRPr="001D77F6" w:rsidRDefault="00C114FF" w:rsidP="00A9226B">
      <w:pPr>
        <w:tabs>
          <w:tab w:val="clear" w:pos="567"/>
        </w:tabs>
        <w:spacing w:line="240" w:lineRule="auto"/>
        <w:rPr>
          <w:szCs w:val="22"/>
        </w:rPr>
      </w:pPr>
    </w:p>
    <w:p w14:paraId="2947F8A2" w14:textId="77777777" w:rsidR="00C114FF" w:rsidRPr="001D77F6" w:rsidRDefault="00C114FF" w:rsidP="00A9226B">
      <w:pPr>
        <w:tabs>
          <w:tab w:val="clear" w:pos="567"/>
        </w:tabs>
        <w:spacing w:line="240" w:lineRule="auto"/>
        <w:rPr>
          <w:szCs w:val="22"/>
        </w:rPr>
      </w:pPr>
    </w:p>
    <w:p w14:paraId="491A3252" w14:textId="77777777" w:rsidR="00C114FF" w:rsidRPr="001D77F6" w:rsidRDefault="00C114FF" w:rsidP="00A9226B">
      <w:pPr>
        <w:tabs>
          <w:tab w:val="clear" w:pos="567"/>
        </w:tabs>
        <w:spacing w:line="240" w:lineRule="auto"/>
        <w:rPr>
          <w:szCs w:val="22"/>
        </w:rPr>
      </w:pPr>
    </w:p>
    <w:p w14:paraId="0D095AF8" w14:textId="77777777" w:rsidR="00C114FF" w:rsidRPr="001D77F6" w:rsidRDefault="00C114FF" w:rsidP="00A9226B">
      <w:pPr>
        <w:tabs>
          <w:tab w:val="clear" w:pos="567"/>
        </w:tabs>
        <w:spacing w:line="240" w:lineRule="auto"/>
        <w:rPr>
          <w:szCs w:val="22"/>
        </w:rPr>
      </w:pPr>
    </w:p>
    <w:p w14:paraId="3AF39424" w14:textId="77777777" w:rsidR="00C114FF" w:rsidRPr="001D77F6" w:rsidRDefault="00C114FF" w:rsidP="00A9226B">
      <w:pPr>
        <w:tabs>
          <w:tab w:val="clear" w:pos="567"/>
        </w:tabs>
        <w:spacing w:line="240" w:lineRule="auto"/>
        <w:rPr>
          <w:szCs w:val="22"/>
        </w:rPr>
      </w:pPr>
    </w:p>
    <w:p w14:paraId="2D86FDD3" w14:textId="77777777" w:rsidR="00C114FF" w:rsidRPr="001D77F6" w:rsidRDefault="00C114FF" w:rsidP="00A9226B">
      <w:pPr>
        <w:tabs>
          <w:tab w:val="clear" w:pos="567"/>
        </w:tabs>
        <w:spacing w:line="240" w:lineRule="auto"/>
        <w:rPr>
          <w:szCs w:val="22"/>
        </w:rPr>
      </w:pPr>
    </w:p>
    <w:p w14:paraId="2EC44BD7" w14:textId="77777777" w:rsidR="00C114FF" w:rsidRPr="001D77F6" w:rsidRDefault="00C114FF" w:rsidP="00A9226B">
      <w:pPr>
        <w:tabs>
          <w:tab w:val="clear" w:pos="567"/>
        </w:tabs>
        <w:spacing w:line="240" w:lineRule="auto"/>
        <w:rPr>
          <w:szCs w:val="22"/>
        </w:rPr>
      </w:pPr>
    </w:p>
    <w:p w14:paraId="3B9E35D2" w14:textId="77777777" w:rsidR="00C114FF" w:rsidRPr="001D77F6" w:rsidRDefault="00C114FF" w:rsidP="00A9226B">
      <w:pPr>
        <w:tabs>
          <w:tab w:val="clear" w:pos="567"/>
        </w:tabs>
        <w:spacing w:line="240" w:lineRule="auto"/>
        <w:rPr>
          <w:szCs w:val="22"/>
        </w:rPr>
      </w:pPr>
    </w:p>
    <w:p w14:paraId="3F839467" w14:textId="77777777" w:rsidR="00C114FF" w:rsidRPr="001D77F6" w:rsidRDefault="00C114FF" w:rsidP="00A9226B">
      <w:pPr>
        <w:tabs>
          <w:tab w:val="clear" w:pos="567"/>
        </w:tabs>
        <w:spacing w:line="240" w:lineRule="auto"/>
        <w:rPr>
          <w:szCs w:val="22"/>
        </w:rPr>
      </w:pPr>
    </w:p>
    <w:p w14:paraId="35E10876" w14:textId="77777777" w:rsidR="00C114FF" w:rsidRPr="001D77F6" w:rsidRDefault="00C114FF" w:rsidP="00A9226B">
      <w:pPr>
        <w:tabs>
          <w:tab w:val="clear" w:pos="567"/>
        </w:tabs>
        <w:spacing w:line="240" w:lineRule="auto"/>
        <w:rPr>
          <w:szCs w:val="22"/>
        </w:rPr>
      </w:pPr>
    </w:p>
    <w:p w14:paraId="150E76EE" w14:textId="77777777" w:rsidR="00C114FF" w:rsidRPr="001D77F6" w:rsidRDefault="00C114FF" w:rsidP="00A9226B">
      <w:pPr>
        <w:tabs>
          <w:tab w:val="clear" w:pos="567"/>
        </w:tabs>
        <w:spacing w:line="240" w:lineRule="auto"/>
        <w:rPr>
          <w:szCs w:val="22"/>
        </w:rPr>
      </w:pPr>
    </w:p>
    <w:p w14:paraId="66F536B1" w14:textId="77777777" w:rsidR="00C114FF" w:rsidRPr="001D77F6" w:rsidRDefault="00C114FF" w:rsidP="00A9226B">
      <w:pPr>
        <w:tabs>
          <w:tab w:val="clear" w:pos="567"/>
        </w:tabs>
        <w:spacing w:line="240" w:lineRule="auto"/>
        <w:rPr>
          <w:szCs w:val="22"/>
        </w:rPr>
      </w:pPr>
    </w:p>
    <w:p w14:paraId="684000E9" w14:textId="77777777" w:rsidR="00C114FF" w:rsidRPr="001D77F6" w:rsidRDefault="00C114FF" w:rsidP="00A9226B">
      <w:pPr>
        <w:tabs>
          <w:tab w:val="clear" w:pos="567"/>
        </w:tabs>
        <w:spacing w:line="240" w:lineRule="auto"/>
        <w:rPr>
          <w:szCs w:val="22"/>
        </w:rPr>
      </w:pPr>
    </w:p>
    <w:p w14:paraId="7A6FD7F6" w14:textId="77777777" w:rsidR="00C114FF" w:rsidRPr="001D77F6" w:rsidRDefault="00C114FF" w:rsidP="00A9226B">
      <w:pPr>
        <w:tabs>
          <w:tab w:val="clear" w:pos="567"/>
        </w:tabs>
        <w:spacing w:line="240" w:lineRule="auto"/>
        <w:rPr>
          <w:szCs w:val="22"/>
        </w:rPr>
      </w:pPr>
    </w:p>
    <w:p w14:paraId="2FBCF918" w14:textId="77777777" w:rsidR="00C114FF" w:rsidRPr="001D77F6" w:rsidRDefault="00C114FF" w:rsidP="00A9226B">
      <w:pPr>
        <w:tabs>
          <w:tab w:val="clear" w:pos="567"/>
        </w:tabs>
        <w:spacing w:line="240" w:lineRule="auto"/>
        <w:rPr>
          <w:szCs w:val="22"/>
        </w:rPr>
      </w:pPr>
    </w:p>
    <w:p w14:paraId="7FACE9F4" w14:textId="77777777" w:rsidR="00C114FF" w:rsidRPr="001D77F6" w:rsidRDefault="00C114FF" w:rsidP="00A9226B">
      <w:pPr>
        <w:tabs>
          <w:tab w:val="clear" w:pos="567"/>
        </w:tabs>
        <w:spacing w:line="240" w:lineRule="auto"/>
        <w:rPr>
          <w:szCs w:val="22"/>
        </w:rPr>
      </w:pPr>
    </w:p>
    <w:p w14:paraId="2798267C" w14:textId="77777777" w:rsidR="00C114FF" w:rsidRPr="001D77F6" w:rsidRDefault="00C114FF" w:rsidP="00A9226B">
      <w:pPr>
        <w:tabs>
          <w:tab w:val="clear" w:pos="567"/>
        </w:tabs>
        <w:spacing w:line="240" w:lineRule="auto"/>
        <w:rPr>
          <w:szCs w:val="22"/>
        </w:rPr>
      </w:pPr>
    </w:p>
    <w:p w14:paraId="13092BCE" w14:textId="77777777" w:rsidR="00C114FF" w:rsidRPr="001D77F6" w:rsidRDefault="00C114FF" w:rsidP="00A9226B">
      <w:pPr>
        <w:tabs>
          <w:tab w:val="clear" w:pos="567"/>
        </w:tabs>
        <w:spacing w:line="240" w:lineRule="auto"/>
        <w:rPr>
          <w:szCs w:val="22"/>
        </w:rPr>
      </w:pPr>
    </w:p>
    <w:p w14:paraId="61E23F9F" w14:textId="77777777" w:rsidR="00C114FF" w:rsidRPr="001D77F6" w:rsidRDefault="00C114FF" w:rsidP="00A9226B">
      <w:pPr>
        <w:tabs>
          <w:tab w:val="clear" w:pos="567"/>
        </w:tabs>
        <w:spacing w:line="240" w:lineRule="auto"/>
        <w:rPr>
          <w:szCs w:val="22"/>
        </w:rPr>
      </w:pPr>
    </w:p>
    <w:p w14:paraId="3FAFA309" w14:textId="77777777" w:rsidR="00C114FF" w:rsidRPr="001D77F6" w:rsidRDefault="00C114FF" w:rsidP="00A9226B">
      <w:pPr>
        <w:tabs>
          <w:tab w:val="clear" w:pos="567"/>
        </w:tabs>
        <w:spacing w:line="240" w:lineRule="auto"/>
        <w:rPr>
          <w:szCs w:val="22"/>
        </w:rPr>
      </w:pPr>
    </w:p>
    <w:p w14:paraId="500E55CD" w14:textId="77777777" w:rsidR="00C114FF" w:rsidRPr="001D77F6" w:rsidRDefault="004270DD" w:rsidP="00A9226B">
      <w:pPr>
        <w:tabs>
          <w:tab w:val="clear" w:pos="567"/>
        </w:tabs>
        <w:spacing w:line="240" w:lineRule="auto"/>
        <w:jc w:val="center"/>
        <w:rPr>
          <w:b/>
          <w:szCs w:val="22"/>
        </w:rPr>
      </w:pPr>
      <w:r w:rsidRPr="001D77F6">
        <w:rPr>
          <w:b/>
          <w:szCs w:val="22"/>
        </w:rPr>
        <w:t>PŘÍLOHA I</w:t>
      </w:r>
    </w:p>
    <w:p w14:paraId="50FE88E4" w14:textId="77777777" w:rsidR="00C114FF" w:rsidRPr="001D77F6" w:rsidRDefault="00C114FF" w:rsidP="00A9226B">
      <w:pPr>
        <w:tabs>
          <w:tab w:val="clear" w:pos="567"/>
        </w:tabs>
        <w:spacing w:line="240" w:lineRule="auto"/>
        <w:rPr>
          <w:szCs w:val="22"/>
        </w:rPr>
      </w:pPr>
    </w:p>
    <w:p w14:paraId="4FD6707D" w14:textId="77777777" w:rsidR="00C114FF" w:rsidRPr="001D77F6" w:rsidRDefault="004270DD" w:rsidP="00A9226B">
      <w:pPr>
        <w:tabs>
          <w:tab w:val="clear" w:pos="567"/>
        </w:tabs>
        <w:spacing w:line="240" w:lineRule="auto"/>
        <w:jc w:val="center"/>
        <w:rPr>
          <w:b/>
          <w:szCs w:val="22"/>
        </w:rPr>
      </w:pPr>
      <w:r w:rsidRPr="001D77F6">
        <w:rPr>
          <w:b/>
          <w:szCs w:val="22"/>
        </w:rPr>
        <w:t>SOUHRN ÚDAJŮ O PŘÍPRAVKU</w:t>
      </w:r>
    </w:p>
    <w:p w14:paraId="70A64732" w14:textId="77777777" w:rsidR="00C114FF" w:rsidRPr="001D77F6" w:rsidRDefault="004270DD" w:rsidP="00B13B6D">
      <w:pPr>
        <w:pStyle w:val="Style1"/>
      </w:pPr>
      <w:r w:rsidRPr="001D77F6">
        <w:br w:type="page"/>
      </w:r>
      <w:r w:rsidRPr="001D77F6">
        <w:lastRenderedPageBreak/>
        <w:t>1.</w:t>
      </w:r>
      <w:r w:rsidRPr="001D77F6">
        <w:tab/>
        <w:t>NÁZEV VETERINÁRNÍHO LÉČIVÉHO PŘÍPRAVKU</w:t>
      </w:r>
    </w:p>
    <w:p w14:paraId="3606368F" w14:textId="77777777" w:rsidR="00C114FF" w:rsidRPr="001D77F6" w:rsidRDefault="00C114FF" w:rsidP="00A9226B">
      <w:pPr>
        <w:tabs>
          <w:tab w:val="clear" w:pos="567"/>
        </w:tabs>
        <w:spacing w:line="240" w:lineRule="auto"/>
        <w:rPr>
          <w:szCs w:val="22"/>
        </w:rPr>
      </w:pPr>
    </w:p>
    <w:p w14:paraId="1E37F951" w14:textId="489BB58C" w:rsidR="00872F36" w:rsidRPr="001D77F6" w:rsidRDefault="00872F36" w:rsidP="00872F36">
      <w:pPr>
        <w:widowControl w:val="0"/>
        <w:tabs>
          <w:tab w:val="left" w:pos="0"/>
          <w:tab w:val="left" w:pos="240"/>
          <w:tab w:val="left" w:pos="360"/>
        </w:tabs>
        <w:autoSpaceDE w:val="0"/>
        <w:autoSpaceDN w:val="0"/>
        <w:adjustRightInd w:val="0"/>
        <w:ind w:left="567" w:hanging="567"/>
        <w:jc w:val="both"/>
        <w:rPr>
          <w:szCs w:val="22"/>
        </w:rPr>
      </w:pPr>
      <w:bookmarkStart w:id="0" w:name="_Hlk216087673"/>
      <w:r w:rsidRPr="001D77F6">
        <w:rPr>
          <w:szCs w:val="22"/>
        </w:rPr>
        <w:t>EFICUR 50 mg/ml injekční suspenze pro prasata a skot</w:t>
      </w:r>
    </w:p>
    <w:bookmarkEnd w:id="0"/>
    <w:p w14:paraId="5906BB1F" w14:textId="77777777" w:rsidR="00C114FF" w:rsidRPr="001D77F6" w:rsidRDefault="00C114FF" w:rsidP="00A9226B">
      <w:pPr>
        <w:tabs>
          <w:tab w:val="clear" w:pos="567"/>
        </w:tabs>
        <w:spacing w:line="240" w:lineRule="auto"/>
        <w:rPr>
          <w:szCs w:val="22"/>
        </w:rPr>
      </w:pPr>
    </w:p>
    <w:p w14:paraId="7245778A" w14:textId="77777777" w:rsidR="00C114FF" w:rsidRPr="001D77F6" w:rsidRDefault="00C114FF" w:rsidP="00A9226B">
      <w:pPr>
        <w:tabs>
          <w:tab w:val="clear" w:pos="567"/>
        </w:tabs>
        <w:spacing w:line="240" w:lineRule="auto"/>
        <w:rPr>
          <w:szCs w:val="22"/>
        </w:rPr>
      </w:pPr>
    </w:p>
    <w:p w14:paraId="6E07DCD2" w14:textId="77777777" w:rsidR="00C114FF" w:rsidRPr="001D77F6" w:rsidRDefault="004270DD" w:rsidP="00B13B6D">
      <w:pPr>
        <w:pStyle w:val="Style1"/>
      </w:pPr>
      <w:r w:rsidRPr="001D77F6">
        <w:t>2.</w:t>
      </w:r>
      <w:r w:rsidRPr="001D77F6">
        <w:tab/>
        <w:t>KVALITATIVNÍ A KVANTITATIVNÍ SLOŽENÍ</w:t>
      </w:r>
    </w:p>
    <w:p w14:paraId="4226BD68" w14:textId="77777777" w:rsidR="00872F36" w:rsidRPr="001D77F6" w:rsidRDefault="00872F36" w:rsidP="00872F36">
      <w:pPr>
        <w:keepNext/>
        <w:widowControl w:val="0"/>
        <w:tabs>
          <w:tab w:val="left" w:pos="0"/>
        </w:tabs>
        <w:autoSpaceDE w:val="0"/>
        <w:autoSpaceDN w:val="0"/>
        <w:adjustRightInd w:val="0"/>
        <w:jc w:val="both"/>
        <w:rPr>
          <w:b/>
          <w:bCs/>
          <w:szCs w:val="22"/>
        </w:rPr>
      </w:pPr>
    </w:p>
    <w:p w14:paraId="143823FF" w14:textId="2762E2CB" w:rsidR="00872F36" w:rsidRPr="006E3364" w:rsidRDefault="00872F36" w:rsidP="00872F36">
      <w:pPr>
        <w:keepNext/>
        <w:widowControl w:val="0"/>
        <w:tabs>
          <w:tab w:val="left" w:pos="0"/>
        </w:tabs>
        <w:autoSpaceDE w:val="0"/>
        <w:autoSpaceDN w:val="0"/>
        <w:adjustRightInd w:val="0"/>
        <w:jc w:val="both"/>
        <w:rPr>
          <w:szCs w:val="22"/>
          <w:u w:val="single"/>
        </w:rPr>
      </w:pPr>
      <w:r w:rsidRPr="006E3364">
        <w:rPr>
          <w:szCs w:val="22"/>
          <w:u w:val="single"/>
        </w:rPr>
        <w:t>Každý ml obsahuje:</w:t>
      </w:r>
    </w:p>
    <w:p w14:paraId="14762A0E" w14:textId="77777777" w:rsidR="00872F36" w:rsidRPr="001D77F6" w:rsidRDefault="00872F36" w:rsidP="00A9226B">
      <w:pPr>
        <w:tabs>
          <w:tab w:val="clear" w:pos="567"/>
        </w:tabs>
        <w:spacing w:line="240" w:lineRule="auto"/>
        <w:rPr>
          <w:b/>
          <w:szCs w:val="22"/>
        </w:rPr>
      </w:pPr>
    </w:p>
    <w:p w14:paraId="668A2BBB" w14:textId="5F35226A" w:rsidR="00C114FF" w:rsidRPr="001D77F6" w:rsidRDefault="004270DD" w:rsidP="00A9226B">
      <w:pPr>
        <w:tabs>
          <w:tab w:val="clear" w:pos="567"/>
        </w:tabs>
        <w:spacing w:line="240" w:lineRule="auto"/>
        <w:rPr>
          <w:b/>
          <w:szCs w:val="22"/>
        </w:rPr>
      </w:pPr>
      <w:r w:rsidRPr="001D77F6">
        <w:rPr>
          <w:b/>
          <w:szCs w:val="22"/>
        </w:rPr>
        <w:t>Léčivé látky:</w:t>
      </w:r>
    </w:p>
    <w:p w14:paraId="3D6C2FB0" w14:textId="17A34DC1" w:rsidR="00872F36" w:rsidRPr="001D77F6" w:rsidRDefault="00872F36" w:rsidP="00872F36">
      <w:pPr>
        <w:widowControl w:val="0"/>
        <w:tabs>
          <w:tab w:val="left" w:pos="0"/>
        </w:tabs>
        <w:autoSpaceDE w:val="0"/>
        <w:autoSpaceDN w:val="0"/>
        <w:adjustRightInd w:val="0"/>
        <w:ind w:right="1984"/>
        <w:jc w:val="both"/>
        <w:rPr>
          <w:szCs w:val="22"/>
        </w:rPr>
      </w:pPr>
      <w:proofErr w:type="spellStart"/>
      <w:r w:rsidRPr="001D77F6">
        <w:rPr>
          <w:szCs w:val="22"/>
        </w:rPr>
        <w:t>Ceftiofurum</w:t>
      </w:r>
      <w:proofErr w:type="spellEnd"/>
      <w:r w:rsidRPr="001D77F6">
        <w:rPr>
          <w:szCs w:val="22"/>
        </w:rPr>
        <w:t xml:space="preserve"> (</w:t>
      </w:r>
      <w:r w:rsidR="00DD6E84">
        <w:rPr>
          <w:szCs w:val="22"/>
        </w:rPr>
        <w:t>jako</w:t>
      </w:r>
      <w:r w:rsidR="00A84E53">
        <w:rPr>
          <w:szCs w:val="22"/>
        </w:rPr>
        <w:t xml:space="preserve"> </w:t>
      </w:r>
      <w:proofErr w:type="spellStart"/>
      <w:r w:rsidR="00A84E53" w:rsidRPr="001D77F6">
        <w:rPr>
          <w:szCs w:val="22"/>
        </w:rPr>
        <w:t>Ceftiofur</w:t>
      </w:r>
      <w:r w:rsidR="00A84E53">
        <w:rPr>
          <w:szCs w:val="22"/>
        </w:rPr>
        <w:t>i</w:t>
      </w:r>
      <w:proofErr w:type="spellEnd"/>
      <w:r w:rsidRPr="001D77F6">
        <w:rPr>
          <w:szCs w:val="22"/>
        </w:rPr>
        <w:t xml:space="preserve"> </w:t>
      </w:r>
      <w:proofErr w:type="spellStart"/>
      <w:r w:rsidRPr="001D77F6">
        <w:rPr>
          <w:szCs w:val="22"/>
        </w:rPr>
        <w:t>hydrochloridum</w:t>
      </w:r>
      <w:proofErr w:type="spellEnd"/>
      <w:r w:rsidRPr="001D77F6">
        <w:rPr>
          <w:szCs w:val="22"/>
        </w:rPr>
        <w:t xml:space="preserve">) </w:t>
      </w:r>
      <w:r w:rsidRPr="001D77F6">
        <w:rPr>
          <w:szCs w:val="22"/>
        </w:rPr>
        <w:tab/>
        <w:t>50 mg</w:t>
      </w:r>
    </w:p>
    <w:p w14:paraId="4114CC73" w14:textId="77777777" w:rsidR="00C114FF" w:rsidRPr="001D77F6" w:rsidRDefault="00C114FF" w:rsidP="00A9226B">
      <w:pPr>
        <w:tabs>
          <w:tab w:val="clear" w:pos="567"/>
        </w:tabs>
        <w:spacing w:line="240" w:lineRule="auto"/>
        <w:rPr>
          <w:szCs w:val="22"/>
        </w:rPr>
      </w:pPr>
    </w:p>
    <w:p w14:paraId="55F42F38" w14:textId="44B40105" w:rsidR="00C114FF" w:rsidRPr="001D77F6" w:rsidRDefault="004270DD" w:rsidP="00A9226B">
      <w:pPr>
        <w:tabs>
          <w:tab w:val="clear" w:pos="567"/>
        </w:tabs>
        <w:spacing w:line="240" w:lineRule="auto"/>
        <w:rPr>
          <w:szCs w:val="22"/>
        </w:rPr>
      </w:pPr>
      <w:r w:rsidRPr="001D77F6">
        <w:rPr>
          <w:b/>
          <w:szCs w:val="22"/>
        </w:rPr>
        <w:t>Pomocné látky:</w:t>
      </w:r>
    </w:p>
    <w:p w14:paraId="13C45036" w14:textId="77777777" w:rsidR="00C114FF" w:rsidRPr="001D77F6"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tblGrid>
      <w:tr w:rsidR="00872F36" w:rsidRPr="001D77F6" w14:paraId="0B4C76E3" w14:textId="77777777" w:rsidTr="00872F36">
        <w:tc>
          <w:tcPr>
            <w:tcW w:w="4528" w:type="dxa"/>
            <w:vAlign w:val="center"/>
          </w:tcPr>
          <w:p w14:paraId="6D45EB6D" w14:textId="58943038" w:rsidR="00872F36" w:rsidRPr="001D77F6" w:rsidRDefault="00872F36" w:rsidP="00617B81">
            <w:pPr>
              <w:spacing w:before="60" w:after="60"/>
              <w:rPr>
                <w:b/>
                <w:bCs/>
                <w:iCs/>
                <w:szCs w:val="22"/>
              </w:rPr>
            </w:pPr>
            <w:r w:rsidRPr="001D77F6">
              <w:rPr>
                <w:b/>
                <w:bCs/>
                <w:iCs/>
                <w:szCs w:val="22"/>
              </w:rPr>
              <w:t>Kvalitativní složení pomocných látek a dalších složek</w:t>
            </w:r>
          </w:p>
        </w:tc>
      </w:tr>
      <w:tr w:rsidR="00872F36" w:rsidRPr="001D77F6" w14:paraId="7D5263D3" w14:textId="77777777" w:rsidTr="00872F36">
        <w:tc>
          <w:tcPr>
            <w:tcW w:w="4528" w:type="dxa"/>
            <w:vAlign w:val="center"/>
          </w:tcPr>
          <w:p w14:paraId="0F798F46" w14:textId="3002F86D" w:rsidR="00872F36" w:rsidRPr="001D77F6" w:rsidRDefault="00872F36" w:rsidP="00617B81">
            <w:pPr>
              <w:spacing w:before="60" w:after="60"/>
              <w:ind w:left="567" w:hanging="567"/>
              <w:rPr>
                <w:iCs/>
                <w:szCs w:val="22"/>
              </w:rPr>
            </w:pPr>
            <w:r w:rsidRPr="001D77F6">
              <w:rPr>
                <w:iCs/>
                <w:szCs w:val="22"/>
              </w:rPr>
              <w:t>Aluminium-monostearát</w:t>
            </w:r>
          </w:p>
        </w:tc>
      </w:tr>
      <w:tr w:rsidR="00872F36" w:rsidRPr="001D77F6" w14:paraId="6A4C5E50" w14:textId="77777777" w:rsidTr="00872F36">
        <w:tc>
          <w:tcPr>
            <w:tcW w:w="4528" w:type="dxa"/>
            <w:vAlign w:val="center"/>
          </w:tcPr>
          <w:p w14:paraId="5CCC8F42" w14:textId="1A7AE2AC" w:rsidR="00872F36" w:rsidRPr="001D77F6" w:rsidRDefault="00872F36" w:rsidP="00617B81">
            <w:pPr>
              <w:spacing w:before="60" w:after="60"/>
              <w:rPr>
                <w:iCs/>
                <w:szCs w:val="22"/>
              </w:rPr>
            </w:pPr>
            <w:r w:rsidRPr="001D77F6">
              <w:rPr>
                <w:iCs/>
                <w:szCs w:val="22"/>
              </w:rPr>
              <w:t>Sorbitan-oleát</w:t>
            </w:r>
          </w:p>
        </w:tc>
      </w:tr>
      <w:tr w:rsidR="00872F36" w:rsidRPr="001D77F6" w14:paraId="1E235C5B" w14:textId="77777777" w:rsidTr="00872F36">
        <w:tc>
          <w:tcPr>
            <w:tcW w:w="4528" w:type="dxa"/>
            <w:vAlign w:val="center"/>
          </w:tcPr>
          <w:p w14:paraId="0ECB18EE" w14:textId="2EBAB959" w:rsidR="00872F36" w:rsidRPr="001D77F6" w:rsidRDefault="002B5C88" w:rsidP="00617B81">
            <w:pPr>
              <w:spacing w:before="60" w:after="60"/>
              <w:rPr>
                <w:iCs/>
                <w:szCs w:val="22"/>
              </w:rPr>
            </w:pPr>
            <w:proofErr w:type="spellStart"/>
            <w:r>
              <w:rPr>
                <w:iCs/>
                <w:szCs w:val="22"/>
              </w:rPr>
              <w:t>T</w:t>
            </w:r>
            <w:r w:rsidR="00872F36" w:rsidRPr="001D77F6">
              <w:rPr>
                <w:iCs/>
                <w:szCs w:val="22"/>
              </w:rPr>
              <w:t>riacylglyceroly</w:t>
            </w:r>
            <w:proofErr w:type="spellEnd"/>
            <w:r>
              <w:rPr>
                <w:iCs/>
                <w:szCs w:val="22"/>
              </w:rPr>
              <w:t xml:space="preserve"> se středním řetězcem</w:t>
            </w:r>
          </w:p>
        </w:tc>
      </w:tr>
    </w:tbl>
    <w:p w14:paraId="38F51D2A" w14:textId="77777777" w:rsidR="00872C48" w:rsidRPr="001D77F6" w:rsidRDefault="00872C48" w:rsidP="00A9226B">
      <w:pPr>
        <w:tabs>
          <w:tab w:val="clear" w:pos="567"/>
        </w:tabs>
        <w:spacing w:line="240" w:lineRule="auto"/>
        <w:rPr>
          <w:szCs w:val="22"/>
        </w:rPr>
      </w:pPr>
    </w:p>
    <w:p w14:paraId="17D51212" w14:textId="77777777" w:rsidR="00872F36" w:rsidRPr="001D77F6" w:rsidRDefault="00872F36" w:rsidP="00872F36">
      <w:pPr>
        <w:widowControl w:val="0"/>
        <w:autoSpaceDE w:val="0"/>
        <w:autoSpaceDN w:val="0"/>
        <w:adjustRightInd w:val="0"/>
        <w:ind w:left="567" w:hanging="567"/>
        <w:jc w:val="both"/>
        <w:rPr>
          <w:szCs w:val="22"/>
        </w:rPr>
      </w:pPr>
      <w:r w:rsidRPr="001D77F6">
        <w:rPr>
          <w:szCs w:val="22"/>
        </w:rPr>
        <w:t>Bílá nebo nažloutlá olejová suspenze</w:t>
      </w:r>
    </w:p>
    <w:p w14:paraId="434EFBC4" w14:textId="77777777" w:rsidR="00872F36" w:rsidRPr="001D77F6" w:rsidRDefault="00872F36" w:rsidP="00A9226B">
      <w:pPr>
        <w:tabs>
          <w:tab w:val="clear" w:pos="567"/>
        </w:tabs>
        <w:spacing w:line="240" w:lineRule="auto"/>
        <w:rPr>
          <w:szCs w:val="22"/>
        </w:rPr>
      </w:pPr>
    </w:p>
    <w:p w14:paraId="2E6CA329" w14:textId="77777777" w:rsidR="00C114FF" w:rsidRPr="001D77F6" w:rsidRDefault="00C114FF" w:rsidP="00A9226B">
      <w:pPr>
        <w:tabs>
          <w:tab w:val="clear" w:pos="567"/>
        </w:tabs>
        <w:spacing w:line="240" w:lineRule="auto"/>
        <w:rPr>
          <w:szCs w:val="22"/>
        </w:rPr>
      </w:pPr>
    </w:p>
    <w:p w14:paraId="18BC19A3" w14:textId="77777777" w:rsidR="00C114FF" w:rsidRPr="001D77F6" w:rsidRDefault="004270DD" w:rsidP="00B13B6D">
      <w:pPr>
        <w:pStyle w:val="Style1"/>
      </w:pPr>
      <w:r w:rsidRPr="001D77F6">
        <w:t>3.</w:t>
      </w:r>
      <w:r w:rsidRPr="001D77F6">
        <w:tab/>
        <w:t>KLINICKÉ INFORMACE</w:t>
      </w:r>
    </w:p>
    <w:p w14:paraId="03304F78" w14:textId="77777777" w:rsidR="00C114FF" w:rsidRPr="001D77F6" w:rsidRDefault="00C114FF" w:rsidP="00A9226B">
      <w:pPr>
        <w:tabs>
          <w:tab w:val="clear" w:pos="567"/>
        </w:tabs>
        <w:spacing w:line="240" w:lineRule="auto"/>
        <w:rPr>
          <w:szCs w:val="22"/>
        </w:rPr>
      </w:pPr>
    </w:p>
    <w:p w14:paraId="6F656C7B" w14:textId="77777777" w:rsidR="00C114FF" w:rsidRPr="001D77F6" w:rsidRDefault="004270DD" w:rsidP="00B13B6D">
      <w:pPr>
        <w:pStyle w:val="Style1"/>
      </w:pPr>
      <w:r w:rsidRPr="001D77F6">
        <w:t>3.1</w:t>
      </w:r>
      <w:r w:rsidRPr="001D77F6">
        <w:tab/>
        <w:t>Cílové druhy zvířat</w:t>
      </w:r>
    </w:p>
    <w:p w14:paraId="376F927F" w14:textId="77777777" w:rsidR="00872F36" w:rsidRPr="001D77F6" w:rsidRDefault="00872F36" w:rsidP="00B13B6D">
      <w:pPr>
        <w:pStyle w:val="Style1"/>
      </w:pPr>
    </w:p>
    <w:p w14:paraId="50A08718" w14:textId="77777777" w:rsidR="00872F36" w:rsidRPr="001D77F6" w:rsidRDefault="00872F36" w:rsidP="00872F36">
      <w:pPr>
        <w:widowControl w:val="0"/>
        <w:autoSpaceDE w:val="0"/>
        <w:autoSpaceDN w:val="0"/>
        <w:adjustRightInd w:val="0"/>
        <w:ind w:left="567" w:hanging="567"/>
        <w:jc w:val="both"/>
        <w:rPr>
          <w:szCs w:val="22"/>
        </w:rPr>
      </w:pPr>
      <w:r w:rsidRPr="001D77F6">
        <w:rPr>
          <w:szCs w:val="22"/>
        </w:rPr>
        <w:t>Prasata a skot.</w:t>
      </w:r>
    </w:p>
    <w:p w14:paraId="581A9618" w14:textId="77777777" w:rsidR="00872F36" w:rsidRPr="001D77F6" w:rsidRDefault="00872F36" w:rsidP="00A9226B">
      <w:pPr>
        <w:tabs>
          <w:tab w:val="clear" w:pos="567"/>
        </w:tabs>
        <w:spacing w:line="240" w:lineRule="auto"/>
        <w:rPr>
          <w:szCs w:val="22"/>
        </w:rPr>
      </w:pPr>
    </w:p>
    <w:p w14:paraId="0B7F6CD1" w14:textId="595DDA74" w:rsidR="00C114FF" w:rsidRPr="001D77F6" w:rsidRDefault="004270DD" w:rsidP="00B13B6D">
      <w:pPr>
        <w:pStyle w:val="Style1"/>
      </w:pPr>
      <w:r w:rsidRPr="001D77F6">
        <w:t>3.2</w:t>
      </w:r>
      <w:r w:rsidRPr="001D77F6">
        <w:tab/>
        <w:t xml:space="preserve">Indikace pro použití pro každý cílový druh </w:t>
      </w:r>
      <w:r w:rsidR="0043586F" w:rsidRPr="001D77F6">
        <w:t>zvířat</w:t>
      </w:r>
    </w:p>
    <w:p w14:paraId="327E3A6F" w14:textId="77777777" w:rsidR="00C114FF" w:rsidRPr="001D77F6" w:rsidRDefault="00C114FF" w:rsidP="00A9226B">
      <w:pPr>
        <w:tabs>
          <w:tab w:val="clear" w:pos="567"/>
        </w:tabs>
        <w:spacing w:line="240" w:lineRule="auto"/>
        <w:rPr>
          <w:szCs w:val="22"/>
        </w:rPr>
      </w:pPr>
    </w:p>
    <w:p w14:paraId="07C596A3" w14:textId="77777777" w:rsidR="00872F36" w:rsidRPr="001D77F6" w:rsidRDefault="00872F36" w:rsidP="00872F36">
      <w:pPr>
        <w:widowControl w:val="0"/>
        <w:autoSpaceDE w:val="0"/>
        <w:autoSpaceDN w:val="0"/>
        <w:adjustRightInd w:val="0"/>
        <w:ind w:left="567" w:hanging="567"/>
        <w:jc w:val="both"/>
        <w:rPr>
          <w:szCs w:val="22"/>
        </w:rPr>
      </w:pPr>
      <w:r w:rsidRPr="001D77F6">
        <w:rPr>
          <w:szCs w:val="22"/>
        </w:rPr>
        <w:t>Infekce  vyvolané bakteriemi citlivými k ceftiofuru:</w:t>
      </w:r>
    </w:p>
    <w:p w14:paraId="42309327" w14:textId="77777777" w:rsidR="00872F36" w:rsidRPr="001D77F6" w:rsidRDefault="00872F36" w:rsidP="00872F36">
      <w:pPr>
        <w:widowControl w:val="0"/>
        <w:autoSpaceDE w:val="0"/>
        <w:autoSpaceDN w:val="0"/>
        <w:adjustRightInd w:val="0"/>
        <w:ind w:left="705" w:hanging="567"/>
        <w:jc w:val="both"/>
        <w:rPr>
          <w:szCs w:val="22"/>
          <w:u w:val="single"/>
        </w:rPr>
      </w:pPr>
    </w:p>
    <w:p w14:paraId="5C8A11E3" w14:textId="77777777" w:rsidR="00872F36" w:rsidRPr="001D77F6" w:rsidRDefault="00872F36" w:rsidP="00872F36">
      <w:pPr>
        <w:widowControl w:val="0"/>
        <w:autoSpaceDE w:val="0"/>
        <w:autoSpaceDN w:val="0"/>
        <w:adjustRightInd w:val="0"/>
        <w:ind w:left="567" w:hanging="567"/>
        <w:jc w:val="both"/>
        <w:rPr>
          <w:szCs w:val="22"/>
        </w:rPr>
      </w:pPr>
      <w:r w:rsidRPr="001D77F6">
        <w:rPr>
          <w:szCs w:val="22"/>
          <w:u w:val="single"/>
        </w:rPr>
        <w:t>Prasata:</w:t>
      </w:r>
      <w:r w:rsidRPr="001D77F6">
        <w:rPr>
          <w:szCs w:val="22"/>
        </w:rPr>
        <w:t xml:space="preserve"> </w:t>
      </w:r>
    </w:p>
    <w:p w14:paraId="37DD1FAF" w14:textId="66F5D107" w:rsidR="00872F36" w:rsidRPr="00C94327" w:rsidRDefault="00872F36" w:rsidP="006E3364">
      <w:pPr>
        <w:pStyle w:val="Odstavecseseznamem"/>
        <w:widowControl w:val="0"/>
        <w:numPr>
          <w:ilvl w:val="0"/>
          <w:numId w:val="44"/>
        </w:numPr>
        <w:tabs>
          <w:tab w:val="clear" w:pos="567"/>
          <w:tab w:val="left" w:pos="360"/>
        </w:tabs>
        <w:autoSpaceDE w:val="0"/>
        <w:autoSpaceDN w:val="0"/>
        <w:adjustRightInd w:val="0"/>
        <w:spacing w:line="240" w:lineRule="auto"/>
        <w:jc w:val="both"/>
        <w:rPr>
          <w:szCs w:val="22"/>
        </w:rPr>
      </w:pPr>
      <w:r w:rsidRPr="00C94327">
        <w:rPr>
          <w:szCs w:val="22"/>
        </w:rPr>
        <w:t xml:space="preserve">léčba respiračního onemocnění vyvolaného </w:t>
      </w:r>
      <w:r w:rsidR="00884183" w:rsidRPr="006E3364">
        <w:rPr>
          <w:i/>
          <w:iCs/>
          <w:szCs w:val="22"/>
        </w:rPr>
        <w:t xml:space="preserve">Actinobacillus </w:t>
      </w:r>
      <w:proofErr w:type="spellStart"/>
      <w:r w:rsidRPr="006E3364">
        <w:rPr>
          <w:i/>
          <w:iCs/>
          <w:szCs w:val="22"/>
        </w:rPr>
        <w:t>pleuropneumoniae</w:t>
      </w:r>
      <w:proofErr w:type="spellEnd"/>
      <w:r w:rsidRPr="006E3364">
        <w:rPr>
          <w:i/>
          <w:iCs/>
          <w:szCs w:val="22"/>
        </w:rPr>
        <w:t xml:space="preserve">, </w:t>
      </w:r>
      <w:proofErr w:type="spellStart"/>
      <w:r w:rsidRPr="006E3364">
        <w:rPr>
          <w:i/>
          <w:iCs/>
          <w:szCs w:val="22"/>
        </w:rPr>
        <w:t>Pasteurella</w:t>
      </w:r>
      <w:proofErr w:type="spellEnd"/>
      <w:r w:rsidRPr="006E3364">
        <w:rPr>
          <w:i/>
          <w:iCs/>
          <w:szCs w:val="22"/>
        </w:rPr>
        <w:t xml:space="preserve"> </w:t>
      </w:r>
      <w:proofErr w:type="spellStart"/>
      <w:r w:rsidRPr="006E3364">
        <w:rPr>
          <w:i/>
          <w:iCs/>
          <w:szCs w:val="22"/>
        </w:rPr>
        <w:t>multocida</w:t>
      </w:r>
      <w:proofErr w:type="spellEnd"/>
      <w:r w:rsidR="00787F06" w:rsidRPr="006E3364">
        <w:rPr>
          <w:i/>
          <w:iCs/>
          <w:szCs w:val="22"/>
        </w:rPr>
        <w:t xml:space="preserve"> </w:t>
      </w:r>
      <w:r w:rsidRPr="00C94327">
        <w:rPr>
          <w:szCs w:val="22"/>
        </w:rPr>
        <w:t xml:space="preserve">a </w:t>
      </w:r>
      <w:proofErr w:type="spellStart"/>
      <w:r w:rsidRPr="006E3364">
        <w:rPr>
          <w:i/>
          <w:iCs/>
          <w:szCs w:val="22"/>
        </w:rPr>
        <w:t>Streptococcus</w:t>
      </w:r>
      <w:proofErr w:type="spellEnd"/>
      <w:r w:rsidRPr="006E3364">
        <w:rPr>
          <w:i/>
          <w:iCs/>
          <w:szCs w:val="22"/>
        </w:rPr>
        <w:t xml:space="preserve"> </w:t>
      </w:r>
      <w:proofErr w:type="spellStart"/>
      <w:r w:rsidRPr="006E3364">
        <w:rPr>
          <w:i/>
          <w:iCs/>
          <w:szCs w:val="22"/>
        </w:rPr>
        <w:t>suis</w:t>
      </w:r>
      <w:proofErr w:type="spellEnd"/>
      <w:r w:rsidRPr="006E3364">
        <w:rPr>
          <w:i/>
          <w:iCs/>
          <w:szCs w:val="22"/>
        </w:rPr>
        <w:t>.</w:t>
      </w:r>
      <w:r w:rsidRPr="00C94327">
        <w:rPr>
          <w:szCs w:val="22"/>
        </w:rPr>
        <w:tab/>
      </w:r>
    </w:p>
    <w:p w14:paraId="39155DD5" w14:textId="77777777" w:rsidR="00872F36" w:rsidRPr="001D77F6" w:rsidRDefault="00872F36" w:rsidP="00872F36">
      <w:pPr>
        <w:widowControl w:val="0"/>
        <w:autoSpaceDE w:val="0"/>
        <w:autoSpaceDN w:val="0"/>
        <w:adjustRightInd w:val="0"/>
        <w:ind w:left="567" w:hanging="567"/>
        <w:jc w:val="both"/>
        <w:rPr>
          <w:szCs w:val="22"/>
        </w:rPr>
      </w:pPr>
    </w:p>
    <w:p w14:paraId="03BD8561" w14:textId="77777777" w:rsidR="00872F36" w:rsidRPr="001D77F6" w:rsidRDefault="00872F36" w:rsidP="00872F36">
      <w:pPr>
        <w:widowControl w:val="0"/>
        <w:autoSpaceDE w:val="0"/>
        <w:autoSpaceDN w:val="0"/>
        <w:adjustRightInd w:val="0"/>
        <w:ind w:left="567" w:hanging="567"/>
        <w:jc w:val="both"/>
        <w:rPr>
          <w:szCs w:val="22"/>
        </w:rPr>
      </w:pPr>
      <w:r w:rsidRPr="001D77F6">
        <w:rPr>
          <w:szCs w:val="22"/>
          <w:u w:val="single"/>
        </w:rPr>
        <w:t>Skot:</w:t>
      </w:r>
      <w:r w:rsidRPr="001D77F6">
        <w:rPr>
          <w:szCs w:val="22"/>
        </w:rPr>
        <w:t xml:space="preserve"> </w:t>
      </w:r>
    </w:p>
    <w:p w14:paraId="18B29B47" w14:textId="2B9F10DC" w:rsidR="00872F36" w:rsidRPr="00C94327" w:rsidRDefault="00872F36" w:rsidP="006E3364">
      <w:pPr>
        <w:pStyle w:val="Odstavecseseznamem"/>
        <w:widowControl w:val="0"/>
        <w:numPr>
          <w:ilvl w:val="0"/>
          <w:numId w:val="43"/>
        </w:numPr>
        <w:tabs>
          <w:tab w:val="clear" w:pos="567"/>
          <w:tab w:val="left" w:pos="360"/>
        </w:tabs>
        <w:autoSpaceDE w:val="0"/>
        <w:autoSpaceDN w:val="0"/>
        <w:adjustRightInd w:val="0"/>
        <w:spacing w:line="240" w:lineRule="auto"/>
        <w:jc w:val="both"/>
        <w:rPr>
          <w:szCs w:val="22"/>
        </w:rPr>
      </w:pPr>
      <w:r w:rsidRPr="00C94327">
        <w:rPr>
          <w:szCs w:val="22"/>
        </w:rPr>
        <w:t xml:space="preserve">léčba respiračního onemocnění vyvolaného </w:t>
      </w:r>
      <w:proofErr w:type="spellStart"/>
      <w:r w:rsidRPr="006E3364">
        <w:rPr>
          <w:i/>
          <w:iCs/>
          <w:szCs w:val="22"/>
        </w:rPr>
        <w:t>Histophilus</w:t>
      </w:r>
      <w:proofErr w:type="spellEnd"/>
      <w:r w:rsidRPr="006E3364">
        <w:rPr>
          <w:i/>
          <w:iCs/>
          <w:szCs w:val="22"/>
        </w:rPr>
        <w:t xml:space="preserve"> </w:t>
      </w:r>
      <w:proofErr w:type="spellStart"/>
      <w:r w:rsidRPr="006E3364">
        <w:rPr>
          <w:i/>
          <w:iCs/>
          <w:szCs w:val="22"/>
        </w:rPr>
        <w:t>somni</w:t>
      </w:r>
      <w:proofErr w:type="spellEnd"/>
      <w:r w:rsidRPr="006E3364">
        <w:rPr>
          <w:i/>
          <w:iCs/>
          <w:szCs w:val="22"/>
        </w:rPr>
        <w:t>,</w:t>
      </w:r>
      <w:r w:rsidRPr="00C94327">
        <w:rPr>
          <w:szCs w:val="22"/>
        </w:rPr>
        <w:t xml:space="preserve"> </w:t>
      </w:r>
      <w:proofErr w:type="spellStart"/>
      <w:r w:rsidRPr="006E3364">
        <w:rPr>
          <w:i/>
          <w:iCs/>
          <w:szCs w:val="22"/>
        </w:rPr>
        <w:t>Mannheimia</w:t>
      </w:r>
      <w:proofErr w:type="spellEnd"/>
      <w:r w:rsidRPr="006E3364">
        <w:rPr>
          <w:i/>
          <w:iCs/>
          <w:szCs w:val="22"/>
        </w:rPr>
        <w:t xml:space="preserve"> </w:t>
      </w:r>
      <w:proofErr w:type="spellStart"/>
      <w:r w:rsidRPr="006E3364">
        <w:rPr>
          <w:i/>
          <w:iCs/>
          <w:szCs w:val="22"/>
        </w:rPr>
        <w:t>haemolytica</w:t>
      </w:r>
      <w:proofErr w:type="spellEnd"/>
      <w:r w:rsidR="00787F06" w:rsidRPr="006E3364">
        <w:rPr>
          <w:i/>
          <w:iCs/>
          <w:szCs w:val="22"/>
        </w:rPr>
        <w:t xml:space="preserve"> a</w:t>
      </w:r>
      <w:r w:rsidRPr="006E3364">
        <w:rPr>
          <w:i/>
          <w:iCs/>
          <w:szCs w:val="22"/>
        </w:rPr>
        <w:t xml:space="preserve"> </w:t>
      </w:r>
      <w:proofErr w:type="spellStart"/>
      <w:r w:rsidRPr="006E3364">
        <w:rPr>
          <w:i/>
          <w:iCs/>
          <w:szCs w:val="22"/>
        </w:rPr>
        <w:t>Pasteurella</w:t>
      </w:r>
      <w:proofErr w:type="spellEnd"/>
      <w:r w:rsidRPr="006E3364">
        <w:rPr>
          <w:i/>
          <w:iCs/>
          <w:szCs w:val="22"/>
        </w:rPr>
        <w:t xml:space="preserve"> </w:t>
      </w:r>
      <w:proofErr w:type="spellStart"/>
      <w:r w:rsidRPr="006E3364">
        <w:rPr>
          <w:i/>
          <w:iCs/>
          <w:szCs w:val="22"/>
        </w:rPr>
        <w:t>multocida</w:t>
      </w:r>
      <w:proofErr w:type="spellEnd"/>
      <w:r w:rsidRPr="00C94327">
        <w:rPr>
          <w:szCs w:val="22"/>
        </w:rPr>
        <w:t>.</w:t>
      </w:r>
    </w:p>
    <w:p w14:paraId="16FBBFBF" w14:textId="77777777" w:rsidR="00872F36" w:rsidRPr="001D77F6" w:rsidRDefault="00872F36" w:rsidP="00872F36">
      <w:pPr>
        <w:widowControl w:val="0"/>
        <w:autoSpaceDE w:val="0"/>
        <w:autoSpaceDN w:val="0"/>
        <w:adjustRightInd w:val="0"/>
        <w:ind w:left="567" w:hanging="567"/>
        <w:jc w:val="both"/>
        <w:rPr>
          <w:szCs w:val="22"/>
        </w:rPr>
      </w:pPr>
    </w:p>
    <w:p w14:paraId="52F7CAC4" w14:textId="650A38B6" w:rsidR="00872F36" w:rsidRPr="006E3364" w:rsidRDefault="00872F36" w:rsidP="006E3364">
      <w:pPr>
        <w:pStyle w:val="Odstavecseseznamem"/>
        <w:widowControl w:val="0"/>
        <w:numPr>
          <w:ilvl w:val="0"/>
          <w:numId w:val="43"/>
        </w:numPr>
        <w:tabs>
          <w:tab w:val="clear" w:pos="567"/>
          <w:tab w:val="left" w:pos="360"/>
        </w:tabs>
        <w:autoSpaceDE w:val="0"/>
        <w:autoSpaceDN w:val="0"/>
        <w:adjustRightInd w:val="0"/>
        <w:spacing w:line="240" w:lineRule="auto"/>
        <w:jc w:val="both"/>
        <w:rPr>
          <w:i/>
          <w:iCs/>
          <w:szCs w:val="22"/>
        </w:rPr>
      </w:pPr>
      <w:r w:rsidRPr="00C94327">
        <w:rPr>
          <w:szCs w:val="22"/>
        </w:rPr>
        <w:t xml:space="preserve">léčba akutní </w:t>
      </w:r>
      <w:proofErr w:type="spellStart"/>
      <w:r w:rsidRPr="00C94327">
        <w:rPr>
          <w:szCs w:val="22"/>
        </w:rPr>
        <w:t>interdigitální</w:t>
      </w:r>
      <w:proofErr w:type="spellEnd"/>
      <w:r w:rsidRPr="00C94327">
        <w:rPr>
          <w:szCs w:val="22"/>
        </w:rPr>
        <w:t xml:space="preserve"> </w:t>
      </w:r>
      <w:proofErr w:type="spellStart"/>
      <w:r w:rsidRPr="00C94327">
        <w:rPr>
          <w:szCs w:val="22"/>
        </w:rPr>
        <w:t>necrobacilózy</w:t>
      </w:r>
      <w:proofErr w:type="spellEnd"/>
      <w:r w:rsidRPr="00C94327">
        <w:rPr>
          <w:szCs w:val="22"/>
        </w:rPr>
        <w:t xml:space="preserve"> (panaritium, </w:t>
      </w:r>
      <w:proofErr w:type="spellStart"/>
      <w:r w:rsidRPr="00C94327">
        <w:rPr>
          <w:szCs w:val="22"/>
        </w:rPr>
        <w:t>foot</w:t>
      </w:r>
      <w:proofErr w:type="spellEnd"/>
      <w:r w:rsidRPr="00C94327">
        <w:rPr>
          <w:szCs w:val="22"/>
        </w:rPr>
        <w:t xml:space="preserve"> rot), vyvolaného </w:t>
      </w:r>
      <w:proofErr w:type="spellStart"/>
      <w:r w:rsidRPr="006E3364">
        <w:rPr>
          <w:i/>
          <w:iCs/>
          <w:szCs w:val="22"/>
        </w:rPr>
        <w:t>Bacteroides</w:t>
      </w:r>
      <w:proofErr w:type="spellEnd"/>
      <w:r w:rsidRPr="006E3364">
        <w:rPr>
          <w:i/>
          <w:iCs/>
          <w:szCs w:val="22"/>
        </w:rPr>
        <w:t xml:space="preserve"> </w:t>
      </w:r>
      <w:proofErr w:type="spellStart"/>
      <w:r w:rsidRPr="006E3364">
        <w:rPr>
          <w:i/>
          <w:iCs/>
          <w:szCs w:val="22"/>
        </w:rPr>
        <w:t>melaninogenicus</w:t>
      </w:r>
      <w:proofErr w:type="spellEnd"/>
      <w:r w:rsidRPr="006E3364">
        <w:rPr>
          <w:i/>
          <w:iCs/>
          <w:szCs w:val="22"/>
        </w:rPr>
        <w:t xml:space="preserve"> (</w:t>
      </w:r>
      <w:proofErr w:type="spellStart"/>
      <w:r w:rsidRPr="006E3364">
        <w:rPr>
          <w:i/>
          <w:iCs/>
          <w:szCs w:val="22"/>
        </w:rPr>
        <w:t>Porphyromonas</w:t>
      </w:r>
      <w:proofErr w:type="spellEnd"/>
      <w:r w:rsidRPr="006E3364">
        <w:rPr>
          <w:i/>
          <w:iCs/>
          <w:szCs w:val="22"/>
        </w:rPr>
        <w:t xml:space="preserve"> </w:t>
      </w:r>
      <w:proofErr w:type="spellStart"/>
      <w:r w:rsidRPr="006E3364">
        <w:rPr>
          <w:i/>
          <w:iCs/>
          <w:szCs w:val="22"/>
        </w:rPr>
        <w:t>asaccharolytica</w:t>
      </w:r>
      <w:proofErr w:type="spellEnd"/>
      <w:r w:rsidRPr="006E3364">
        <w:rPr>
          <w:i/>
          <w:iCs/>
          <w:szCs w:val="22"/>
        </w:rPr>
        <w:t>)</w:t>
      </w:r>
      <w:r w:rsidR="004E0D9E" w:rsidRPr="006E3364">
        <w:rPr>
          <w:i/>
          <w:iCs/>
          <w:szCs w:val="22"/>
        </w:rPr>
        <w:t xml:space="preserve"> </w:t>
      </w:r>
      <w:r w:rsidR="004E0D9E" w:rsidRPr="006E3364">
        <w:rPr>
          <w:iCs/>
          <w:szCs w:val="22"/>
        </w:rPr>
        <w:t>a</w:t>
      </w:r>
      <w:r w:rsidR="004E0D9E" w:rsidRPr="006E3364">
        <w:rPr>
          <w:i/>
          <w:iCs/>
          <w:szCs w:val="22"/>
        </w:rPr>
        <w:t xml:space="preserve"> </w:t>
      </w:r>
      <w:r w:rsidR="004E0D9E" w:rsidRPr="006E3364">
        <w:rPr>
          <w:i/>
          <w:szCs w:val="22"/>
        </w:rPr>
        <w:t>Fusobacterium</w:t>
      </w:r>
      <w:r w:rsidR="004E0D9E" w:rsidRPr="006E3364">
        <w:rPr>
          <w:i/>
          <w:iCs/>
          <w:szCs w:val="22"/>
        </w:rPr>
        <w:t xml:space="preserve"> necrophorum.</w:t>
      </w:r>
    </w:p>
    <w:p w14:paraId="072AACE1" w14:textId="77777777" w:rsidR="00872F36" w:rsidRPr="001D77F6" w:rsidRDefault="00872F36" w:rsidP="00872F36">
      <w:pPr>
        <w:widowControl w:val="0"/>
        <w:autoSpaceDE w:val="0"/>
        <w:autoSpaceDN w:val="0"/>
        <w:adjustRightInd w:val="0"/>
        <w:ind w:left="567" w:hanging="567"/>
        <w:jc w:val="both"/>
        <w:rPr>
          <w:i/>
          <w:iCs/>
          <w:szCs w:val="22"/>
        </w:rPr>
      </w:pPr>
    </w:p>
    <w:p w14:paraId="0B36E7E4" w14:textId="4273EFD2" w:rsidR="00872F36" w:rsidRPr="00C94327" w:rsidRDefault="00872F36" w:rsidP="006E3364">
      <w:pPr>
        <w:pStyle w:val="Odstavecseseznamem"/>
        <w:widowControl w:val="0"/>
        <w:numPr>
          <w:ilvl w:val="0"/>
          <w:numId w:val="43"/>
        </w:numPr>
        <w:tabs>
          <w:tab w:val="clear" w:pos="567"/>
          <w:tab w:val="left" w:pos="360"/>
        </w:tabs>
        <w:autoSpaceDE w:val="0"/>
        <w:autoSpaceDN w:val="0"/>
        <w:adjustRightInd w:val="0"/>
        <w:spacing w:line="240" w:lineRule="auto"/>
        <w:jc w:val="both"/>
        <w:rPr>
          <w:szCs w:val="22"/>
        </w:rPr>
      </w:pPr>
      <w:r w:rsidRPr="00C94327">
        <w:rPr>
          <w:szCs w:val="22"/>
        </w:rPr>
        <w:t xml:space="preserve">léčba bakteriální složky akutní poporodní (puerperální) metritidy vyvolané </w:t>
      </w:r>
      <w:proofErr w:type="spellStart"/>
      <w:r w:rsidRPr="00C94327">
        <w:rPr>
          <w:i/>
          <w:iCs/>
          <w:szCs w:val="22"/>
        </w:rPr>
        <w:t>Arcanobacterium</w:t>
      </w:r>
      <w:proofErr w:type="spellEnd"/>
      <w:r w:rsidRPr="00C94327">
        <w:rPr>
          <w:i/>
          <w:iCs/>
          <w:szCs w:val="22"/>
        </w:rPr>
        <w:t xml:space="preserve"> </w:t>
      </w:r>
      <w:proofErr w:type="spellStart"/>
      <w:r w:rsidR="004E0D9E" w:rsidRPr="00C94327">
        <w:rPr>
          <w:i/>
          <w:iCs/>
          <w:szCs w:val="22"/>
        </w:rPr>
        <w:t>pyogenes</w:t>
      </w:r>
      <w:proofErr w:type="spellEnd"/>
      <w:r w:rsidR="008B5219" w:rsidRPr="00C94327">
        <w:rPr>
          <w:i/>
          <w:iCs/>
          <w:szCs w:val="22"/>
        </w:rPr>
        <w:t xml:space="preserve">, </w:t>
      </w:r>
      <w:proofErr w:type="spellStart"/>
      <w:r w:rsidR="009A1800" w:rsidRPr="006E3364">
        <w:rPr>
          <w:i/>
          <w:szCs w:val="22"/>
        </w:rPr>
        <w:t>Escherichia</w:t>
      </w:r>
      <w:proofErr w:type="spellEnd"/>
      <w:r w:rsidR="009A1800" w:rsidRPr="00C94327">
        <w:rPr>
          <w:i/>
          <w:iCs/>
          <w:szCs w:val="22"/>
        </w:rPr>
        <w:t xml:space="preserve"> </w:t>
      </w:r>
      <w:r w:rsidR="004E0D9E" w:rsidRPr="00C94327">
        <w:rPr>
          <w:i/>
          <w:iCs/>
          <w:szCs w:val="22"/>
        </w:rPr>
        <w:t>coli</w:t>
      </w:r>
      <w:r w:rsidR="004E0D9E" w:rsidRPr="00C94327">
        <w:rPr>
          <w:szCs w:val="22"/>
        </w:rPr>
        <w:t xml:space="preserve"> </w:t>
      </w:r>
      <w:r w:rsidRPr="00C94327">
        <w:rPr>
          <w:szCs w:val="22"/>
        </w:rPr>
        <w:t xml:space="preserve">a </w:t>
      </w:r>
      <w:r w:rsidRPr="00C94327">
        <w:rPr>
          <w:i/>
          <w:iCs/>
          <w:szCs w:val="22"/>
        </w:rPr>
        <w:t>Fusobacterium necrophorum</w:t>
      </w:r>
      <w:r w:rsidRPr="00C94327">
        <w:rPr>
          <w:szCs w:val="22"/>
        </w:rPr>
        <w:t xml:space="preserve"> do 10 dnů po </w:t>
      </w:r>
      <w:r w:rsidR="00C94327">
        <w:rPr>
          <w:szCs w:val="22"/>
        </w:rPr>
        <w:t>o</w:t>
      </w:r>
      <w:r w:rsidRPr="00C94327">
        <w:rPr>
          <w:szCs w:val="22"/>
        </w:rPr>
        <w:t>telení</w:t>
      </w:r>
      <w:r w:rsidRPr="00C94327">
        <w:rPr>
          <w:i/>
          <w:iCs/>
          <w:szCs w:val="22"/>
        </w:rPr>
        <w:t xml:space="preserve"> </w:t>
      </w:r>
      <w:r w:rsidRPr="00C94327">
        <w:rPr>
          <w:szCs w:val="22"/>
          <w:u w:val="single"/>
        </w:rPr>
        <w:t>(omezeno na případy, kde selhala léčba jinými antimikrobiálními přípravky).</w:t>
      </w:r>
    </w:p>
    <w:p w14:paraId="45A9E78C" w14:textId="77777777" w:rsidR="00E86CEE" w:rsidRPr="001D77F6" w:rsidRDefault="00E86CEE" w:rsidP="00145C3F">
      <w:pPr>
        <w:tabs>
          <w:tab w:val="clear" w:pos="567"/>
        </w:tabs>
        <w:spacing w:line="240" w:lineRule="auto"/>
        <w:rPr>
          <w:szCs w:val="22"/>
        </w:rPr>
      </w:pPr>
    </w:p>
    <w:p w14:paraId="2224B702" w14:textId="77777777" w:rsidR="00C114FF" w:rsidRPr="001D77F6" w:rsidRDefault="004270DD" w:rsidP="00B13B6D">
      <w:pPr>
        <w:pStyle w:val="Style1"/>
      </w:pPr>
      <w:r w:rsidRPr="001D77F6">
        <w:t>3.3</w:t>
      </w:r>
      <w:r w:rsidRPr="001D77F6">
        <w:tab/>
        <w:t>Kontraindikace</w:t>
      </w:r>
    </w:p>
    <w:p w14:paraId="7B6719E3" w14:textId="77777777" w:rsidR="00884183" w:rsidRDefault="00884183" w:rsidP="004E0D9E">
      <w:pPr>
        <w:widowControl w:val="0"/>
        <w:autoSpaceDE w:val="0"/>
        <w:autoSpaceDN w:val="0"/>
        <w:adjustRightInd w:val="0"/>
        <w:jc w:val="both"/>
      </w:pPr>
    </w:p>
    <w:p w14:paraId="159025AE" w14:textId="15F9F013" w:rsidR="004E0D9E" w:rsidRPr="001D77F6" w:rsidRDefault="004E0D9E" w:rsidP="004E0D9E">
      <w:pPr>
        <w:widowControl w:val="0"/>
        <w:autoSpaceDE w:val="0"/>
        <w:autoSpaceDN w:val="0"/>
        <w:adjustRightInd w:val="0"/>
        <w:jc w:val="both"/>
        <w:rPr>
          <w:szCs w:val="22"/>
        </w:rPr>
      </w:pPr>
      <w:r w:rsidRPr="001D77F6">
        <w:t>Nepoužívat v případech přecitlivělosti na</w:t>
      </w:r>
      <w:r w:rsidR="00C94327">
        <w:t xml:space="preserve"> </w:t>
      </w:r>
      <w:r w:rsidRPr="001D77F6">
        <w:t xml:space="preserve">léčivou látku nebo </w:t>
      </w:r>
      <w:r w:rsidR="00C94327">
        <w:rPr>
          <w:szCs w:val="22"/>
        </w:rPr>
        <w:t>na jiná beta</w:t>
      </w:r>
      <w:r w:rsidRPr="001D77F6">
        <w:rPr>
          <w:szCs w:val="22"/>
        </w:rPr>
        <w:t>-</w:t>
      </w:r>
      <w:proofErr w:type="spellStart"/>
      <w:r w:rsidRPr="001D77F6">
        <w:rPr>
          <w:szCs w:val="22"/>
        </w:rPr>
        <w:t>laktamov</w:t>
      </w:r>
      <w:r w:rsidR="00C94327">
        <w:rPr>
          <w:szCs w:val="22"/>
        </w:rPr>
        <w:t>á</w:t>
      </w:r>
      <w:proofErr w:type="spellEnd"/>
      <w:r w:rsidRPr="001D77F6">
        <w:rPr>
          <w:szCs w:val="22"/>
        </w:rPr>
        <w:t xml:space="preserve"> antibiotik</w:t>
      </w:r>
      <w:r w:rsidR="00C94327">
        <w:rPr>
          <w:szCs w:val="22"/>
        </w:rPr>
        <w:t>a</w:t>
      </w:r>
      <w:r w:rsidRPr="001D77F6">
        <w:t>.</w:t>
      </w:r>
      <w:r w:rsidR="00C94327">
        <w:t xml:space="preserve"> </w:t>
      </w:r>
      <w:r w:rsidRPr="001D77F6">
        <w:rPr>
          <w:szCs w:val="22"/>
        </w:rPr>
        <w:t>Nepodávat intravenózně.</w:t>
      </w:r>
    </w:p>
    <w:p w14:paraId="560234EA" w14:textId="77777777" w:rsidR="004E0D9E" w:rsidRPr="001D77F6" w:rsidRDefault="004E0D9E" w:rsidP="004E0D9E">
      <w:pPr>
        <w:widowControl w:val="0"/>
        <w:autoSpaceDE w:val="0"/>
        <w:autoSpaceDN w:val="0"/>
        <w:adjustRightInd w:val="0"/>
        <w:jc w:val="both"/>
        <w:rPr>
          <w:szCs w:val="22"/>
        </w:rPr>
      </w:pPr>
      <w:r w:rsidRPr="001D77F6">
        <w:rPr>
          <w:szCs w:val="22"/>
        </w:rPr>
        <w:t>Nepoužívat u drůbeže (včetně vajec) z důvodu rizika rozšíření rezistence k antibiotikům na člověka.</w:t>
      </w:r>
    </w:p>
    <w:p w14:paraId="54C2FA76" w14:textId="77777777" w:rsidR="00C114FF" w:rsidRPr="001D77F6" w:rsidRDefault="00C114FF" w:rsidP="00A9226B">
      <w:pPr>
        <w:tabs>
          <w:tab w:val="clear" w:pos="567"/>
        </w:tabs>
        <w:spacing w:line="240" w:lineRule="auto"/>
        <w:rPr>
          <w:szCs w:val="22"/>
        </w:rPr>
      </w:pPr>
    </w:p>
    <w:p w14:paraId="570F6F03" w14:textId="77777777" w:rsidR="00C114FF" w:rsidRPr="001D77F6" w:rsidRDefault="004270DD" w:rsidP="00B13B6D">
      <w:pPr>
        <w:pStyle w:val="Style1"/>
      </w:pPr>
      <w:r w:rsidRPr="001D77F6">
        <w:lastRenderedPageBreak/>
        <w:t>3.4</w:t>
      </w:r>
      <w:r w:rsidRPr="001D77F6">
        <w:tab/>
        <w:t>Zvláštní upozornění</w:t>
      </w:r>
    </w:p>
    <w:p w14:paraId="0622A062" w14:textId="77777777" w:rsidR="00C114FF" w:rsidRPr="001D77F6" w:rsidRDefault="00C114FF" w:rsidP="00145C3F">
      <w:pPr>
        <w:tabs>
          <w:tab w:val="clear" w:pos="567"/>
        </w:tabs>
        <w:spacing w:line="240" w:lineRule="auto"/>
        <w:rPr>
          <w:szCs w:val="22"/>
        </w:rPr>
      </w:pPr>
    </w:p>
    <w:p w14:paraId="796F7E5B" w14:textId="6FCA2D9B" w:rsidR="00C114FF" w:rsidRPr="001D77F6" w:rsidRDefault="004270DD" w:rsidP="00A9226B">
      <w:pPr>
        <w:tabs>
          <w:tab w:val="clear" w:pos="567"/>
        </w:tabs>
        <w:spacing w:line="240" w:lineRule="auto"/>
        <w:rPr>
          <w:szCs w:val="22"/>
        </w:rPr>
      </w:pPr>
      <w:r w:rsidRPr="001D77F6">
        <w:t>Nejsou.</w:t>
      </w:r>
    </w:p>
    <w:p w14:paraId="7D798E15" w14:textId="77777777" w:rsidR="00E86CEE" w:rsidRPr="001D77F6" w:rsidRDefault="00E86CEE">
      <w:pPr>
        <w:tabs>
          <w:tab w:val="clear" w:pos="567"/>
        </w:tabs>
        <w:spacing w:line="240" w:lineRule="auto"/>
        <w:rPr>
          <w:szCs w:val="22"/>
        </w:rPr>
      </w:pPr>
    </w:p>
    <w:p w14:paraId="3B4CC7AC" w14:textId="77777777" w:rsidR="00C114FF" w:rsidRPr="001D77F6" w:rsidRDefault="004270DD" w:rsidP="00B13B6D">
      <w:pPr>
        <w:pStyle w:val="Style1"/>
      </w:pPr>
      <w:r w:rsidRPr="001D77F6">
        <w:t>3.5</w:t>
      </w:r>
      <w:r w:rsidRPr="001D77F6">
        <w:tab/>
        <w:t>Zvláštní opatření pro použití</w:t>
      </w:r>
    </w:p>
    <w:p w14:paraId="0B94D7B2" w14:textId="77777777" w:rsidR="00C114FF" w:rsidRPr="001D77F6" w:rsidRDefault="00C114FF" w:rsidP="00145C3F">
      <w:pPr>
        <w:tabs>
          <w:tab w:val="clear" w:pos="567"/>
        </w:tabs>
        <w:spacing w:line="240" w:lineRule="auto"/>
        <w:rPr>
          <w:szCs w:val="22"/>
        </w:rPr>
      </w:pPr>
    </w:p>
    <w:p w14:paraId="682382B5" w14:textId="77777777" w:rsidR="00C114FF" w:rsidRPr="001D77F6" w:rsidRDefault="004270DD" w:rsidP="00BF00EF">
      <w:pPr>
        <w:tabs>
          <w:tab w:val="clear" w:pos="567"/>
        </w:tabs>
        <w:spacing w:line="240" w:lineRule="auto"/>
        <w:rPr>
          <w:szCs w:val="22"/>
          <w:u w:val="single"/>
        </w:rPr>
      </w:pPr>
      <w:r w:rsidRPr="001D77F6">
        <w:rPr>
          <w:szCs w:val="22"/>
          <w:u w:val="single"/>
        </w:rPr>
        <w:t>Zvláštní opatření pro bezpečné použití u cílových druhů zvířat:</w:t>
      </w:r>
    </w:p>
    <w:p w14:paraId="7D3EDF88" w14:textId="77777777" w:rsidR="00687332" w:rsidRPr="001D77F6" w:rsidRDefault="00687332" w:rsidP="00687332">
      <w:pPr>
        <w:widowControl w:val="0"/>
        <w:autoSpaceDE w:val="0"/>
        <w:autoSpaceDN w:val="0"/>
        <w:adjustRightInd w:val="0"/>
        <w:jc w:val="both"/>
        <w:rPr>
          <w:color w:val="000000"/>
          <w:szCs w:val="22"/>
        </w:rPr>
      </w:pPr>
      <w:r w:rsidRPr="001D77F6">
        <w:rPr>
          <w:color w:val="000000"/>
          <w:szCs w:val="22"/>
        </w:rPr>
        <w:t>V případě výskytu alergické reakce musí být léčba ukončena.</w:t>
      </w:r>
    </w:p>
    <w:p w14:paraId="6D429934" w14:textId="041B9F45" w:rsidR="00687332" w:rsidRPr="001D77F6" w:rsidRDefault="00687332" w:rsidP="00687332">
      <w:pPr>
        <w:tabs>
          <w:tab w:val="clear" w:pos="567"/>
        </w:tabs>
        <w:spacing w:line="240" w:lineRule="auto"/>
        <w:rPr>
          <w:szCs w:val="22"/>
        </w:rPr>
      </w:pPr>
      <w:proofErr w:type="spellStart"/>
      <w:r w:rsidRPr="001D77F6">
        <w:rPr>
          <w:szCs w:val="22"/>
        </w:rPr>
        <w:t>Ceftiofur</w:t>
      </w:r>
      <w:proofErr w:type="spellEnd"/>
      <w:r w:rsidRPr="001D77F6">
        <w:rPr>
          <w:szCs w:val="22"/>
        </w:rPr>
        <w:t xml:space="preserve"> má schopnost selektovat rezistentní kmeny, jako jsou baktérie přenášející beta</w:t>
      </w:r>
      <w:r w:rsidR="0043316E">
        <w:rPr>
          <w:szCs w:val="22"/>
        </w:rPr>
        <w:t>-</w:t>
      </w:r>
      <w:proofErr w:type="spellStart"/>
      <w:r w:rsidRPr="001D77F6">
        <w:rPr>
          <w:szCs w:val="22"/>
        </w:rPr>
        <w:t>laktamáz</w:t>
      </w:r>
      <w:r w:rsidR="00C94327">
        <w:rPr>
          <w:szCs w:val="22"/>
        </w:rPr>
        <w:t>y</w:t>
      </w:r>
      <w:proofErr w:type="spellEnd"/>
      <w:r w:rsidRPr="001D77F6">
        <w:rPr>
          <w:szCs w:val="22"/>
        </w:rPr>
        <w:t xml:space="preserve"> rozšířeného spektra (ESBL), a může představovat pro člověka riziko, pokud dojde k přenosu takových kmenů na člověka, např. prostřednictvím potravy. </w:t>
      </w:r>
      <w:r w:rsidR="00970088">
        <w:rPr>
          <w:szCs w:val="22"/>
        </w:rPr>
        <w:t>D</w:t>
      </w:r>
      <w:r w:rsidRPr="001D77F6">
        <w:rPr>
          <w:szCs w:val="22"/>
        </w:rPr>
        <w:t xml:space="preserve">oporučuje </w:t>
      </w:r>
      <w:r w:rsidR="00970088">
        <w:rPr>
          <w:szCs w:val="22"/>
        </w:rPr>
        <w:t xml:space="preserve">se </w:t>
      </w:r>
      <w:r w:rsidRPr="001D77F6">
        <w:rPr>
          <w:szCs w:val="22"/>
        </w:rPr>
        <w:t xml:space="preserve">vyhradit </w:t>
      </w:r>
      <w:proofErr w:type="spellStart"/>
      <w:r w:rsidRPr="001D77F6">
        <w:rPr>
          <w:szCs w:val="22"/>
        </w:rPr>
        <w:t>ceftiofur</w:t>
      </w:r>
      <w:proofErr w:type="spellEnd"/>
      <w:r w:rsidRPr="001D77F6">
        <w:rPr>
          <w:szCs w:val="22"/>
        </w:rPr>
        <w:t xml:space="preserve"> pro léčbu klinických stavů, které špatně reagovaly, nebo lze očekávat, že budou špatně reagovat na léčbu první volby (týká se velmi akutních případů, kdy je nutno zahájit léčbu bez bakteriologické diagnózy).</w:t>
      </w:r>
    </w:p>
    <w:p w14:paraId="37672138" w14:textId="14FC0DE9" w:rsidR="00687332" w:rsidRPr="001D77F6" w:rsidRDefault="00687332" w:rsidP="00A9226B">
      <w:pPr>
        <w:tabs>
          <w:tab w:val="clear" w:pos="567"/>
        </w:tabs>
        <w:spacing w:line="240" w:lineRule="auto"/>
        <w:rPr>
          <w:szCs w:val="22"/>
        </w:rPr>
      </w:pPr>
      <w:r w:rsidRPr="001D77F6">
        <w:rPr>
          <w:szCs w:val="22"/>
        </w:rPr>
        <w:t xml:space="preserve">Při </w:t>
      </w:r>
      <w:r w:rsidR="00970088">
        <w:rPr>
          <w:szCs w:val="22"/>
        </w:rPr>
        <w:t>p</w:t>
      </w:r>
      <w:r w:rsidRPr="001D77F6">
        <w:rPr>
          <w:szCs w:val="22"/>
        </w:rPr>
        <w:t xml:space="preserve">oužití </w:t>
      </w:r>
      <w:r w:rsidR="00911EB9">
        <w:rPr>
          <w:szCs w:val="22"/>
        </w:rPr>
        <w:t xml:space="preserve">veterinárního léčivého </w:t>
      </w:r>
      <w:r w:rsidRPr="001D77F6">
        <w:rPr>
          <w:szCs w:val="22"/>
        </w:rPr>
        <w:t>přípravku je nutno vzít v úvahu oficiální, národní a regionální pravidla antibiotické politiky. Nadměrné používání, včetně použití, které se liší od pokynů uvedených v SPC, může zvýšit výskyt takové rezistence. Vždy , když je to možné, mělo by být použití ceftiofuru založeno na výsledcích testu citlivosti.</w:t>
      </w:r>
    </w:p>
    <w:p w14:paraId="04F6E1C5" w14:textId="77777777" w:rsidR="00687332" w:rsidRPr="001D77F6" w:rsidRDefault="00687332" w:rsidP="00A9226B">
      <w:pPr>
        <w:tabs>
          <w:tab w:val="clear" w:pos="567"/>
        </w:tabs>
        <w:spacing w:line="240" w:lineRule="auto"/>
        <w:rPr>
          <w:szCs w:val="22"/>
        </w:rPr>
      </w:pPr>
    </w:p>
    <w:p w14:paraId="162F54DC" w14:textId="339DC5F8" w:rsidR="00687332" w:rsidRPr="001D77F6" w:rsidRDefault="00687332" w:rsidP="00A9226B">
      <w:pPr>
        <w:tabs>
          <w:tab w:val="clear" w:pos="567"/>
        </w:tabs>
        <w:spacing w:line="240" w:lineRule="auto"/>
        <w:rPr>
          <w:szCs w:val="22"/>
        </w:rPr>
      </w:pPr>
      <w:proofErr w:type="spellStart"/>
      <w:proofErr w:type="gramStart"/>
      <w:r w:rsidRPr="001D77F6">
        <w:rPr>
          <w:szCs w:val="22"/>
        </w:rPr>
        <w:t>Ceftiofur</w:t>
      </w:r>
      <w:proofErr w:type="spellEnd"/>
      <w:r w:rsidRPr="001D77F6">
        <w:rPr>
          <w:szCs w:val="22"/>
        </w:rPr>
        <w:t xml:space="preserve">  </w:t>
      </w:r>
      <w:r w:rsidR="004236B5">
        <w:rPr>
          <w:szCs w:val="22"/>
        </w:rPr>
        <w:t>je</w:t>
      </w:r>
      <w:proofErr w:type="gramEnd"/>
      <w:r w:rsidR="004236B5">
        <w:rPr>
          <w:szCs w:val="22"/>
        </w:rPr>
        <w:t xml:space="preserve"> určen pro léčbu pouze </w:t>
      </w:r>
      <w:r w:rsidR="00F42628">
        <w:rPr>
          <w:szCs w:val="22"/>
        </w:rPr>
        <w:t xml:space="preserve">jednotlivých </w:t>
      </w:r>
      <w:r w:rsidRPr="001D77F6">
        <w:rPr>
          <w:szCs w:val="22"/>
        </w:rPr>
        <w:t>zvířat.</w:t>
      </w:r>
    </w:p>
    <w:p w14:paraId="3D1025BF" w14:textId="24AE4D75" w:rsidR="00687332" w:rsidRPr="001D77F6" w:rsidRDefault="00687332" w:rsidP="00687332">
      <w:pPr>
        <w:widowControl w:val="0"/>
        <w:autoSpaceDE w:val="0"/>
        <w:autoSpaceDN w:val="0"/>
        <w:adjustRightInd w:val="0"/>
        <w:jc w:val="both"/>
        <w:rPr>
          <w:szCs w:val="22"/>
        </w:rPr>
      </w:pPr>
      <w:r w:rsidRPr="001D77F6">
        <w:rPr>
          <w:szCs w:val="22"/>
        </w:rPr>
        <w:t>Nepoužívat jako prevenci onemocnění nebo v rámci ozdravných programů stád. Léčbu skupin zvířat je nutno přísně omezit na případy, kdy již onemocnění propuklo</w:t>
      </w:r>
      <w:r w:rsidR="006E3364">
        <w:rPr>
          <w:szCs w:val="22"/>
        </w:rPr>
        <w:t>,</w:t>
      </w:r>
      <w:r w:rsidRPr="001D77F6">
        <w:rPr>
          <w:szCs w:val="22"/>
        </w:rPr>
        <w:t xml:space="preserve"> a to v souladu se schválenými podmínkami použití (viz oddíl 3.2 Indikace</w:t>
      </w:r>
      <w:r w:rsidR="00970088">
        <w:rPr>
          <w:szCs w:val="22"/>
        </w:rPr>
        <w:t xml:space="preserve"> pro použití</w:t>
      </w:r>
      <w:r w:rsidRPr="001D77F6">
        <w:rPr>
          <w:szCs w:val="22"/>
        </w:rPr>
        <w:t xml:space="preserve"> pro </w:t>
      </w:r>
      <w:r w:rsidR="00970088">
        <w:rPr>
          <w:szCs w:val="22"/>
        </w:rPr>
        <w:t xml:space="preserve">každý </w:t>
      </w:r>
      <w:r w:rsidRPr="001D77F6">
        <w:rPr>
          <w:szCs w:val="22"/>
        </w:rPr>
        <w:t>cílový druh zvířat).</w:t>
      </w:r>
    </w:p>
    <w:p w14:paraId="25941FD0" w14:textId="77777777" w:rsidR="00687332" w:rsidRPr="001D77F6" w:rsidRDefault="00687332" w:rsidP="00687332">
      <w:pPr>
        <w:widowControl w:val="0"/>
        <w:autoSpaceDE w:val="0"/>
        <w:autoSpaceDN w:val="0"/>
        <w:adjustRightInd w:val="0"/>
        <w:ind w:left="567" w:hanging="567"/>
        <w:jc w:val="both"/>
        <w:rPr>
          <w:szCs w:val="22"/>
        </w:rPr>
      </w:pPr>
      <w:r w:rsidRPr="001D77F6">
        <w:rPr>
          <w:szCs w:val="22"/>
        </w:rPr>
        <w:t>Nepoužívat jako profylaxi v případě zadržené placenty.</w:t>
      </w:r>
    </w:p>
    <w:p w14:paraId="117F609A" w14:textId="77777777" w:rsidR="00C114FF" w:rsidRPr="001D77F6" w:rsidRDefault="00C114FF" w:rsidP="00A9226B">
      <w:pPr>
        <w:tabs>
          <w:tab w:val="clear" w:pos="567"/>
        </w:tabs>
        <w:spacing w:line="240" w:lineRule="auto"/>
        <w:rPr>
          <w:szCs w:val="22"/>
        </w:rPr>
      </w:pPr>
    </w:p>
    <w:p w14:paraId="5EA9A9E4" w14:textId="77777777" w:rsidR="00C114FF" w:rsidRPr="001D77F6" w:rsidRDefault="004270DD" w:rsidP="00BF00EF">
      <w:pPr>
        <w:tabs>
          <w:tab w:val="clear" w:pos="567"/>
        </w:tabs>
        <w:spacing w:line="240" w:lineRule="auto"/>
        <w:rPr>
          <w:szCs w:val="22"/>
          <w:u w:val="single"/>
        </w:rPr>
      </w:pPr>
      <w:r w:rsidRPr="001D77F6">
        <w:rPr>
          <w:szCs w:val="22"/>
          <w:u w:val="single"/>
        </w:rPr>
        <w:t>Zvláštní opatření pro osobu, která podává veterinární léčivý přípravek zvířatům:</w:t>
      </w:r>
    </w:p>
    <w:p w14:paraId="240819E3" w14:textId="66157148" w:rsidR="00687332" w:rsidRPr="001D77F6" w:rsidRDefault="00687332" w:rsidP="00687332">
      <w:pPr>
        <w:widowControl w:val="0"/>
        <w:autoSpaceDE w:val="0"/>
        <w:autoSpaceDN w:val="0"/>
        <w:adjustRightInd w:val="0"/>
        <w:jc w:val="both"/>
        <w:rPr>
          <w:szCs w:val="22"/>
        </w:rPr>
      </w:pPr>
      <w:r w:rsidRPr="001D77F6">
        <w:rPr>
          <w:szCs w:val="22"/>
        </w:rPr>
        <w:t xml:space="preserve">Peniciliny a cefalosporiny mohou po injekci, inhalaci, požití nebo kontaktu s pokožkou vyvolat hypersenzitivitu (alergii). Hypersenzitivita k penicilinům může vést ke zkřížené reakci s cefalosporiny a naopak. Alergické reakce na tyto látky mohou být </w:t>
      </w:r>
      <w:bookmarkStart w:id="1" w:name="_Hlk209776434"/>
      <w:r w:rsidR="00D0557B" w:rsidRPr="00E00612">
        <w:rPr>
          <w:szCs w:val="22"/>
        </w:rPr>
        <w:t xml:space="preserve">v některých případech </w:t>
      </w:r>
      <w:bookmarkEnd w:id="1"/>
      <w:r w:rsidR="00D0557B" w:rsidRPr="00E00612">
        <w:rPr>
          <w:szCs w:val="22"/>
        </w:rPr>
        <w:t>vážné</w:t>
      </w:r>
      <w:r w:rsidRPr="001D77F6">
        <w:rPr>
          <w:szCs w:val="22"/>
        </w:rPr>
        <w:t>.</w:t>
      </w:r>
    </w:p>
    <w:p w14:paraId="59BBE1D6" w14:textId="5FA7B497" w:rsidR="00687332" w:rsidRPr="001D77F6" w:rsidRDefault="00687332" w:rsidP="00687332">
      <w:pPr>
        <w:widowControl w:val="0"/>
        <w:autoSpaceDE w:val="0"/>
        <w:autoSpaceDN w:val="0"/>
        <w:adjustRightInd w:val="0"/>
        <w:jc w:val="both"/>
        <w:rPr>
          <w:szCs w:val="22"/>
        </w:rPr>
      </w:pPr>
      <w:r w:rsidRPr="001D77F6">
        <w:rPr>
          <w:szCs w:val="22"/>
        </w:rPr>
        <w:t>Lidé se známou přecitlivělostí na peniciliny či cefalosporiny by se měli vyhnout kontaktu s</w:t>
      </w:r>
      <w:r w:rsidR="00D0557B">
        <w:rPr>
          <w:szCs w:val="22"/>
        </w:rPr>
        <w:t> </w:t>
      </w:r>
      <w:bookmarkStart w:id="2" w:name="_Hlk209776452"/>
      <w:r w:rsidR="00D0557B">
        <w:rPr>
          <w:szCs w:val="22"/>
        </w:rPr>
        <w:t xml:space="preserve">veterinárním léčivým </w:t>
      </w:r>
      <w:bookmarkEnd w:id="2"/>
      <w:r w:rsidRPr="001D77F6">
        <w:rPr>
          <w:szCs w:val="22"/>
        </w:rPr>
        <w:t>přípravkem.</w:t>
      </w:r>
    </w:p>
    <w:p w14:paraId="317DC532" w14:textId="7F6188B5" w:rsidR="00687332" w:rsidRPr="001D77F6" w:rsidRDefault="00687332" w:rsidP="00687332">
      <w:pPr>
        <w:widowControl w:val="0"/>
        <w:autoSpaceDE w:val="0"/>
        <w:autoSpaceDN w:val="0"/>
        <w:adjustRightInd w:val="0"/>
        <w:jc w:val="both"/>
        <w:rPr>
          <w:b/>
          <w:bCs/>
          <w:szCs w:val="22"/>
        </w:rPr>
      </w:pPr>
      <w:r w:rsidRPr="001D77F6">
        <w:rPr>
          <w:szCs w:val="22"/>
        </w:rPr>
        <w:t xml:space="preserve">V případě náhodného sebepoškození injekčně </w:t>
      </w:r>
      <w:r w:rsidR="00D0557B">
        <w:rPr>
          <w:szCs w:val="22"/>
        </w:rPr>
        <w:t>podaným</w:t>
      </w:r>
      <w:r w:rsidR="00D0557B" w:rsidRPr="001D77F6">
        <w:rPr>
          <w:szCs w:val="22"/>
        </w:rPr>
        <w:t xml:space="preserve"> </w:t>
      </w:r>
      <w:r w:rsidRPr="001D77F6">
        <w:rPr>
          <w:szCs w:val="22"/>
        </w:rPr>
        <w:t>přípravkem nebo pokud se rozvinou příznaky jako je kožní vyrážka, vyhledejte ihned lékařskou pomoc a ukažte příbalovou informaci nebo etiketu ošetřujícímu lékaři.</w:t>
      </w:r>
    </w:p>
    <w:p w14:paraId="236D4E2E" w14:textId="5BC68F5F" w:rsidR="00687332" w:rsidRPr="001D77F6" w:rsidRDefault="00687332" w:rsidP="00687332">
      <w:pPr>
        <w:widowControl w:val="0"/>
        <w:autoSpaceDE w:val="0"/>
        <w:autoSpaceDN w:val="0"/>
        <w:adjustRightInd w:val="0"/>
        <w:jc w:val="both"/>
        <w:rPr>
          <w:szCs w:val="22"/>
        </w:rPr>
      </w:pPr>
      <w:r w:rsidRPr="001D77F6">
        <w:rPr>
          <w:szCs w:val="22"/>
        </w:rPr>
        <w:t>Otoky obličeje, rtů nebo očí nebo obtíže při dýchání jsou vážn</w:t>
      </w:r>
      <w:r w:rsidR="00D0557B">
        <w:rPr>
          <w:szCs w:val="22"/>
        </w:rPr>
        <w:t>é</w:t>
      </w:r>
      <w:r w:rsidRPr="001D77F6">
        <w:rPr>
          <w:szCs w:val="22"/>
        </w:rPr>
        <w:t xml:space="preserve"> příznaky a vyžadují okamžité lékařské ošetření.</w:t>
      </w:r>
    </w:p>
    <w:p w14:paraId="7D364D19" w14:textId="77777777" w:rsidR="00C114FF" w:rsidRPr="001D77F6" w:rsidRDefault="00C114FF" w:rsidP="00A9226B">
      <w:pPr>
        <w:tabs>
          <w:tab w:val="clear" w:pos="567"/>
        </w:tabs>
        <w:spacing w:line="240" w:lineRule="auto"/>
        <w:rPr>
          <w:szCs w:val="22"/>
        </w:rPr>
      </w:pPr>
    </w:p>
    <w:p w14:paraId="2738C061" w14:textId="77777777" w:rsidR="00295140" w:rsidRPr="001D77F6" w:rsidRDefault="004270DD" w:rsidP="00C83A63">
      <w:pPr>
        <w:keepNext/>
        <w:tabs>
          <w:tab w:val="clear" w:pos="567"/>
        </w:tabs>
        <w:spacing w:line="240" w:lineRule="auto"/>
        <w:rPr>
          <w:szCs w:val="22"/>
          <w:u w:val="single"/>
        </w:rPr>
      </w:pPr>
      <w:r w:rsidRPr="001D77F6">
        <w:rPr>
          <w:szCs w:val="22"/>
          <w:u w:val="single"/>
        </w:rPr>
        <w:t>Zvláštní opatření pro ochranu životního prostředí:</w:t>
      </w:r>
    </w:p>
    <w:p w14:paraId="740CABE0" w14:textId="77777777" w:rsidR="00687332" w:rsidRPr="001D77F6" w:rsidRDefault="00687332" w:rsidP="00687332">
      <w:pPr>
        <w:tabs>
          <w:tab w:val="clear" w:pos="567"/>
        </w:tabs>
        <w:spacing w:line="240" w:lineRule="auto"/>
        <w:rPr>
          <w:szCs w:val="22"/>
        </w:rPr>
      </w:pPr>
      <w:r w:rsidRPr="001D77F6">
        <w:t>Neuplatňuje se.</w:t>
      </w:r>
    </w:p>
    <w:p w14:paraId="309A1DB9" w14:textId="77777777" w:rsidR="00295140" w:rsidRPr="001D77F6" w:rsidRDefault="00295140" w:rsidP="00A9226B">
      <w:pPr>
        <w:tabs>
          <w:tab w:val="clear" w:pos="567"/>
        </w:tabs>
        <w:spacing w:line="240" w:lineRule="auto"/>
        <w:rPr>
          <w:szCs w:val="22"/>
        </w:rPr>
      </w:pPr>
    </w:p>
    <w:p w14:paraId="237314DB" w14:textId="77777777" w:rsidR="00C114FF" w:rsidRPr="001D77F6" w:rsidRDefault="004270DD" w:rsidP="00B13B6D">
      <w:pPr>
        <w:pStyle w:val="Style1"/>
      </w:pPr>
      <w:r w:rsidRPr="001D77F6">
        <w:t>3.6</w:t>
      </w:r>
      <w:r w:rsidRPr="001D77F6">
        <w:tab/>
        <w:t>Nežádoucí účinky</w:t>
      </w:r>
    </w:p>
    <w:p w14:paraId="669C145E" w14:textId="6B24F81D" w:rsidR="00295140" w:rsidRPr="001D77F6" w:rsidRDefault="00295140" w:rsidP="00295140">
      <w:pPr>
        <w:rPr>
          <w:szCs w:val="22"/>
        </w:rPr>
      </w:pPr>
    </w:p>
    <w:p w14:paraId="7AC0D6F7" w14:textId="500F8C11" w:rsidR="00687332" w:rsidRPr="001D77F6" w:rsidRDefault="00687332" w:rsidP="00295140">
      <w:pPr>
        <w:rPr>
          <w:szCs w:val="22"/>
        </w:rPr>
      </w:pPr>
      <w:r w:rsidRPr="001D77F6">
        <w:rPr>
          <w:szCs w:val="22"/>
        </w:rPr>
        <w:t>Skot:</w:t>
      </w:r>
    </w:p>
    <w:p w14:paraId="76E226B6" w14:textId="77777777" w:rsidR="00687332" w:rsidRPr="001D77F6" w:rsidRDefault="00687332"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F41A72" w:rsidRPr="001D77F6" w14:paraId="2A97D209" w14:textId="77777777" w:rsidTr="00617B81">
        <w:tc>
          <w:tcPr>
            <w:tcW w:w="1957" w:type="pct"/>
          </w:tcPr>
          <w:p w14:paraId="2E9ACDC6" w14:textId="77777777" w:rsidR="007B51D8" w:rsidRPr="001D77F6" w:rsidRDefault="007B51D8" w:rsidP="007B51D8">
            <w:pPr>
              <w:spacing w:before="60" w:after="60"/>
              <w:rPr>
                <w:szCs w:val="22"/>
              </w:rPr>
            </w:pPr>
            <w:bookmarkStart w:id="3" w:name="_Hlk205189866"/>
            <w:r w:rsidRPr="001D77F6">
              <w:t>Velmi vzácné</w:t>
            </w:r>
          </w:p>
          <w:p w14:paraId="78E246FA" w14:textId="36152761" w:rsidR="00295140" w:rsidRPr="001D77F6" w:rsidRDefault="007B51D8" w:rsidP="007B51D8">
            <w:pPr>
              <w:spacing w:before="60" w:after="60"/>
              <w:rPr>
                <w:szCs w:val="22"/>
              </w:rPr>
            </w:pPr>
            <w:r w:rsidRPr="001D77F6">
              <w:t>(&lt;1 zvíře / 10 000 ošetřených zvířat):</w:t>
            </w:r>
          </w:p>
        </w:tc>
        <w:tc>
          <w:tcPr>
            <w:tcW w:w="3043" w:type="pct"/>
            <w:hideMark/>
          </w:tcPr>
          <w:p w14:paraId="33D6E351" w14:textId="5520E027" w:rsidR="00884183" w:rsidRDefault="00A96656" w:rsidP="00A96656">
            <w:r w:rsidRPr="002D2BF1">
              <w:t xml:space="preserve">Reakce v místě </w:t>
            </w:r>
            <w:r w:rsidR="00AD56C7">
              <w:t>injekčního podání</w:t>
            </w:r>
            <w:r w:rsidRPr="002D2BF1">
              <w:t xml:space="preserve">¹ (např. edém, změna </w:t>
            </w:r>
            <w:proofErr w:type="gramStart"/>
            <w:r w:rsidRPr="002D2BF1">
              <w:t>zabarvení)²</w:t>
            </w:r>
            <w:proofErr w:type="gramEnd"/>
          </w:p>
          <w:p w14:paraId="4E95603A" w14:textId="69442363" w:rsidR="00A96656" w:rsidRPr="002D2BF1" w:rsidRDefault="00AD56C7" w:rsidP="00A96656">
            <w:r>
              <w:t>Hypersenzitivní reakce</w:t>
            </w:r>
            <w:r w:rsidR="00A96656" w:rsidRPr="002D2BF1">
              <w:t>³, alergická reakce (např. kožní alergická reakce, anafylaxe)</w:t>
            </w:r>
          </w:p>
          <w:p w14:paraId="1BC9DFB5" w14:textId="4FCAC316" w:rsidR="00295140" w:rsidRPr="001D77F6" w:rsidRDefault="00295140" w:rsidP="007B51D8">
            <w:pPr>
              <w:spacing w:before="60" w:after="60"/>
              <w:rPr>
                <w:iCs/>
                <w:szCs w:val="22"/>
              </w:rPr>
            </w:pPr>
          </w:p>
        </w:tc>
      </w:tr>
    </w:tbl>
    <w:bookmarkEnd w:id="3"/>
    <w:p w14:paraId="38E49C4A" w14:textId="77777777" w:rsidR="00A96656" w:rsidRPr="002D2BF1" w:rsidRDefault="00A96656" w:rsidP="00A96656">
      <w:r w:rsidRPr="002D2BF1">
        <w:t>¹ Mírné zánětlivé reakce. Klinické zlepšení je u většiny zvířat dosaženo do 10 dnů po injekci, ačkoli mírné zabarvení tkáně může přetrvávat po dobu 28 dnů nebo déle.</w:t>
      </w:r>
      <w:r w:rsidRPr="002D2BF1">
        <w:br/>
        <w:t>² Podkožní tkáň a/nebo fasciální povrch svalu.</w:t>
      </w:r>
      <w:r w:rsidRPr="002D2BF1">
        <w:br/>
        <w:t>³ Nezávislé na dávce.</w:t>
      </w:r>
    </w:p>
    <w:p w14:paraId="1D616E5A" w14:textId="77777777" w:rsidR="00295140" w:rsidRPr="001D77F6" w:rsidRDefault="00295140" w:rsidP="00AD0710">
      <w:pPr>
        <w:tabs>
          <w:tab w:val="clear" w:pos="567"/>
        </w:tabs>
        <w:spacing w:line="240" w:lineRule="auto"/>
        <w:rPr>
          <w:szCs w:val="22"/>
        </w:rPr>
      </w:pPr>
    </w:p>
    <w:p w14:paraId="53AF7C1B" w14:textId="0C618741" w:rsidR="007B51D8" w:rsidRPr="001D77F6" w:rsidRDefault="007B51D8" w:rsidP="00C83A63">
      <w:pPr>
        <w:keepNext/>
        <w:tabs>
          <w:tab w:val="clear" w:pos="567"/>
        </w:tabs>
        <w:spacing w:line="240" w:lineRule="auto"/>
        <w:rPr>
          <w:szCs w:val="22"/>
        </w:rPr>
      </w:pPr>
      <w:r w:rsidRPr="001D77F6">
        <w:rPr>
          <w:szCs w:val="22"/>
        </w:rPr>
        <w:t>Prasata:</w:t>
      </w:r>
      <w:bookmarkStart w:id="4" w:name="_Hlk66891708"/>
    </w:p>
    <w:p w14:paraId="394474A5" w14:textId="77777777" w:rsidR="007B51D8" w:rsidRPr="001D77F6" w:rsidRDefault="007B51D8" w:rsidP="00C83A63">
      <w:pPr>
        <w:keepNext/>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7B51D8" w:rsidRPr="001D77F6" w14:paraId="3299D2BD" w14:textId="77777777" w:rsidTr="00DC3715">
        <w:tc>
          <w:tcPr>
            <w:tcW w:w="1957" w:type="pct"/>
          </w:tcPr>
          <w:p w14:paraId="2FFBDD17" w14:textId="77777777" w:rsidR="007B51D8" w:rsidRPr="001D77F6" w:rsidRDefault="007B51D8" w:rsidP="00DC3715">
            <w:pPr>
              <w:spacing w:before="60" w:after="60"/>
              <w:rPr>
                <w:szCs w:val="22"/>
              </w:rPr>
            </w:pPr>
            <w:r w:rsidRPr="001D77F6">
              <w:t>Velmi vzácné</w:t>
            </w:r>
          </w:p>
          <w:p w14:paraId="6C5D9425" w14:textId="02DA60B9" w:rsidR="007B51D8" w:rsidRPr="001D77F6" w:rsidRDefault="007B51D8" w:rsidP="00DC3715">
            <w:pPr>
              <w:spacing w:before="60" w:after="60"/>
              <w:rPr>
                <w:szCs w:val="22"/>
              </w:rPr>
            </w:pPr>
            <w:r w:rsidRPr="001D77F6">
              <w:lastRenderedPageBreak/>
              <w:t>(&lt;1 zvíře / 10 000 ošetřených zvířat):</w:t>
            </w:r>
          </w:p>
        </w:tc>
        <w:tc>
          <w:tcPr>
            <w:tcW w:w="3043" w:type="pct"/>
            <w:hideMark/>
          </w:tcPr>
          <w:p w14:paraId="4F05D1BE" w14:textId="7F61D4C1" w:rsidR="00AD56C7" w:rsidRDefault="00A96656" w:rsidP="00A96656">
            <w:r w:rsidRPr="002D2BF1">
              <w:lastRenderedPageBreak/>
              <w:t xml:space="preserve">Reakce v místě </w:t>
            </w:r>
            <w:r w:rsidR="00AD56C7">
              <w:t>injekčního podání</w:t>
            </w:r>
            <w:r w:rsidRPr="002D2BF1">
              <w:t xml:space="preserve">¹ (např. změna </w:t>
            </w:r>
            <w:proofErr w:type="gramStart"/>
            <w:r w:rsidRPr="002D2BF1">
              <w:t>zabarvení)²</w:t>
            </w:r>
            <w:proofErr w:type="gramEnd"/>
          </w:p>
          <w:p w14:paraId="44E8D0AA" w14:textId="672BDDCE" w:rsidR="007B51D8" w:rsidRPr="00A96656" w:rsidRDefault="00AD56C7" w:rsidP="00A96656">
            <w:r>
              <w:lastRenderedPageBreak/>
              <w:t>Hypersenzitivní reakce</w:t>
            </w:r>
            <w:r w:rsidR="00A96656" w:rsidRPr="002D2BF1">
              <w:t>³, alergická reakce (např. kožní alergická reakce, anafylaxe)</w:t>
            </w:r>
          </w:p>
        </w:tc>
      </w:tr>
    </w:tbl>
    <w:p w14:paraId="765F36AD" w14:textId="77777777" w:rsidR="00A96656" w:rsidRPr="002D2BF1" w:rsidRDefault="00A96656" w:rsidP="00A96656">
      <w:r w:rsidRPr="002D2BF1">
        <w:lastRenderedPageBreak/>
        <w:t>¹ Mírné reakce, až 20 dní po injekci.</w:t>
      </w:r>
      <w:r w:rsidRPr="002D2BF1">
        <w:br/>
        <w:t>² Fasciální nebo tuková tkáň.</w:t>
      </w:r>
    </w:p>
    <w:p w14:paraId="3DC17E63" w14:textId="77777777" w:rsidR="00A96656" w:rsidRPr="007372DC" w:rsidRDefault="00A96656" w:rsidP="00A96656">
      <w:r w:rsidRPr="002D2BF1">
        <w:t>³ Nezávislé na dávce.</w:t>
      </w:r>
    </w:p>
    <w:p w14:paraId="7C6B8C43" w14:textId="77777777" w:rsidR="007B51D8" w:rsidRPr="001D77F6" w:rsidRDefault="007B51D8" w:rsidP="007B51D8">
      <w:pPr>
        <w:tabs>
          <w:tab w:val="clear" w:pos="567"/>
        </w:tabs>
        <w:spacing w:line="240" w:lineRule="auto"/>
      </w:pPr>
    </w:p>
    <w:p w14:paraId="3DD32652" w14:textId="0B9B1364" w:rsidR="00247A48" w:rsidRPr="001D77F6" w:rsidRDefault="004270DD" w:rsidP="00247A48">
      <w:r w:rsidRPr="001D77F6">
        <w:t>Hlášení nežádoucích účinků je důležité. Umožňuje nepřetržité sledování bezpečnosti veterinárního léčivého přípravku. Hlášení je třeba zaslat</w:t>
      </w:r>
      <w:r w:rsidR="005272F4" w:rsidRPr="001D77F6">
        <w:t>,</w:t>
      </w:r>
      <w:r w:rsidRPr="001D77F6">
        <w:t xml:space="preserve"> pokud možno</w:t>
      </w:r>
      <w:r w:rsidR="005272F4" w:rsidRPr="001D77F6">
        <w:t>,</w:t>
      </w:r>
      <w:r w:rsidRPr="001D77F6">
        <w:t xml:space="preserve"> prostřednictvím veterinárního lékaře</w:t>
      </w:r>
      <w:r w:rsidR="00562715" w:rsidRPr="001D77F6">
        <w:t>,</w:t>
      </w:r>
      <w:r w:rsidRPr="001D77F6">
        <w:t xml:space="preserve"> buď držiteli rozhodnutí o registraci</w:t>
      </w:r>
      <w:r w:rsidR="00CA28D8" w:rsidRPr="001D77F6">
        <w:t>,</w:t>
      </w:r>
      <w:r w:rsidR="00863A6D" w:rsidRPr="001D77F6">
        <w:t xml:space="preserve"> </w:t>
      </w:r>
      <w:r w:rsidRPr="001D77F6">
        <w:t xml:space="preserve">nebo jeho místnímu zástupci, nebo příslušnému vnitrostátnímu orgánu prostřednictvím národního systému hlášení. </w:t>
      </w:r>
      <w:bookmarkStart w:id="5" w:name="_Hlk184130880"/>
      <w:r w:rsidRPr="001D77F6">
        <w:t>Podrobné kontaktní údaje naleznete</w:t>
      </w:r>
      <w:bookmarkEnd w:id="5"/>
      <w:r w:rsidRPr="001D77F6">
        <w:t xml:space="preserve"> </w:t>
      </w:r>
      <w:r w:rsidR="00067023" w:rsidRPr="001D77F6">
        <w:t xml:space="preserve">v </w:t>
      </w:r>
      <w:r w:rsidRPr="001D77F6">
        <w:t>příbalové informac</w:t>
      </w:r>
      <w:r w:rsidR="00863A6D" w:rsidRPr="001D77F6">
        <w:t>i</w:t>
      </w:r>
      <w:r w:rsidRPr="001D77F6">
        <w:t>.</w:t>
      </w:r>
    </w:p>
    <w:bookmarkEnd w:id="4"/>
    <w:p w14:paraId="6871F765" w14:textId="77777777" w:rsidR="00247A48" w:rsidRPr="001D77F6" w:rsidRDefault="00247A48" w:rsidP="00AD0710">
      <w:pPr>
        <w:tabs>
          <w:tab w:val="clear" w:pos="567"/>
        </w:tabs>
        <w:spacing w:line="240" w:lineRule="auto"/>
        <w:rPr>
          <w:szCs w:val="22"/>
        </w:rPr>
      </w:pPr>
    </w:p>
    <w:p w14:paraId="772CD533" w14:textId="77777777" w:rsidR="00C114FF" w:rsidRPr="001D77F6" w:rsidRDefault="004270DD" w:rsidP="00B13B6D">
      <w:pPr>
        <w:pStyle w:val="Style1"/>
      </w:pPr>
      <w:r w:rsidRPr="001D77F6">
        <w:t>3.7</w:t>
      </w:r>
      <w:r w:rsidRPr="001D77F6">
        <w:tab/>
        <w:t>Použití v průběhu březosti, laktace nebo snášky</w:t>
      </w:r>
    </w:p>
    <w:p w14:paraId="0DFBFADE" w14:textId="77777777" w:rsidR="00C114FF" w:rsidRPr="001D77F6" w:rsidRDefault="00C114FF" w:rsidP="00145C3F">
      <w:pPr>
        <w:tabs>
          <w:tab w:val="clear" w:pos="567"/>
        </w:tabs>
        <w:spacing w:line="240" w:lineRule="auto"/>
        <w:rPr>
          <w:szCs w:val="22"/>
        </w:rPr>
      </w:pPr>
    </w:p>
    <w:p w14:paraId="16D3DB83" w14:textId="404D8003" w:rsidR="00C114FF" w:rsidRPr="001D77F6" w:rsidRDefault="004270DD" w:rsidP="00A9226B">
      <w:pPr>
        <w:tabs>
          <w:tab w:val="clear" w:pos="567"/>
        </w:tabs>
        <w:spacing w:line="240" w:lineRule="auto"/>
        <w:rPr>
          <w:szCs w:val="22"/>
        </w:rPr>
      </w:pPr>
      <w:r w:rsidRPr="001D77F6">
        <w:t>Nebyla stanovena bezpečnost veterinárního léčivého přípravku pro použití během březosti.</w:t>
      </w:r>
    </w:p>
    <w:p w14:paraId="5898E14B" w14:textId="77777777" w:rsidR="00C114FF" w:rsidRPr="001D77F6" w:rsidRDefault="00C114FF" w:rsidP="00A9226B">
      <w:pPr>
        <w:tabs>
          <w:tab w:val="clear" w:pos="567"/>
        </w:tabs>
        <w:spacing w:line="240" w:lineRule="auto"/>
        <w:rPr>
          <w:szCs w:val="22"/>
        </w:rPr>
      </w:pPr>
    </w:p>
    <w:p w14:paraId="7AB0EB79" w14:textId="77777777" w:rsidR="007B51D8" w:rsidRPr="001D77F6" w:rsidRDefault="007B51D8" w:rsidP="007B51D8">
      <w:pPr>
        <w:tabs>
          <w:tab w:val="clear" w:pos="567"/>
        </w:tabs>
        <w:spacing w:line="240" w:lineRule="auto"/>
      </w:pPr>
      <w:r w:rsidRPr="001D77F6">
        <w:rPr>
          <w:u w:val="single"/>
        </w:rPr>
        <w:t>Březost</w:t>
      </w:r>
      <w:r w:rsidRPr="001D77F6">
        <w:t>:</w:t>
      </w:r>
    </w:p>
    <w:p w14:paraId="608429E9" w14:textId="77777777" w:rsidR="007B51D8" w:rsidRPr="001D77F6" w:rsidRDefault="007B51D8" w:rsidP="00E74050">
      <w:pPr>
        <w:tabs>
          <w:tab w:val="clear" w:pos="567"/>
        </w:tabs>
        <w:spacing w:line="240" w:lineRule="auto"/>
      </w:pPr>
    </w:p>
    <w:p w14:paraId="1B88A3DB" w14:textId="176EEA15" w:rsidR="007B51D8" w:rsidRPr="001D77F6" w:rsidRDefault="007B51D8" w:rsidP="007B51D8">
      <w:pPr>
        <w:widowControl w:val="0"/>
        <w:autoSpaceDE w:val="0"/>
        <w:autoSpaceDN w:val="0"/>
        <w:adjustRightInd w:val="0"/>
        <w:jc w:val="both"/>
        <w:rPr>
          <w:szCs w:val="22"/>
        </w:rPr>
      </w:pPr>
      <w:r w:rsidRPr="001D77F6">
        <w:rPr>
          <w:szCs w:val="22"/>
        </w:rPr>
        <w:t>Studie na laboratorních zvířatech nep</w:t>
      </w:r>
      <w:r w:rsidR="00717CF0">
        <w:rPr>
          <w:szCs w:val="22"/>
        </w:rPr>
        <w:t>odaly důkaz o</w:t>
      </w:r>
      <w:r w:rsidRPr="001D77F6">
        <w:rPr>
          <w:szCs w:val="22"/>
        </w:rPr>
        <w:t xml:space="preserve"> teratogenní</w:t>
      </w:r>
      <w:r w:rsidR="00717CF0">
        <w:rPr>
          <w:szCs w:val="22"/>
        </w:rPr>
        <w:t>m a</w:t>
      </w:r>
      <w:r w:rsidRPr="001D77F6">
        <w:rPr>
          <w:szCs w:val="22"/>
        </w:rPr>
        <w:t xml:space="preserve"> </w:t>
      </w:r>
      <w:proofErr w:type="spellStart"/>
      <w:r w:rsidRPr="001D77F6">
        <w:rPr>
          <w:szCs w:val="22"/>
        </w:rPr>
        <w:t>fetotoxické</w:t>
      </w:r>
      <w:r w:rsidR="00717CF0">
        <w:rPr>
          <w:szCs w:val="22"/>
        </w:rPr>
        <w:t>m</w:t>
      </w:r>
      <w:proofErr w:type="spellEnd"/>
      <w:r w:rsidR="00717CF0">
        <w:rPr>
          <w:szCs w:val="22"/>
        </w:rPr>
        <w:t xml:space="preserve"> účinku</w:t>
      </w:r>
      <w:r w:rsidRPr="001D77F6">
        <w:rPr>
          <w:szCs w:val="22"/>
        </w:rPr>
        <w:t xml:space="preserve"> či </w:t>
      </w:r>
      <w:proofErr w:type="spellStart"/>
      <w:r w:rsidRPr="001D77F6">
        <w:rPr>
          <w:szCs w:val="22"/>
        </w:rPr>
        <w:t>matern</w:t>
      </w:r>
      <w:r w:rsidR="00717CF0">
        <w:rPr>
          <w:szCs w:val="22"/>
        </w:rPr>
        <w:t>ální</w:t>
      </w:r>
      <w:proofErr w:type="spellEnd"/>
      <w:r w:rsidR="00717CF0">
        <w:rPr>
          <w:szCs w:val="22"/>
        </w:rPr>
        <w:t xml:space="preserve"> toxicitě</w:t>
      </w:r>
      <w:r w:rsidRPr="001D77F6">
        <w:rPr>
          <w:szCs w:val="22"/>
        </w:rPr>
        <w:t>. Nebyla stanovena bezpečnost veterinárního léčivého přípravku pro použití během březosti. Použijte pouze po zvážení terapeutického prospěchu a rizika ošetřujícím veterinárním lékařem.</w:t>
      </w:r>
    </w:p>
    <w:p w14:paraId="45A16993" w14:textId="77777777" w:rsidR="00C114FF" w:rsidRPr="001D77F6" w:rsidRDefault="00C114FF" w:rsidP="00A9226B">
      <w:pPr>
        <w:tabs>
          <w:tab w:val="clear" w:pos="567"/>
        </w:tabs>
        <w:spacing w:line="240" w:lineRule="auto"/>
        <w:rPr>
          <w:szCs w:val="22"/>
        </w:rPr>
      </w:pPr>
    </w:p>
    <w:p w14:paraId="5C5C1959" w14:textId="77777777" w:rsidR="00C114FF" w:rsidRPr="001D77F6" w:rsidRDefault="004270DD" w:rsidP="00B13B6D">
      <w:pPr>
        <w:pStyle w:val="Style1"/>
      </w:pPr>
      <w:r w:rsidRPr="001D77F6">
        <w:t>3.8</w:t>
      </w:r>
      <w:r w:rsidRPr="001D77F6">
        <w:tab/>
        <w:t>Interakce s jinými léčivými přípravky a další formy interakce</w:t>
      </w:r>
    </w:p>
    <w:p w14:paraId="54454937" w14:textId="77777777" w:rsidR="00C114FF" w:rsidRPr="001D77F6" w:rsidRDefault="00C114FF" w:rsidP="00145C3F">
      <w:pPr>
        <w:tabs>
          <w:tab w:val="clear" w:pos="567"/>
        </w:tabs>
        <w:spacing w:line="240" w:lineRule="auto"/>
        <w:rPr>
          <w:szCs w:val="22"/>
        </w:rPr>
      </w:pPr>
    </w:p>
    <w:p w14:paraId="32ED55E4" w14:textId="1516EAEB" w:rsidR="007B51D8" w:rsidRPr="001D77F6" w:rsidRDefault="007B51D8" w:rsidP="007B51D8">
      <w:pPr>
        <w:widowControl w:val="0"/>
        <w:autoSpaceDE w:val="0"/>
        <w:autoSpaceDN w:val="0"/>
        <w:adjustRightInd w:val="0"/>
        <w:jc w:val="both"/>
        <w:rPr>
          <w:szCs w:val="22"/>
        </w:rPr>
      </w:pPr>
      <w:r w:rsidRPr="001D77F6">
        <w:rPr>
          <w:color w:val="000000"/>
          <w:szCs w:val="22"/>
        </w:rPr>
        <w:t>Baktericidní vlastnosti beta</w:t>
      </w:r>
      <w:r w:rsidR="00717CF0">
        <w:rPr>
          <w:color w:val="000000"/>
          <w:szCs w:val="22"/>
        </w:rPr>
        <w:t>-</w:t>
      </w:r>
      <w:r w:rsidRPr="001D77F6">
        <w:rPr>
          <w:color w:val="000000"/>
          <w:szCs w:val="22"/>
        </w:rPr>
        <w:t>laktamů jsou antagonizovány současným používáním bakteriostatických antibiotik (makrolidy, sulfonamidy a tetracykliny).</w:t>
      </w:r>
    </w:p>
    <w:p w14:paraId="0B86F3A7" w14:textId="77777777" w:rsidR="00C90EDA" w:rsidRPr="001D77F6" w:rsidRDefault="00C90EDA" w:rsidP="00A9226B">
      <w:pPr>
        <w:tabs>
          <w:tab w:val="clear" w:pos="567"/>
        </w:tabs>
        <w:spacing w:line="240" w:lineRule="auto"/>
        <w:rPr>
          <w:szCs w:val="22"/>
        </w:rPr>
      </w:pPr>
    </w:p>
    <w:p w14:paraId="533DFD79" w14:textId="77777777" w:rsidR="00C114FF" w:rsidRPr="001D77F6" w:rsidRDefault="004270DD" w:rsidP="00B13B6D">
      <w:pPr>
        <w:pStyle w:val="Style1"/>
      </w:pPr>
      <w:r w:rsidRPr="001D77F6">
        <w:t>3.9</w:t>
      </w:r>
      <w:r w:rsidRPr="001D77F6">
        <w:tab/>
        <w:t>Cesty podání a dávkování</w:t>
      </w:r>
    </w:p>
    <w:p w14:paraId="659F7E9C" w14:textId="77777777" w:rsidR="007B51D8" w:rsidRPr="001D77F6" w:rsidRDefault="007B51D8" w:rsidP="00B13B6D">
      <w:pPr>
        <w:pStyle w:val="Style1"/>
      </w:pPr>
    </w:p>
    <w:p w14:paraId="001BD990" w14:textId="69949724" w:rsidR="007B51D8" w:rsidRPr="001D77F6" w:rsidRDefault="007B51D8" w:rsidP="00B13B6D">
      <w:pPr>
        <w:pStyle w:val="Style1"/>
        <w:rPr>
          <w:b w:val="0"/>
          <w:bCs/>
        </w:rPr>
      </w:pPr>
      <w:r w:rsidRPr="001D77F6">
        <w:rPr>
          <w:b w:val="0"/>
          <w:bCs/>
        </w:rPr>
        <w:t>Prasata: intramuskulární podání.</w:t>
      </w:r>
    </w:p>
    <w:p w14:paraId="5264939B" w14:textId="1F8DFC9A" w:rsidR="007B51D8" w:rsidRPr="001D77F6" w:rsidRDefault="007B51D8" w:rsidP="00B13B6D">
      <w:pPr>
        <w:pStyle w:val="Style1"/>
        <w:rPr>
          <w:b w:val="0"/>
          <w:bCs/>
        </w:rPr>
      </w:pPr>
      <w:r w:rsidRPr="001D77F6">
        <w:rPr>
          <w:b w:val="0"/>
          <w:bCs/>
        </w:rPr>
        <w:t>Skot: subkutánní podání.</w:t>
      </w:r>
    </w:p>
    <w:p w14:paraId="0C31E074" w14:textId="77777777" w:rsidR="00145D34" w:rsidRPr="001D77F6" w:rsidRDefault="00145D34" w:rsidP="00145C3F">
      <w:pPr>
        <w:tabs>
          <w:tab w:val="clear" w:pos="567"/>
        </w:tabs>
        <w:spacing w:line="240" w:lineRule="auto"/>
        <w:rPr>
          <w:szCs w:val="22"/>
        </w:rPr>
      </w:pPr>
    </w:p>
    <w:p w14:paraId="290D88EF" w14:textId="77777777" w:rsidR="007B51D8" w:rsidRPr="001D77F6" w:rsidRDefault="007B51D8" w:rsidP="007B51D8">
      <w:pPr>
        <w:widowControl w:val="0"/>
        <w:autoSpaceDE w:val="0"/>
        <w:autoSpaceDN w:val="0"/>
        <w:adjustRightInd w:val="0"/>
        <w:ind w:left="567" w:right="-1" w:hanging="567"/>
        <w:jc w:val="both"/>
        <w:rPr>
          <w:szCs w:val="22"/>
          <w:u w:val="single"/>
        </w:rPr>
      </w:pPr>
      <w:r w:rsidRPr="001D77F6">
        <w:rPr>
          <w:szCs w:val="22"/>
          <w:u w:val="single"/>
        </w:rPr>
        <w:t>Prasata:</w:t>
      </w:r>
    </w:p>
    <w:p w14:paraId="074AEFD3" w14:textId="28B7CB01" w:rsidR="007B51D8" w:rsidRPr="001D77F6" w:rsidRDefault="007B51D8" w:rsidP="007B51D8">
      <w:pPr>
        <w:widowControl w:val="0"/>
        <w:autoSpaceDE w:val="0"/>
        <w:autoSpaceDN w:val="0"/>
        <w:adjustRightInd w:val="0"/>
        <w:ind w:left="567" w:right="-1" w:hanging="567"/>
        <w:jc w:val="both"/>
        <w:rPr>
          <w:szCs w:val="22"/>
        </w:rPr>
      </w:pPr>
      <w:r w:rsidRPr="001D77F6">
        <w:rPr>
          <w:szCs w:val="22"/>
        </w:rPr>
        <w:t xml:space="preserve">3 mg </w:t>
      </w:r>
      <w:proofErr w:type="spellStart"/>
      <w:r w:rsidRPr="001D77F6">
        <w:rPr>
          <w:szCs w:val="22"/>
        </w:rPr>
        <w:t>ceftiofuru</w:t>
      </w:r>
      <w:proofErr w:type="spellEnd"/>
      <w:r w:rsidRPr="001D77F6">
        <w:rPr>
          <w:szCs w:val="22"/>
        </w:rPr>
        <w:t>/ kg ž. hm./ den po dobu 3 dnů, tj.1 ml</w:t>
      </w:r>
      <w:r w:rsidR="00635BF3">
        <w:rPr>
          <w:szCs w:val="22"/>
        </w:rPr>
        <w:t xml:space="preserve"> /</w:t>
      </w:r>
      <w:smartTag w:uri="urn:schemas-microsoft-com:office:smarttags" w:element="metricconverter">
        <w:smartTagPr>
          <w:attr w:name="ProductID" w:val="16 kg"/>
        </w:smartTagPr>
        <w:r w:rsidR="00635BF3">
          <w:rPr>
            <w:szCs w:val="22"/>
          </w:rPr>
          <w:t xml:space="preserve"> </w:t>
        </w:r>
        <w:r w:rsidRPr="001D77F6">
          <w:rPr>
            <w:szCs w:val="22"/>
          </w:rPr>
          <w:t>16 kg</w:t>
        </w:r>
      </w:smartTag>
      <w:r w:rsidRPr="001D77F6">
        <w:rPr>
          <w:szCs w:val="22"/>
        </w:rPr>
        <w:t xml:space="preserve"> ž.hm.</w:t>
      </w:r>
      <w:r w:rsidR="00635BF3">
        <w:rPr>
          <w:szCs w:val="22"/>
        </w:rPr>
        <w:t>/ den</w:t>
      </w:r>
      <w:r w:rsidRPr="001D77F6">
        <w:rPr>
          <w:szCs w:val="22"/>
        </w:rPr>
        <w:t>, intramuskulárně</w:t>
      </w:r>
      <w:r w:rsidR="00635BF3">
        <w:rPr>
          <w:szCs w:val="22"/>
        </w:rPr>
        <w:t>.</w:t>
      </w:r>
    </w:p>
    <w:p w14:paraId="60DF3191" w14:textId="77777777" w:rsidR="007B51D8" w:rsidRPr="001D77F6" w:rsidRDefault="007B51D8" w:rsidP="007B51D8">
      <w:pPr>
        <w:widowControl w:val="0"/>
        <w:autoSpaceDE w:val="0"/>
        <w:autoSpaceDN w:val="0"/>
        <w:adjustRightInd w:val="0"/>
        <w:ind w:left="567" w:right="2581" w:hanging="567"/>
        <w:jc w:val="both"/>
        <w:rPr>
          <w:szCs w:val="22"/>
        </w:rPr>
      </w:pPr>
    </w:p>
    <w:p w14:paraId="6D7D5F31" w14:textId="77777777" w:rsidR="007B51D8" w:rsidRPr="001D77F6" w:rsidRDefault="007B51D8" w:rsidP="007B51D8">
      <w:pPr>
        <w:widowControl w:val="0"/>
        <w:autoSpaceDE w:val="0"/>
        <w:autoSpaceDN w:val="0"/>
        <w:adjustRightInd w:val="0"/>
        <w:ind w:left="567" w:right="2581" w:hanging="567"/>
        <w:jc w:val="both"/>
        <w:rPr>
          <w:szCs w:val="22"/>
          <w:u w:val="single"/>
        </w:rPr>
      </w:pPr>
      <w:r w:rsidRPr="001D77F6">
        <w:rPr>
          <w:szCs w:val="22"/>
          <w:u w:val="single"/>
        </w:rPr>
        <w:t>Skot:</w:t>
      </w:r>
    </w:p>
    <w:p w14:paraId="7DB9BAA1" w14:textId="2DF3B5EA" w:rsidR="007B51D8" w:rsidRPr="001D77F6" w:rsidRDefault="007B51D8" w:rsidP="007B51D8">
      <w:pPr>
        <w:widowControl w:val="0"/>
        <w:autoSpaceDE w:val="0"/>
        <w:autoSpaceDN w:val="0"/>
        <w:adjustRightInd w:val="0"/>
        <w:ind w:right="27"/>
        <w:jc w:val="both"/>
        <w:rPr>
          <w:szCs w:val="22"/>
        </w:rPr>
      </w:pPr>
      <w:r w:rsidRPr="001D77F6">
        <w:rPr>
          <w:szCs w:val="22"/>
        </w:rPr>
        <w:t xml:space="preserve">Léčba respiračního onemocnění: 1 mg </w:t>
      </w:r>
      <w:proofErr w:type="spellStart"/>
      <w:r w:rsidRPr="001D77F6">
        <w:rPr>
          <w:szCs w:val="22"/>
        </w:rPr>
        <w:t>ceftiofuru</w:t>
      </w:r>
      <w:proofErr w:type="spellEnd"/>
      <w:r w:rsidRPr="001D77F6">
        <w:rPr>
          <w:szCs w:val="22"/>
        </w:rPr>
        <w:t>/ kg ž.hm./</w:t>
      </w:r>
      <w:r w:rsidR="00635BF3">
        <w:rPr>
          <w:szCs w:val="22"/>
        </w:rPr>
        <w:t xml:space="preserve"> </w:t>
      </w:r>
      <w:r w:rsidRPr="001D77F6">
        <w:rPr>
          <w:szCs w:val="22"/>
        </w:rPr>
        <w:t>den po dobu 3 až 5 dnů, tj. 1 ml</w:t>
      </w:r>
      <w:r w:rsidR="00635BF3">
        <w:rPr>
          <w:szCs w:val="22"/>
        </w:rPr>
        <w:t xml:space="preserve"> </w:t>
      </w:r>
      <w:r w:rsidR="00911EB9">
        <w:rPr>
          <w:szCs w:val="22"/>
        </w:rPr>
        <w:t>přípravku</w:t>
      </w:r>
      <w:r w:rsidRPr="001D77F6">
        <w:rPr>
          <w:szCs w:val="22"/>
        </w:rPr>
        <w:t>/</w:t>
      </w:r>
      <w:r w:rsidR="00635BF3">
        <w:rPr>
          <w:szCs w:val="22"/>
        </w:rPr>
        <w:t xml:space="preserve"> </w:t>
      </w:r>
      <w:r w:rsidRPr="001D77F6">
        <w:rPr>
          <w:szCs w:val="22"/>
        </w:rPr>
        <w:t>50 kg ž.hm./</w:t>
      </w:r>
      <w:r w:rsidR="00635BF3">
        <w:rPr>
          <w:szCs w:val="22"/>
        </w:rPr>
        <w:t xml:space="preserve"> </w:t>
      </w:r>
      <w:r w:rsidRPr="001D77F6">
        <w:rPr>
          <w:szCs w:val="22"/>
        </w:rPr>
        <w:t>den, subkutánně.</w:t>
      </w:r>
    </w:p>
    <w:p w14:paraId="17606CD7" w14:textId="79968F98" w:rsidR="007B51D8" w:rsidRPr="001D77F6" w:rsidRDefault="007B51D8" w:rsidP="007B51D8">
      <w:pPr>
        <w:widowControl w:val="0"/>
        <w:autoSpaceDE w:val="0"/>
        <w:autoSpaceDN w:val="0"/>
        <w:adjustRightInd w:val="0"/>
        <w:ind w:right="27"/>
        <w:jc w:val="both"/>
        <w:rPr>
          <w:szCs w:val="22"/>
        </w:rPr>
      </w:pPr>
      <w:r w:rsidRPr="001D77F6">
        <w:rPr>
          <w:szCs w:val="22"/>
        </w:rPr>
        <w:t xml:space="preserve">Léčba akutní </w:t>
      </w:r>
      <w:proofErr w:type="spellStart"/>
      <w:r w:rsidRPr="001D77F6">
        <w:rPr>
          <w:szCs w:val="22"/>
        </w:rPr>
        <w:t>interdigitální</w:t>
      </w:r>
      <w:proofErr w:type="spellEnd"/>
      <w:r w:rsidRPr="001D77F6">
        <w:rPr>
          <w:szCs w:val="22"/>
        </w:rPr>
        <w:t xml:space="preserve"> </w:t>
      </w:r>
      <w:proofErr w:type="spellStart"/>
      <w:r w:rsidRPr="001D77F6">
        <w:rPr>
          <w:szCs w:val="22"/>
        </w:rPr>
        <w:t>necrobacilózy</w:t>
      </w:r>
      <w:proofErr w:type="spellEnd"/>
      <w:r w:rsidRPr="001D77F6">
        <w:rPr>
          <w:szCs w:val="22"/>
        </w:rPr>
        <w:t xml:space="preserve">: 1 mg </w:t>
      </w:r>
      <w:proofErr w:type="spellStart"/>
      <w:r w:rsidRPr="001D77F6">
        <w:rPr>
          <w:szCs w:val="22"/>
        </w:rPr>
        <w:t>ceftiofuru</w:t>
      </w:r>
      <w:proofErr w:type="spellEnd"/>
      <w:r w:rsidRPr="001D77F6">
        <w:rPr>
          <w:szCs w:val="22"/>
        </w:rPr>
        <w:t>/</w:t>
      </w:r>
      <w:r w:rsidR="00635BF3">
        <w:rPr>
          <w:szCs w:val="22"/>
        </w:rPr>
        <w:t xml:space="preserve"> </w:t>
      </w:r>
      <w:r w:rsidRPr="001D77F6">
        <w:rPr>
          <w:szCs w:val="22"/>
        </w:rPr>
        <w:t>kg ž.hm./</w:t>
      </w:r>
      <w:r w:rsidR="00635BF3">
        <w:rPr>
          <w:szCs w:val="22"/>
        </w:rPr>
        <w:t xml:space="preserve"> </w:t>
      </w:r>
      <w:r w:rsidRPr="001D77F6">
        <w:rPr>
          <w:szCs w:val="22"/>
        </w:rPr>
        <w:t>den po dobu 3 dnů, tj. 1 ml přípravku</w:t>
      </w:r>
      <w:r w:rsidR="00635BF3">
        <w:rPr>
          <w:szCs w:val="22"/>
        </w:rPr>
        <w:t xml:space="preserve"> </w:t>
      </w:r>
      <w:r w:rsidRPr="001D77F6">
        <w:rPr>
          <w:szCs w:val="22"/>
        </w:rPr>
        <w:t>/</w:t>
      </w:r>
      <w:r w:rsidR="00635BF3">
        <w:rPr>
          <w:szCs w:val="22"/>
        </w:rPr>
        <w:t xml:space="preserve"> </w:t>
      </w:r>
      <w:r w:rsidRPr="001D77F6">
        <w:rPr>
          <w:szCs w:val="22"/>
        </w:rPr>
        <w:t>50 kg ž.hm./</w:t>
      </w:r>
      <w:r w:rsidR="00635BF3">
        <w:rPr>
          <w:szCs w:val="22"/>
        </w:rPr>
        <w:t xml:space="preserve"> </w:t>
      </w:r>
      <w:r w:rsidRPr="001D77F6">
        <w:rPr>
          <w:szCs w:val="22"/>
        </w:rPr>
        <w:t>den, subkutánně</w:t>
      </w:r>
      <w:r w:rsidR="00635BF3">
        <w:rPr>
          <w:szCs w:val="22"/>
        </w:rPr>
        <w:t>.</w:t>
      </w:r>
    </w:p>
    <w:p w14:paraId="46F4CC34" w14:textId="200FC643" w:rsidR="007B51D8" w:rsidRPr="001D77F6" w:rsidRDefault="007B51D8" w:rsidP="007B51D8">
      <w:pPr>
        <w:widowControl w:val="0"/>
        <w:autoSpaceDE w:val="0"/>
        <w:autoSpaceDN w:val="0"/>
        <w:adjustRightInd w:val="0"/>
        <w:ind w:right="27"/>
        <w:jc w:val="both"/>
        <w:rPr>
          <w:szCs w:val="22"/>
        </w:rPr>
      </w:pPr>
      <w:r w:rsidRPr="001D77F6">
        <w:rPr>
          <w:szCs w:val="22"/>
        </w:rPr>
        <w:t xml:space="preserve">Léčba akutní poporodní metritidy v období 10 dnů po otelení: 1 mg </w:t>
      </w:r>
      <w:proofErr w:type="spellStart"/>
      <w:r w:rsidRPr="001D77F6">
        <w:rPr>
          <w:szCs w:val="22"/>
        </w:rPr>
        <w:t>ceftiofuru</w:t>
      </w:r>
      <w:proofErr w:type="spellEnd"/>
      <w:r w:rsidRPr="001D77F6">
        <w:rPr>
          <w:szCs w:val="22"/>
        </w:rPr>
        <w:t>/ kg ž.hm./</w:t>
      </w:r>
      <w:r w:rsidR="00635BF3">
        <w:rPr>
          <w:szCs w:val="22"/>
        </w:rPr>
        <w:t xml:space="preserve"> </w:t>
      </w:r>
      <w:r w:rsidRPr="001D77F6">
        <w:rPr>
          <w:szCs w:val="22"/>
        </w:rPr>
        <w:t>den po dobu 5 po sobě jdoucích dnů, tj. 1 ml</w:t>
      </w:r>
      <w:r w:rsidR="00635BF3">
        <w:rPr>
          <w:szCs w:val="22"/>
        </w:rPr>
        <w:t xml:space="preserve"> </w:t>
      </w:r>
      <w:r w:rsidR="00911EB9">
        <w:rPr>
          <w:szCs w:val="22"/>
        </w:rPr>
        <w:t>přípravku</w:t>
      </w:r>
      <w:r w:rsidRPr="001D77F6">
        <w:rPr>
          <w:szCs w:val="22"/>
        </w:rPr>
        <w:t>/</w:t>
      </w:r>
      <w:r w:rsidR="00635BF3">
        <w:rPr>
          <w:szCs w:val="22"/>
        </w:rPr>
        <w:t xml:space="preserve"> </w:t>
      </w:r>
      <w:r w:rsidRPr="001D77F6">
        <w:rPr>
          <w:szCs w:val="22"/>
        </w:rPr>
        <w:t>50 kg ž.hm./</w:t>
      </w:r>
      <w:r w:rsidR="00635BF3">
        <w:rPr>
          <w:szCs w:val="22"/>
        </w:rPr>
        <w:t xml:space="preserve"> </w:t>
      </w:r>
      <w:r w:rsidRPr="001D77F6">
        <w:rPr>
          <w:szCs w:val="22"/>
        </w:rPr>
        <w:t>den, subkutánně</w:t>
      </w:r>
      <w:r w:rsidR="00635BF3">
        <w:rPr>
          <w:szCs w:val="22"/>
        </w:rPr>
        <w:t>.</w:t>
      </w:r>
    </w:p>
    <w:p w14:paraId="247212E5" w14:textId="77777777" w:rsidR="007B51D8" w:rsidRPr="001D77F6" w:rsidRDefault="007B51D8" w:rsidP="007B51D8">
      <w:pPr>
        <w:widowControl w:val="0"/>
        <w:autoSpaceDE w:val="0"/>
        <w:autoSpaceDN w:val="0"/>
        <w:adjustRightInd w:val="0"/>
        <w:ind w:right="27"/>
        <w:jc w:val="both"/>
        <w:rPr>
          <w:szCs w:val="22"/>
        </w:rPr>
      </w:pPr>
      <w:r w:rsidRPr="001D77F6">
        <w:rPr>
          <w:szCs w:val="22"/>
        </w:rPr>
        <w:t>Následná injekční podání musí být aplikována na rozdílná místa.</w:t>
      </w:r>
    </w:p>
    <w:p w14:paraId="474BA7C5" w14:textId="77777777" w:rsidR="007B51D8" w:rsidRPr="001D77F6" w:rsidRDefault="007B51D8" w:rsidP="007B51D8">
      <w:pPr>
        <w:widowControl w:val="0"/>
        <w:autoSpaceDE w:val="0"/>
        <w:autoSpaceDN w:val="0"/>
        <w:adjustRightInd w:val="0"/>
        <w:jc w:val="both"/>
        <w:rPr>
          <w:szCs w:val="22"/>
        </w:rPr>
      </w:pPr>
      <w:r w:rsidRPr="001D77F6">
        <w:rPr>
          <w:szCs w:val="22"/>
        </w:rPr>
        <w:t>V případě akutní poporodní metritidy je v některých případech nutno nasadit další podpůrnou léčbu.</w:t>
      </w:r>
    </w:p>
    <w:p w14:paraId="3C6FFC78" w14:textId="1835BE8D" w:rsidR="007B51D8" w:rsidRPr="001D77F6" w:rsidRDefault="007B51D8" w:rsidP="001D77F6">
      <w:pPr>
        <w:widowControl w:val="0"/>
        <w:autoSpaceDE w:val="0"/>
        <w:autoSpaceDN w:val="0"/>
        <w:adjustRightInd w:val="0"/>
        <w:jc w:val="both"/>
        <w:rPr>
          <w:szCs w:val="22"/>
        </w:rPr>
      </w:pPr>
      <w:r w:rsidRPr="001D77F6">
        <w:rPr>
          <w:szCs w:val="22"/>
        </w:rPr>
        <w:t>Z důvodu zajištění správné dávky je nutno co nejpřesněji stanovit živou hmotnost.</w:t>
      </w:r>
    </w:p>
    <w:p w14:paraId="2DEA90DE" w14:textId="77777777" w:rsidR="007B51D8" w:rsidRPr="001D77F6" w:rsidRDefault="007B51D8" w:rsidP="007B51D8">
      <w:pPr>
        <w:widowControl w:val="0"/>
        <w:autoSpaceDE w:val="0"/>
        <w:autoSpaceDN w:val="0"/>
        <w:adjustRightInd w:val="0"/>
        <w:ind w:left="567" w:hanging="567"/>
        <w:jc w:val="both"/>
        <w:rPr>
          <w:szCs w:val="22"/>
        </w:rPr>
      </w:pPr>
      <w:r w:rsidRPr="001D77F6">
        <w:rPr>
          <w:szCs w:val="22"/>
        </w:rPr>
        <w:t>Před použitím důkladně protřepejte.</w:t>
      </w:r>
    </w:p>
    <w:p w14:paraId="13504C24" w14:textId="77777777" w:rsidR="00247A48" w:rsidRPr="001D77F6" w:rsidRDefault="00247A48" w:rsidP="00A9226B">
      <w:pPr>
        <w:tabs>
          <w:tab w:val="clear" w:pos="567"/>
        </w:tabs>
        <w:spacing w:line="240" w:lineRule="auto"/>
        <w:rPr>
          <w:szCs w:val="22"/>
        </w:rPr>
      </w:pPr>
    </w:p>
    <w:p w14:paraId="0A85AF50" w14:textId="198BF553" w:rsidR="00C114FF" w:rsidRPr="001D77F6" w:rsidRDefault="004270DD" w:rsidP="00B13B6D">
      <w:pPr>
        <w:pStyle w:val="Style1"/>
      </w:pPr>
      <w:r w:rsidRPr="001D77F6">
        <w:t>3.10</w:t>
      </w:r>
      <w:r w:rsidRPr="001D77F6">
        <w:tab/>
        <w:t xml:space="preserve">Příznaky předávkování </w:t>
      </w:r>
      <w:r w:rsidR="00EC5045" w:rsidRPr="001D77F6">
        <w:t>(</w:t>
      </w:r>
      <w:r w:rsidRPr="001D77F6">
        <w:t xml:space="preserve">a </w:t>
      </w:r>
      <w:r w:rsidR="00202A85" w:rsidRPr="001D77F6">
        <w:t>kde</w:t>
      </w:r>
      <w:r w:rsidR="005E66FC" w:rsidRPr="001D77F6">
        <w:t xml:space="preserve"> </w:t>
      </w:r>
      <w:r w:rsidR="00202A85" w:rsidRPr="001D77F6">
        <w:t>je</w:t>
      </w:r>
      <w:r w:rsidR="005E66FC" w:rsidRPr="001D77F6">
        <w:t xml:space="preserve"> </w:t>
      </w:r>
      <w:r w:rsidR="00FB6F2F" w:rsidRPr="001D77F6">
        <w:t>relevantní</w:t>
      </w:r>
      <w:r w:rsidR="00202A85" w:rsidRPr="001D77F6">
        <w:t>, první pomoc</w:t>
      </w:r>
      <w:r w:rsidRPr="001D77F6">
        <w:t xml:space="preserve"> a antidota</w:t>
      </w:r>
      <w:r w:rsidR="00202A85" w:rsidRPr="001D77F6">
        <w:t>)</w:t>
      </w:r>
      <w:r w:rsidRPr="001D77F6">
        <w:t xml:space="preserve"> </w:t>
      </w:r>
    </w:p>
    <w:p w14:paraId="1E130BA8" w14:textId="77777777" w:rsidR="001D77F6" w:rsidRPr="001D77F6" w:rsidRDefault="001D77F6" w:rsidP="00B13B6D">
      <w:pPr>
        <w:pStyle w:val="Style1"/>
      </w:pPr>
    </w:p>
    <w:p w14:paraId="47D9201C" w14:textId="3419577F" w:rsidR="00F42628" w:rsidRDefault="00F42628" w:rsidP="00F42628">
      <w:pPr>
        <w:widowControl w:val="0"/>
        <w:autoSpaceDE w:val="0"/>
        <w:autoSpaceDN w:val="0"/>
        <w:adjustRightInd w:val="0"/>
        <w:rPr>
          <w:szCs w:val="22"/>
        </w:rPr>
      </w:pPr>
      <w:bookmarkStart w:id="6" w:name="_Hlk214882545"/>
      <w:r w:rsidRPr="00F42628">
        <w:rPr>
          <w:szCs w:val="22"/>
        </w:rPr>
        <w:t xml:space="preserve"> </w:t>
      </w:r>
    </w:p>
    <w:p w14:paraId="1793CFD6" w14:textId="33BF2AC9" w:rsidR="00F42628" w:rsidRPr="001D77F6" w:rsidRDefault="00F42628" w:rsidP="00F42628">
      <w:pPr>
        <w:widowControl w:val="0"/>
        <w:autoSpaceDE w:val="0"/>
        <w:autoSpaceDN w:val="0"/>
        <w:adjustRightInd w:val="0"/>
        <w:rPr>
          <w:szCs w:val="22"/>
        </w:rPr>
      </w:pPr>
      <w:r>
        <w:rPr>
          <w:szCs w:val="22"/>
        </w:rPr>
        <w:t>U prasat byla prokázána n</w:t>
      </w:r>
      <w:r w:rsidRPr="001D77F6">
        <w:rPr>
          <w:szCs w:val="22"/>
        </w:rPr>
        <w:t xml:space="preserve">ízká toxicita </w:t>
      </w:r>
      <w:proofErr w:type="spellStart"/>
      <w:r w:rsidRPr="001D77F6">
        <w:rPr>
          <w:szCs w:val="22"/>
        </w:rPr>
        <w:t>ceftiofuru</w:t>
      </w:r>
      <w:proofErr w:type="spellEnd"/>
      <w:r w:rsidRPr="001D77F6">
        <w:rPr>
          <w:szCs w:val="22"/>
        </w:rPr>
        <w:t xml:space="preserve"> </w:t>
      </w:r>
      <w:r>
        <w:rPr>
          <w:szCs w:val="22"/>
        </w:rPr>
        <w:t xml:space="preserve">podaného intramuskulárně 15 po sobě jdoucích dnů v dávkách </w:t>
      </w:r>
      <w:proofErr w:type="spellStart"/>
      <w:r>
        <w:rPr>
          <w:szCs w:val="22"/>
        </w:rPr>
        <w:t>ceftiofuru</w:t>
      </w:r>
      <w:proofErr w:type="spellEnd"/>
      <w:r>
        <w:rPr>
          <w:szCs w:val="22"/>
        </w:rPr>
        <w:t xml:space="preserve"> sodného</w:t>
      </w:r>
      <w:r w:rsidRPr="001D77F6">
        <w:rPr>
          <w:szCs w:val="22"/>
        </w:rPr>
        <w:t xml:space="preserve"> až osminásobně převyšujících doporučené denní množství</w:t>
      </w:r>
      <w:r>
        <w:rPr>
          <w:szCs w:val="22"/>
        </w:rPr>
        <w:t>.</w:t>
      </w:r>
    </w:p>
    <w:bookmarkEnd w:id="6"/>
    <w:p w14:paraId="2144EDDB" w14:textId="77777777" w:rsidR="001D77F6" w:rsidRPr="001D77F6" w:rsidRDefault="001D77F6" w:rsidP="001D77F6">
      <w:pPr>
        <w:widowControl w:val="0"/>
        <w:autoSpaceDE w:val="0"/>
        <w:autoSpaceDN w:val="0"/>
        <w:adjustRightInd w:val="0"/>
        <w:jc w:val="both"/>
        <w:rPr>
          <w:szCs w:val="22"/>
        </w:rPr>
      </w:pPr>
      <w:r w:rsidRPr="001D77F6">
        <w:rPr>
          <w:szCs w:val="22"/>
        </w:rPr>
        <w:t>U skotu nebyly zaznamenány žádné příznaky systémové toxicity ani po výrazném parenterálním předávkování.</w:t>
      </w:r>
    </w:p>
    <w:p w14:paraId="45A34650" w14:textId="77777777" w:rsidR="00C114FF" w:rsidRPr="001D77F6" w:rsidRDefault="00C114FF" w:rsidP="00A9226B">
      <w:pPr>
        <w:tabs>
          <w:tab w:val="clear" w:pos="567"/>
        </w:tabs>
        <w:spacing w:line="240" w:lineRule="auto"/>
        <w:rPr>
          <w:szCs w:val="22"/>
        </w:rPr>
      </w:pPr>
    </w:p>
    <w:p w14:paraId="23CD3206" w14:textId="294F4287" w:rsidR="009A6509" w:rsidRPr="001D77F6" w:rsidRDefault="004270DD" w:rsidP="00B13B6D">
      <w:pPr>
        <w:pStyle w:val="Style1"/>
      </w:pPr>
      <w:r w:rsidRPr="001D77F6">
        <w:lastRenderedPageBreak/>
        <w:t>3.11</w:t>
      </w:r>
      <w:r w:rsidRPr="001D77F6">
        <w:tab/>
        <w:t>Zvláštní omezení pro použití a zvláštní podmínky pro použití, včetně omezení používání antimikrob</w:t>
      </w:r>
      <w:r w:rsidR="00202A85" w:rsidRPr="001D77F6">
        <w:t>ních</w:t>
      </w:r>
      <w:r w:rsidRPr="001D77F6">
        <w:t xml:space="preserve"> a antiparazitárních veterinárních léčivých přípravků, za účelem snížení rizika rozvoje rezistence</w:t>
      </w:r>
    </w:p>
    <w:p w14:paraId="23184928" w14:textId="77777777" w:rsidR="009A6509" w:rsidRPr="001D77F6" w:rsidRDefault="009A6509" w:rsidP="009A6509">
      <w:pPr>
        <w:tabs>
          <w:tab w:val="clear" w:pos="567"/>
        </w:tabs>
        <w:spacing w:line="240" w:lineRule="auto"/>
        <w:rPr>
          <w:szCs w:val="22"/>
        </w:rPr>
      </w:pPr>
    </w:p>
    <w:p w14:paraId="2DF6BD7D" w14:textId="77777777" w:rsidR="001D77F6" w:rsidRPr="001D77F6" w:rsidRDefault="001D77F6" w:rsidP="009A6509">
      <w:pPr>
        <w:tabs>
          <w:tab w:val="clear" w:pos="567"/>
        </w:tabs>
        <w:spacing w:line="240" w:lineRule="auto"/>
        <w:rPr>
          <w:szCs w:val="22"/>
        </w:rPr>
      </w:pPr>
    </w:p>
    <w:p w14:paraId="75BB4EC2" w14:textId="77777777" w:rsidR="00C114FF" w:rsidRPr="001D77F6" w:rsidRDefault="004270DD" w:rsidP="00B13B6D">
      <w:pPr>
        <w:pStyle w:val="Style1"/>
      </w:pPr>
      <w:r w:rsidRPr="001D77F6">
        <w:t>3.12</w:t>
      </w:r>
      <w:r w:rsidRPr="001D77F6">
        <w:tab/>
        <w:t>Ochranné lhůty</w:t>
      </w:r>
    </w:p>
    <w:p w14:paraId="2DC95067" w14:textId="77777777" w:rsidR="00C114FF" w:rsidRPr="001D77F6" w:rsidRDefault="00C114FF" w:rsidP="00145C3F">
      <w:pPr>
        <w:tabs>
          <w:tab w:val="clear" w:pos="567"/>
        </w:tabs>
        <w:spacing w:line="240" w:lineRule="auto"/>
        <w:rPr>
          <w:szCs w:val="22"/>
        </w:rPr>
      </w:pPr>
    </w:p>
    <w:p w14:paraId="0BD1F415" w14:textId="77777777" w:rsidR="001D77F6" w:rsidRPr="001D77F6" w:rsidRDefault="001D77F6" w:rsidP="001D77F6">
      <w:pPr>
        <w:widowControl w:val="0"/>
        <w:tabs>
          <w:tab w:val="left" w:pos="709"/>
          <w:tab w:val="left" w:pos="1644"/>
        </w:tabs>
        <w:autoSpaceDE w:val="0"/>
        <w:autoSpaceDN w:val="0"/>
        <w:adjustRightInd w:val="0"/>
        <w:ind w:left="567" w:hanging="567"/>
        <w:jc w:val="both"/>
        <w:rPr>
          <w:szCs w:val="22"/>
        </w:rPr>
      </w:pPr>
      <w:r w:rsidRPr="001D77F6">
        <w:rPr>
          <w:szCs w:val="22"/>
        </w:rPr>
        <w:t>Prasata:</w:t>
      </w:r>
      <w:r w:rsidRPr="001D77F6">
        <w:rPr>
          <w:szCs w:val="22"/>
        </w:rPr>
        <w:tab/>
      </w:r>
    </w:p>
    <w:p w14:paraId="108D7D08" w14:textId="77777777" w:rsidR="001D77F6" w:rsidRPr="001D77F6" w:rsidRDefault="001D77F6" w:rsidP="001D77F6">
      <w:pPr>
        <w:widowControl w:val="0"/>
        <w:tabs>
          <w:tab w:val="left" w:pos="709"/>
          <w:tab w:val="left" w:pos="1644"/>
        </w:tabs>
        <w:autoSpaceDE w:val="0"/>
        <w:autoSpaceDN w:val="0"/>
        <w:adjustRightInd w:val="0"/>
        <w:ind w:left="567" w:hanging="567"/>
        <w:jc w:val="both"/>
        <w:rPr>
          <w:szCs w:val="22"/>
        </w:rPr>
      </w:pPr>
      <w:r w:rsidRPr="001D77F6">
        <w:rPr>
          <w:szCs w:val="22"/>
        </w:rPr>
        <w:t>Maso: 5 dnů</w:t>
      </w:r>
    </w:p>
    <w:p w14:paraId="1F02669D" w14:textId="77777777" w:rsidR="001D77F6" w:rsidRPr="001D77F6" w:rsidRDefault="001D77F6" w:rsidP="001D77F6">
      <w:pPr>
        <w:widowControl w:val="0"/>
        <w:tabs>
          <w:tab w:val="left" w:pos="709"/>
          <w:tab w:val="left" w:pos="1644"/>
        </w:tabs>
        <w:autoSpaceDE w:val="0"/>
        <w:autoSpaceDN w:val="0"/>
        <w:adjustRightInd w:val="0"/>
        <w:ind w:left="567" w:hanging="567"/>
        <w:jc w:val="both"/>
        <w:rPr>
          <w:szCs w:val="22"/>
        </w:rPr>
      </w:pPr>
    </w:p>
    <w:p w14:paraId="3A274C2F" w14:textId="77777777" w:rsidR="001D77F6" w:rsidRPr="001D77F6" w:rsidRDefault="001D77F6" w:rsidP="001D77F6">
      <w:pPr>
        <w:widowControl w:val="0"/>
        <w:tabs>
          <w:tab w:val="left" w:pos="709"/>
          <w:tab w:val="left" w:pos="1644"/>
        </w:tabs>
        <w:autoSpaceDE w:val="0"/>
        <w:autoSpaceDN w:val="0"/>
        <w:adjustRightInd w:val="0"/>
        <w:ind w:left="567" w:hanging="567"/>
        <w:jc w:val="both"/>
        <w:rPr>
          <w:szCs w:val="22"/>
        </w:rPr>
      </w:pPr>
      <w:r w:rsidRPr="001D77F6">
        <w:rPr>
          <w:szCs w:val="22"/>
        </w:rPr>
        <w:t>Skot:</w:t>
      </w:r>
    </w:p>
    <w:p w14:paraId="10A274EE" w14:textId="77777777" w:rsidR="001D77F6" w:rsidRPr="001D77F6" w:rsidRDefault="001D77F6" w:rsidP="001D77F6">
      <w:pPr>
        <w:widowControl w:val="0"/>
        <w:tabs>
          <w:tab w:val="left" w:pos="709"/>
          <w:tab w:val="left" w:pos="1644"/>
        </w:tabs>
        <w:autoSpaceDE w:val="0"/>
        <w:autoSpaceDN w:val="0"/>
        <w:adjustRightInd w:val="0"/>
        <w:ind w:left="567" w:hanging="567"/>
        <w:jc w:val="both"/>
        <w:rPr>
          <w:szCs w:val="22"/>
        </w:rPr>
      </w:pPr>
      <w:r w:rsidRPr="001D77F6">
        <w:rPr>
          <w:szCs w:val="22"/>
        </w:rPr>
        <w:t>Maso: 8 dnů</w:t>
      </w:r>
    </w:p>
    <w:p w14:paraId="436C775F" w14:textId="77777777" w:rsidR="001D77F6" w:rsidRPr="001D77F6" w:rsidRDefault="001D77F6" w:rsidP="001D77F6">
      <w:pPr>
        <w:widowControl w:val="0"/>
        <w:autoSpaceDE w:val="0"/>
        <w:autoSpaceDN w:val="0"/>
        <w:adjustRightInd w:val="0"/>
        <w:ind w:left="567" w:hanging="567"/>
        <w:rPr>
          <w:szCs w:val="22"/>
        </w:rPr>
      </w:pPr>
      <w:r w:rsidRPr="001D77F6">
        <w:rPr>
          <w:szCs w:val="22"/>
        </w:rPr>
        <w:t>Mléko: Bez ochranných lhůt.</w:t>
      </w:r>
    </w:p>
    <w:p w14:paraId="35946CB6" w14:textId="77777777" w:rsidR="00C114FF" w:rsidRPr="001D77F6" w:rsidRDefault="00C114FF" w:rsidP="00A9226B">
      <w:pPr>
        <w:tabs>
          <w:tab w:val="clear" w:pos="567"/>
        </w:tabs>
        <w:spacing w:line="240" w:lineRule="auto"/>
        <w:rPr>
          <w:szCs w:val="22"/>
        </w:rPr>
      </w:pPr>
    </w:p>
    <w:p w14:paraId="25493CB3" w14:textId="77777777" w:rsidR="001D77F6" w:rsidRPr="001D77F6" w:rsidRDefault="001D77F6" w:rsidP="00A9226B">
      <w:pPr>
        <w:tabs>
          <w:tab w:val="clear" w:pos="567"/>
        </w:tabs>
        <w:spacing w:line="240" w:lineRule="auto"/>
        <w:rPr>
          <w:szCs w:val="22"/>
        </w:rPr>
      </w:pPr>
    </w:p>
    <w:p w14:paraId="25B50269" w14:textId="46FF082E" w:rsidR="00C114FF" w:rsidRPr="001D77F6" w:rsidRDefault="004270DD" w:rsidP="00D55054">
      <w:pPr>
        <w:pStyle w:val="Style1"/>
        <w:keepNext/>
      </w:pPr>
      <w:r w:rsidRPr="001D77F6">
        <w:t>4.</w:t>
      </w:r>
      <w:r w:rsidRPr="001D77F6">
        <w:tab/>
        <w:t>FARMAKOLOGICKÉ INFORMACE</w:t>
      </w:r>
    </w:p>
    <w:p w14:paraId="0E425879" w14:textId="77777777" w:rsidR="001D77F6" w:rsidRPr="001D77F6" w:rsidRDefault="001D77F6" w:rsidP="00D55054">
      <w:pPr>
        <w:pStyle w:val="Style1"/>
        <w:keepNext/>
      </w:pPr>
    </w:p>
    <w:p w14:paraId="3DA42117" w14:textId="3B9CA3ED" w:rsidR="00C114FF" w:rsidRPr="001D77F6" w:rsidRDefault="004270DD" w:rsidP="00D55054">
      <w:pPr>
        <w:pStyle w:val="Style1"/>
        <w:keepNext/>
      </w:pPr>
      <w:r w:rsidRPr="001D77F6">
        <w:t>4.1</w:t>
      </w:r>
      <w:r w:rsidRPr="001D77F6">
        <w:tab/>
      </w:r>
      <w:proofErr w:type="spellStart"/>
      <w:r w:rsidRPr="001D77F6">
        <w:t>ATCvet</w:t>
      </w:r>
      <w:proofErr w:type="spellEnd"/>
      <w:r w:rsidRPr="001D77F6">
        <w:t xml:space="preserve"> kód:</w:t>
      </w:r>
      <w:r w:rsidR="00554C27" w:rsidRPr="001D77F6">
        <w:t xml:space="preserve"> </w:t>
      </w:r>
      <w:r w:rsidR="001D77F6" w:rsidRPr="001D77F6">
        <w:rPr>
          <w:b w:val="0"/>
        </w:rPr>
        <w:t>QJ01DD90</w:t>
      </w:r>
    </w:p>
    <w:p w14:paraId="5C965196" w14:textId="77777777" w:rsidR="00C114FF" w:rsidRPr="001D77F6" w:rsidRDefault="00C114FF" w:rsidP="00D55054">
      <w:pPr>
        <w:keepNext/>
        <w:tabs>
          <w:tab w:val="clear" w:pos="567"/>
        </w:tabs>
        <w:spacing w:line="240" w:lineRule="auto"/>
        <w:rPr>
          <w:szCs w:val="22"/>
        </w:rPr>
      </w:pPr>
    </w:p>
    <w:p w14:paraId="0DC4C65B" w14:textId="632F58DC" w:rsidR="00C114FF" w:rsidRPr="001D77F6" w:rsidRDefault="004270DD" w:rsidP="00D55054">
      <w:pPr>
        <w:pStyle w:val="Style1"/>
        <w:keepNext/>
      </w:pPr>
      <w:r w:rsidRPr="001D77F6">
        <w:t>4.2</w:t>
      </w:r>
      <w:r w:rsidRPr="001D77F6">
        <w:tab/>
        <w:t>Farmakodynamika</w:t>
      </w:r>
    </w:p>
    <w:p w14:paraId="24BB0FA7" w14:textId="77777777" w:rsidR="001D77F6" w:rsidRPr="001D77F6" w:rsidRDefault="001D77F6" w:rsidP="00D55054">
      <w:pPr>
        <w:pStyle w:val="Style1"/>
        <w:keepNext/>
      </w:pPr>
    </w:p>
    <w:p w14:paraId="557A6FA5" w14:textId="7BFBAFFB" w:rsidR="001D77F6" w:rsidRPr="001D77F6" w:rsidRDefault="001D77F6" w:rsidP="001D77F6">
      <w:pPr>
        <w:widowControl w:val="0"/>
        <w:autoSpaceDE w:val="0"/>
        <w:autoSpaceDN w:val="0"/>
        <w:adjustRightInd w:val="0"/>
        <w:jc w:val="both"/>
        <w:rPr>
          <w:szCs w:val="22"/>
        </w:rPr>
      </w:pPr>
      <w:r w:rsidRPr="001D77F6">
        <w:rPr>
          <w:szCs w:val="22"/>
        </w:rPr>
        <w:t>Ceftiofur je cefalosporin třetí generace, který je účinný proti grampozitivním a gramnegativním bakteriím. Tak jako všechna beta</w:t>
      </w:r>
      <w:r w:rsidR="00635BF3">
        <w:rPr>
          <w:szCs w:val="22"/>
        </w:rPr>
        <w:t>-</w:t>
      </w:r>
      <w:proofErr w:type="spellStart"/>
      <w:r w:rsidRPr="001D77F6">
        <w:rPr>
          <w:szCs w:val="22"/>
        </w:rPr>
        <w:t>laktamová</w:t>
      </w:r>
      <w:proofErr w:type="spellEnd"/>
      <w:r w:rsidRPr="001D77F6">
        <w:rPr>
          <w:szCs w:val="22"/>
        </w:rPr>
        <w:t xml:space="preserve"> antibiotika, </w:t>
      </w:r>
      <w:proofErr w:type="spellStart"/>
      <w:r w:rsidRPr="001D77F6">
        <w:rPr>
          <w:szCs w:val="22"/>
        </w:rPr>
        <w:t>ceftiofur</w:t>
      </w:r>
      <w:proofErr w:type="spellEnd"/>
      <w:r w:rsidRPr="001D77F6">
        <w:rPr>
          <w:szCs w:val="22"/>
        </w:rPr>
        <w:t xml:space="preserve"> inhibuje syntézu bakteriální buněčné stěny, má tedy baktericidní vlastnosti. </w:t>
      </w:r>
    </w:p>
    <w:p w14:paraId="5519F8EA" w14:textId="77777777" w:rsidR="001D77F6" w:rsidRPr="001D77F6" w:rsidRDefault="001D77F6" w:rsidP="001D77F6">
      <w:pPr>
        <w:widowControl w:val="0"/>
        <w:tabs>
          <w:tab w:val="left" w:pos="0"/>
          <w:tab w:val="left" w:pos="240"/>
          <w:tab w:val="left" w:pos="360"/>
        </w:tabs>
        <w:autoSpaceDE w:val="0"/>
        <w:autoSpaceDN w:val="0"/>
        <w:adjustRightInd w:val="0"/>
        <w:jc w:val="both"/>
        <w:rPr>
          <w:szCs w:val="22"/>
        </w:rPr>
      </w:pPr>
    </w:p>
    <w:p w14:paraId="606EF908" w14:textId="35F06D6D" w:rsidR="001D77F6" w:rsidRPr="001D77F6" w:rsidRDefault="001D77F6" w:rsidP="001D77F6">
      <w:pPr>
        <w:widowControl w:val="0"/>
        <w:tabs>
          <w:tab w:val="left" w:pos="0"/>
          <w:tab w:val="left" w:pos="240"/>
          <w:tab w:val="left" w:pos="360"/>
        </w:tabs>
        <w:autoSpaceDE w:val="0"/>
        <w:autoSpaceDN w:val="0"/>
        <w:adjustRightInd w:val="0"/>
        <w:jc w:val="both"/>
        <w:rPr>
          <w:szCs w:val="22"/>
        </w:rPr>
      </w:pPr>
      <w:r w:rsidRPr="001D77F6">
        <w:rPr>
          <w:szCs w:val="22"/>
        </w:rPr>
        <w:t>Syntéza buněčné stěny je závislá na enzymech, které se nazývají penicilin-vázající proteiny (PBPs: penicillin-binding proteins). U bakterií se může rozvinout rezistence k cefalosporinům následujícími způsoby 1) peniciliny vázající proteiny se stanou necitlivými k jinak účinnému beta</w:t>
      </w:r>
      <w:r w:rsidR="00635BF3">
        <w:rPr>
          <w:szCs w:val="22"/>
        </w:rPr>
        <w:t>-</w:t>
      </w:r>
      <w:r w:rsidRPr="001D77F6">
        <w:rPr>
          <w:szCs w:val="22"/>
        </w:rPr>
        <w:t>laktamu; 2) změnou membrány buněk vůči beta</w:t>
      </w:r>
      <w:r w:rsidR="00635BF3">
        <w:rPr>
          <w:szCs w:val="22"/>
        </w:rPr>
        <w:t>-</w:t>
      </w:r>
      <w:r w:rsidRPr="001D77F6">
        <w:rPr>
          <w:szCs w:val="22"/>
        </w:rPr>
        <w:t>laktamům; 3) produkováním beta</w:t>
      </w:r>
      <w:r w:rsidR="00635BF3">
        <w:rPr>
          <w:szCs w:val="22"/>
        </w:rPr>
        <w:t>-</w:t>
      </w:r>
      <w:proofErr w:type="spellStart"/>
      <w:r w:rsidRPr="001D77F6">
        <w:rPr>
          <w:szCs w:val="22"/>
        </w:rPr>
        <w:t>laktamáz</w:t>
      </w:r>
      <w:proofErr w:type="spellEnd"/>
      <w:r w:rsidRPr="001D77F6">
        <w:rPr>
          <w:szCs w:val="22"/>
        </w:rPr>
        <w:t>, které štěpí beta</w:t>
      </w:r>
      <w:r w:rsidR="00635BF3">
        <w:rPr>
          <w:szCs w:val="22"/>
        </w:rPr>
        <w:t>-</w:t>
      </w:r>
      <w:proofErr w:type="spellStart"/>
      <w:r w:rsidRPr="001D77F6">
        <w:rPr>
          <w:szCs w:val="22"/>
        </w:rPr>
        <w:t>laktamové</w:t>
      </w:r>
      <w:proofErr w:type="spellEnd"/>
      <w:r w:rsidRPr="001D77F6">
        <w:rPr>
          <w:szCs w:val="22"/>
        </w:rPr>
        <w:t xml:space="preserve"> jádro antibiotika; 4) aktivním efluxem.</w:t>
      </w:r>
    </w:p>
    <w:p w14:paraId="1C548173" w14:textId="77777777" w:rsidR="001D77F6" w:rsidRPr="001D77F6" w:rsidRDefault="001D77F6" w:rsidP="001D77F6">
      <w:pPr>
        <w:widowControl w:val="0"/>
        <w:autoSpaceDE w:val="0"/>
        <w:autoSpaceDN w:val="0"/>
        <w:adjustRightInd w:val="0"/>
        <w:spacing w:after="120"/>
        <w:ind w:hanging="567"/>
        <w:jc w:val="both"/>
        <w:rPr>
          <w:szCs w:val="22"/>
        </w:rPr>
      </w:pPr>
    </w:p>
    <w:p w14:paraId="70F6CE93" w14:textId="4DDE429E" w:rsidR="001D77F6" w:rsidRPr="001D77F6" w:rsidRDefault="001D77F6" w:rsidP="001D77F6">
      <w:pPr>
        <w:widowControl w:val="0"/>
        <w:autoSpaceDE w:val="0"/>
        <w:autoSpaceDN w:val="0"/>
        <w:adjustRightInd w:val="0"/>
        <w:jc w:val="both"/>
        <w:rPr>
          <w:szCs w:val="22"/>
        </w:rPr>
      </w:pPr>
      <w:r w:rsidRPr="001D77F6">
        <w:rPr>
          <w:szCs w:val="22"/>
        </w:rPr>
        <w:t xml:space="preserve">Některé </w:t>
      </w:r>
      <w:r w:rsidR="00635BF3">
        <w:rPr>
          <w:szCs w:val="22"/>
        </w:rPr>
        <w:t>beta</w:t>
      </w:r>
      <w:r w:rsidRPr="001D77F6">
        <w:rPr>
          <w:szCs w:val="22"/>
        </w:rPr>
        <w:t>-</w:t>
      </w:r>
      <w:proofErr w:type="spellStart"/>
      <w:r w:rsidRPr="001D77F6">
        <w:rPr>
          <w:szCs w:val="22"/>
        </w:rPr>
        <w:t>laktamázy</w:t>
      </w:r>
      <w:proofErr w:type="spellEnd"/>
      <w:r w:rsidRPr="001D77F6">
        <w:rPr>
          <w:szCs w:val="22"/>
        </w:rPr>
        <w:t xml:space="preserve">, které byly detekovány u gramnegativních </w:t>
      </w:r>
      <w:proofErr w:type="spellStart"/>
      <w:r w:rsidRPr="001D77F6">
        <w:rPr>
          <w:szCs w:val="22"/>
        </w:rPr>
        <w:t>enterických</w:t>
      </w:r>
      <w:proofErr w:type="spellEnd"/>
      <w:r w:rsidRPr="001D77F6">
        <w:rPr>
          <w:szCs w:val="22"/>
        </w:rPr>
        <w:t xml:space="preserve"> mikroorganizmů, mohou vést k různému rozsahu zkřížené rezistence mezi cefalosporiny, a rovněž ke zkřížené rezistenci s peniciliny, ampiciliny a kombinacemi inhibitorů beta</w:t>
      </w:r>
      <w:r w:rsidR="00635BF3">
        <w:rPr>
          <w:szCs w:val="22"/>
        </w:rPr>
        <w:t>-</w:t>
      </w:r>
      <w:proofErr w:type="spellStart"/>
      <w:r w:rsidRPr="001D77F6">
        <w:rPr>
          <w:szCs w:val="22"/>
        </w:rPr>
        <w:t>laktamáz</w:t>
      </w:r>
      <w:proofErr w:type="spellEnd"/>
      <w:r w:rsidRPr="001D77F6">
        <w:rPr>
          <w:szCs w:val="22"/>
        </w:rPr>
        <w:t xml:space="preserve">. </w:t>
      </w:r>
    </w:p>
    <w:p w14:paraId="475FC747" w14:textId="77777777" w:rsidR="001D77F6" w:rsidRPr="001D77F6" w:rsidRDefault="001D77F6" w:rsidP="001D77F6">
      <w:pPr>
        <w:widowControl w:val="0"/>
        <w:tabs>
          <w:tab w:val="left" w:pos="0"/>
          <w:tab w:val="left" w:pos="240"/>
          <w:tab w:val="left" w:pos="360"/>
        </w:tabs>
        <w:autoSpaceDE w:val="0"/>
        <w:autoSpaceDN w:val="0"/>
        <w:adjustRightInd w:val="0"/>
        <w:jc w:val="both"/>
        <w:rPr>
          <w:szCs w:val="22"/>
        </w:rPr>
      </w:pPr>
    </w:p>
    <w:p w14:paraId="406CBB98" w14:textId="77777777" w:rsidR="001D77F6" w:rsidRPr="001D77F6" w:rsidRDefault="001D77F6" w:rsidP="001D77F6">
      <w:pPr>
        <w:widowControl w:val="0"/>
        <w:autoSpaceDE w:val="0"/>
        <w:autoSpaceDN w:val="0"/>
        <w:adjustRightInd w:val="0"/>
        <w:jc w:val="both"/>
        <w:rPr>
          <w:szCs w:val="22"/>
        </w:rPr>
      </w:pPr>
      <w:r w:rsidRPr="001D77F6">
        <w:rPr>
          <w:szCs w:val="22"/>
        </w:rPr>
        <w:t xml:space="preserve">Ceftiofur je účinný vůči následujícím mikroorganizmům, které patří mezi původce respiračních onemocnění prasat: </w:t>
      </w:r>
      <w:r w:rsidRPr="001D77F6">
        <w:rPr>
          <w:i/>
          <w:iCs/>
          <w:szCs w:val="22"/>
        </w:rPr>
        <w:t>Pasteurella multocida</w:t>
      </w:r>
      <w:r w:rsidRPr="001D77F6">
        <w:rPr>
          <w:szCs w:val="22"/>
        </w:rPr>
        <w:t xml:space="preserve">, </w:t>
      </w:r>
      <w:r w:rsidRPr="001D77F6">
        <w:rPr>
          <w:i/>
          <w:iCs/>
          <w:szCs w:val="22"/>
        </w:rPr>
        <w:t>Actinobacillus pleuropneumoniae</w:t>
      </w:r>
      <w:r w:rsidRPr="001D77F6">
        <w:rPr>
          <w:szCs w:val="22"/>
        </w:rPr>
        <w:t xml:space="preserve"> a </w:t>
      </w:r>
      <w:r w:rsidRPr="001D77F6">
        <w:rPr>
          <w:i/>
          <w:iCs/>
          <w:szCs w:val="22"/>
        </w:rPr>
        <w:t>Streptococcus suis</w:t>
      </w:r>
      <w:r w:rsidRPr="001D77F6">
        <w:rPr>
          <w:szCs w:val="22"/>
        </w:rPr>
        <w:t>.</w:t>
      </w:r>
      <w:r w:rsidRPr="001D77F6">
        <w:rPr>
          <w:i/>
          <w:iCs/>
          <w:szCs w:val="22"/>
        </w:rPr>
        <w:t xml:space="preserve"> Bordetella bronchiseptica</w:t>
      </w:r>
      <w:r w:rsidRPr="001D77F6">
        <w:rPr>
          <w:szCs w:val="22"/>
        </w:rPr>
        <w:t xml:space="preserve"> je přirozeně necitlivá  k ceftiofuru.</w:t>
      </w:r>
    </w:p>
    <w:p w14:paraId="26659707" w14:textId="77777777" w:rsidR="001D77F6" w:rsidRPr="001D77F6" w:rsidRDefault="001D77F6" w:rsidP="001D77F6">
      <w:pPr>
        <w:widowControl w:val="0"/>
        <w:autoSpaceDE w:val="0"/>
        <w:autoSpaceDN w:val="0"/>
        <w:adjustRightInd w:val="0"/>
        <w:jc w:val="both"/>
        <w:rPr>
          <w:szCs w:val="22"/>
        </w:rPr>
      </w:pPr>
    </w:p>
    <w:p w14:paraId="225FB519" w14:textId="3A8739FA" w:rsidR="001D77F6" w:rsidRPr="001D77F6" w:rsidRDefault="001D77F6" w:rsidP="001D77F6">
      <w:pPr>
        <w:widowControl w:val="0"/>
        <w:tabs>
          <w:tab w:val="left" w:pos="0"/>
          <w:tab w:val="left" w:pos="240"/>
          <w:tab w:val="left" w:pos="360"/>
        </w:tabs>
        <w:autoSpaceDE w:val="0"/>
        <w:autoSpaceDN w:val="0"/>
        <w:adjustRightInd w:val="0"/>
        <w:jc w:val="both"/>
        <w:rPr>
          <w:i/>
          <w:iCs/>
          <w:szCs w:val="22"/>
        </w:rPr>
      </w:pPr>
      <w:r w:rsidRPr="001D77F6">
        <w:rPr>
          <w:szCs w:val="22"/>
        </w:rPr>
        <w:t xml:space="preserve">Ceftiofur je rovněž účinný vůči následujícím původcům respiračních onemocnění skotu: </w:t>
      </w:r>
      <w:r w:rsidRPr="001D77F6">
        <w:rPr>
          <w:i/>
          <w:iCs/>
          <w:szCs w:val="22"/>
        </w:rPr>
        <w:t>Pasteurella multocida, Mannheimia haemolytica,</w:t>
      </w:r>
      <w:r w:rsidRPr="001D77F6">
        <w:rPr>
          <w:szCs w:val="22"/>
        </w:rPr>
        <w:t xml:space="preserve"> </w:t>
      </w:r>
      <w:r w:rsidRPr="001D77F6">
        <w:rPr>
          <w:i/>
          <w:iCs/>
          <w:szCs w:val="22"/>
        </w:rPr>
        <w:t>Histophilus somni;</w:t>
      </w:r>
      <w:r w:rsidRPr="001D77F6">
        <w:rPr>
          <w:szCs w:val="22"/>
        </w:rPr>
        <w:t xml:space="preserve"> bakteriím vyvolávajícím akutní bovinní </w:t>
      </w:r>
      <w:proofErr w:type="spellStart"/>
      <w:r w:rsidRPr="001D77F6">
        <w:rPr>
          <w:szCs w:val="22"/>
        </w:rPr>
        <w:t>interdigitální</w:t>
      </w:r>
      <w:proofErr w:type="spellEnd"/>
      <w:r w:rsidRPr="001D77F6">
        <w:rPr>
          <w:szCs w:val="22"/>
        </w:rPr>
        <w:t xml:space="preserve"> </w:t>
      </w:r>
      <w:proofErr w:type="spellStart"/>
      <w:r w:rsidRPr="001D77F6">
        <w:rPr>
          <w:szCs w:val="22"/>
        </w:rPr>
        <w:t>necrobacilózu</w:t>
      </w:r>
      <w:proofErr w:type="spellEnd"/>
      <w:r w:rsidRPr="001D77F6">
        <w:rPr>
          <w:szCs w:val="22"/>
        </w:rPr>
        <w:t xml:space="preserve"> (</w:t>
      </w:r>
      <w:proofErr w:type="spellStart"/>
      <w:r w:rsidRPr="001D77F6">
        <w:rPr>
          <w:szCs w:val="22"/>
        </w:rPr>
        <w:t>foot</w:t>
      </w:r>
      <w:proofErr w:type="spellEnd"/>
      <w:r w:rsidRPr="001D77F6">
        <w:rPr>
          <w:szCs w:val="22"/>
        </w:rPr>
        <w:t xml:space="preserve"> rot): </w:t>
      </w:r>
      <w:proofErr w:type="spellStart"/>
      <w:r w:rsidRPr="001D77F6">
        <w:rPr>
          <w:i/>
          <w:iCs/>
          <w:szCs w:val="22"/>
        </w:rPr>
        <w:t>Fusobacterium</w:t>
      </w:r>
      <w:proofErr w:type="spellEnd"/>
      <w:r w:rsidRPr="001D77F6">
        <w:rPr>
          <w:i/>
          <w:iCs/>
          <w:szCs w:val="22"/>
        </w:rPr>
        <w:t xml:space="preserve"> </w:t>
      </w:r>
      <w:proofErr w:type="spellStart"/>
      <w:r w:rsidRPr="001D77F6">
        <w:rPr>
          <w:i/>
          <w:iCs/>
          <w:szCs w:val="22"/>
        </w:rPr>
        <w:t>necrophorum</w:t>
      </w:r>
      <w:proofErr w:type="spellEnd"/>
      <w:r w:rsidRPr="001D77F6">
        <w:rPr>
          <w:szCs w:val="22"/>
        </w:rPr>
        <w:t xml:space="preserve">, </w:t>
      </w:r>
      <w:proofErr w:type="spellStart"/>
      <w:r w:rsidRPr="001D77F6">
        <w:rPr>
          <w:i/>
          <w:iCs/>
          <w:szCs w:val="22"/>
        </w:rPr>
        <w:t>Bacteroides</w:t>
      </w:r>
      <w:proofErr w:type="spellEnd"/>
      <w:r w:rsidRPr="001D77F6">
        <w:rPr>
          <w:i/>
          <w:iCs/>
          <w:szCs w:val="22"/>
        </w:rPr>
        <w:t xml:space="preserve"> </w:t>
      </w:r>
      <w:proofErr w:type="spellStart"/>
      <w:r w:rsidRPr="001D77F6">
        <w:rPr>
          <w:i/>
          <w:iCs/>
          <w:szCs w:val="22"/>
        </w:rPr>
        <w:t>melaninogenicus</w:t>
      </w:r>
      <w:proofErr w:type="spellEnd"/>
      <w:r w:rsidRPr="001D77F6">
        <w:rPr>
          <w:i/>
          <w:iCs/>
          <w:szCs w:val="22"/>
        </w:rPr>
        <w:t xml:space="preserve"> (</w:t>
      </w:r>
      <w:proofErr w:type="spellStart"/>
      <w:r w:rsidRPr="001D77F6">
        <w:rPr>
          <w:i/>
          <w:iCs/>
          <w:szCs w:val="22"/>
        </w:rPr>
        <w:t>Porphyromonas</w:t>
      </w:r>
      <w:proofErr w:type="spellEnd"/>
      <w:r w:rsidRPr="001D77F6">
        <w:rPr>
          <w:i/>
          <w:iCs/>
          <w:szCs w:val="22"/>
        </w:rPr>
        <w:t xml:space="preserve"> asaccharolyitica); </w:t>
      </w:r>
      <w:r w:rsidRPr="001D77F6">
        <w:rPr>
          <w:szCs w:val="22"/>
        </w:rPr>
        <w:t xml:space="preserve">a bakteriím způsobujícím akutní poporodní (puerperální) metritidu skotu: </w:t>
      </w:r>
      <w:r w:rsidRPr="001D77F6">
        <w:rPr>
          <w:i/>
          <w:iCs/>
          <w:szCs w:val="22"/>
        </w:rPr>
        <w:t>Escherichia coli, Arcanobacterium pyogenes</w:t>
      </w:r>
      <w:r w:rsidRPr="001D77F6">
        <w:rPr>
          <w:szCs w:val="22"/>
        </w:rPr>
        <w:t xml:space="preserve"> a </w:t>
      </w:r>
      <w:r w:rsidRPr="001D77F6">
        <w:rPr>
          <w:i/>
          <w:iCs/>
          <w:szCs w:val="22"/>
        </w:rPr>
        <w:t>Fusobacterium necrophorum.</w:t>
      </w:r>
    </w:p>
    <w:p w14:paraId="4CB3337B" w14:textId="77777777" w:rsidR="001D77F6" w:rsidRPr="001D77F6" w:rsidRDefault="001D77F6" w:rsidP="001D77F6">
      <w:pPr>
        <w:widowControl w:val="0"/>
        <w:tabs>
          <w:tab w:val="left" w:pos="0"/>
          <w:tab w:val="left" w:pos="240"/>
          <w:tab w:val="left" w:pos="360"/>
        </w:tabs>
        <w:autoSpaceDE w:val="0"/>
        <w:autoSpaceDN w:val="0"/>
        <w:adjustRightInd w:val="0"/>
        <w:jc w:val="both"/>
        <w:rPr>
          <w:szCs w:val="22"/>
        </w:rPr>
      </w:pPr>
    </w:p>
    <w:p w14:paraId="11CAE6C1" w14:textId="77777777" w:rsidR="001D77F6" w:rsidRPr="001D77F6" w:rsidRDefault="001D77F6" w:rsidP="001D77F6">
      <w:pPr>
        <w:widowControl w:val="0"/>
        <w:autoSpaceDE w:val="0"/>
        <w:autoSpaceDN w:val="0"/>
        <w:adjustRightInd w:val="0"/>
        <w:rPr>
          <w:szCs w:val="22"/>
        </w:rPr>
      </w:pPr>
      <w:r w:rsidRPr="001D77F6">
        <w:rPr>
          <w:szCs w:val="22"/>
          <w:u w:val="single"/>
        </w:rPr>
        <w:t>Následující minimální inhibiční koncentrace (MIC) byly stanoveny pro ceftiofur z Evropských</w:t>
      </w:r>
      <w:r w:rsidRPr="001D77F6">
        <w:rPr>
          <w:szCs w:val="22"/>
        </w:rPr>
        <w:t xml:space="preserve"> izolátů cílových bakterií.</w:t>
      </w:r>
    </w:p>
    <w:p w14:paraId="30033143" w14:textId="77777777" w:rsidR="001D77F6" w:rsidRPr="001D77F6" w:rsidRDefault="001D77F6" w:rsidP="001D77F6">
      <w:pPr>
        <w:widowControl w:val="0"/>
        <w:tabs>
          <w:tab w:val="left" w:pos="0"/>
          <w:tab w:val="left" w:pos="240"/>
          <w:tab w:val="left" w:pos="360"/>
        </w:tabs>
        <w:autoSpaceDE w:val="0"/>
        <w:autoSpaceDN w:val="0"/>
        <w:adjustRightInd w:val="0"/>
        <w:ind w:left="360"/>
        <w:jc w:val="both"/>
        <w:rPr>
          <w:i/>
          <w:iCs/>
          <w:szCs w:val="22"/>
        </w:rPr>
      </w:pPr>
    </w:p>
    <w:tbl>
      <w:tblPr>
        <w:tblW w:w="0" w:type="auto"/>
        <w:tblInd w:w="140" w:type="dxa"/>
        <w:tblLayout w:type="fixed"/>
        <w:tblCellMar>
          <w:left w:w="70" w:type="dxa"/>
          <w:right w:w="70" w:type="dxa"/>
        </w:tblCellMar>
        <w:tblLook w:val="0000" w:firstRow="0" w:lastRow="0" w:firstColumn="0" w:lastColumn="0" w:noHBand="0" w:noVBand="0"/>
      </w:tblPr>
      <w:tblGrid>
        <w:gridCol w:w="3722"/>
        <w:gridCol w:w="2413"/>
        <w:gridCol w:w="2155"/>
      </w:tblGrid>
      <w:tr w:rsidR="001D77F6" w:rsidRPr="001D77F6" w14:paraId="731F1812" w14:textId="77777777" w:rsidTr="00DC3715">
        <w:trPr>
          <w:trHeight w:val="1"/>
        </w:trPr>
        <w:tc>
          <w:tcPr>
            <w:tcW w:w="8290" w:type="dxa"/>
            <w:gridSpan w:val="3"/>
            <w:tcBorders>
              <w:top w:val="nil"/>
              <w:left w:val="nil"/>
              <w:bottom w:val="nil"/>
              <w:right w:val="nil"/>
            </w:tcBorders>
            <w:shd w:val="clear" w:color="auto" w:fill="CCCCCC"/>
            <w:vAlign w:val="center"/>
          </w:tcPr>
          <w:p w14:paraId="0585A532"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PRASATA</w:t>
            </w:r>
          </w:p>
        </w:tc>
      </w:tr>
      <w:tr w:rsidR="001D77F6" w:rsidRPr="001D77F6" w14:paraId="71DF5D73" w14:textId="77777777" w:rsidTr="00DC3715">
        <w:trPr>
          <w:trHeight w:val="1"/>
        </w:trPr>
        <w:tc>
          <w:tcPr>
            <w:tcW w:w="3722" w:type="dxa"/>
            <w:tcBorders>
              <w:top w:val="nil"/>
              <w:left w:val="nil"/>
              <w:bottom w:val="nil"/>
              <w:right w:val="nil"/>
            </w:tcBorders>
            <w:shd w:val="clear" w:color="000000" w:fill="FFFFFF"/>
            <w:vAlign w:val="center"/>
          </w:tcPr>
          <w:p w14:paraId="0AEB717D" w14:textId="77777777" w:rsidR="001D77F6" w:rsidRPr="001D77F6" w:rsidRDefault="001D77F6" w:rsidP="00DC3715">
            <w:pPr>
              <w:widowControl w:val="0"/>
              <w:autoSpaceDE w:val="0"/>
              <w:autoSpaceDN w:val="0"/>
              <w:adjustRightInd w:val="0"/>
              <w:rPr>
                <w:rFonts w:ascii="Calibri" w:hAnsi="Calibri" w:cs="Calibri"/>
                <w:szCs w:val="22"/>
              </w:rPr>
            </w:pPr>
            <w:r w:rsidRPr="001D77F6">
              <w:rPr>
                <w:b/>
                <w:bCs/>
                <w:szCs w:val="22"/>
              </w:rPr>
              <w:t>Mikroorganizmus (počet izolátů)</w:t>
            </w:r>
          </w:p>
        </w:tc>
        <w:tc>
          <w:tcPr>
            <w:tcW w:w="2413" w:type="dxa"/>
            <w:tcBorders>
              <w:top w:val="nil"/>
              <w:left w:val="nil"/>
              <w:bottom w:val="nil"/>
              <w:right w:val="nil"/>
            </w:tcBorders>
            <w:shd w:val="clear" w:color="000000" w:fill="FFFFFF"/>
            <w:vAlign w:val="center"/>
          </w:tcPr>
          <w:p w14:paraId="056D8123"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Rozsah MIC (μg/ml)</w:t>
            </w:r>
          </w:p>
        </w:tc>
        <w:tc>
          <w:tcPr>
            <w:tcW w:w="2155" w:type="dxa"/>
            <w:tcBorders>
              <w:top w:val="nil"/>
              <w:left w:val="nil"/>
              <w:bottom w:val="nil"/>
              <w:right w:val="nil"/>
            </w:tcBorders>
            <w:shd w:val="clear" w:color="000000" w:fill="FFFFFF"/>
            <w:vAlign w:val="center"/>
          </w:tcPr>
          <w:p w14:paraId="54FFBC15"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MIC</w:t>
            </w:r>
            <w:r w:rsidRPr="001D77F6">
              <w:rPr>
                <w:b/>
                <w:bCs/>
                <w:szCs w:val="22"/>
                <w:vertAlign w:val="subscript"/>
              </w:rPr>
              <w:t xml:space="preserve">90 </w:t>
            </w:r>
            <w:r w:rsidRPr="001D77F6">
              <w:rPr>
                <w:b/>
                <w:bCs/>
                <w:szCs w:val="22"/>
              </w:rPr>
              <w:t>(μg/ml)</w:t>
            </w:r>
          </w:p>
        </w:tc>
      </w:tr>
      <w:tr w:rsidR="001D77F6" w:rsidRPr="001D77F6" w14:paraId="6D54F001" w14:textId="77777777" w:rsidTr="00DC3715">
        <w:trPr>
          <w:trHeight w:val="1"/>
        </w:trPr>
        <w:tc>
          <w:tcPr>
            <w:tcW w:w="3722" w:type="dxa"/>
            <w:tcBorders>
              <w:top w:val="nil"/>
              <w:left w:val="nil"/>
              <w:bottom w:val="nil"/>
              <w:right w:val="nil"/>
            </w:tcBorders>
            <w:shd w:val="clear" w:color="000000" w:fill="FFFFFF"/>
          </w:tcPr>
          <w:p w14:paraId="2110ED3B"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A. pleuropneumoniae (28)</w:t>
            </w:r>
          </w:p>
        </w:tc>
        <w:tc>
          <w:tcPr>
            <w:tcW w:w="2413" w:type="dxa"/>
            <w:tcBorders>
              <w:top w:val="nil"/>
              <w:left w:val="nil"/>
              <w:bottom w:val="nil"/>
              <w:right w:val="nil"/>
            </w:tcBorders>
            <w:shd w:val="clear" w:color="000000" w:fill="FFFFFF"/>
            <w:vAlign w:val="center"/>
          </w:tcPr>
          <w:p w14:paraId="2169AC01" w14:textId="77777777" w:rsidR="001D77F6" w:rsidRPr="001D77F6" w:rsidRDefault="001D77F6" w:rsidP="00DC3715">
            <w:pPr>
              <w:widowControl w:val="0"/>
              <w:tabs>
                <w:tab w:val="left" w:pos="745"/>
              </w:tabs>
              <w:autoSpaceDE w:val="0"/>
              <w:autoSpaceDN w:val="0"/>
              <w:adjustRightInd w:val="0"/>
              <w:jc w:val="center"/>
              <w:rPr>
                <w:rFonts w:ascii="Calibri" w:hAnsi="Calibri" w:cs="Calibri"/>
                <w:szCs w:val="22"/>
              </w:rPr>
            </w:pPr>
            <w:r w:rsidRPr="001D77F6">
              <w:rPr>
                <w:szCs w:val="22"/>
              </w:rPr>
              <w:t>≤ 0.03*</w:t>
            </w:r>
          </w:p>
        </w:tc>
        <w:tc>
          <w:tcPr>
            <w:tcW w:w="2155" w:type="dxa"/>
            <w:tcBorders>
              <w:top w:val="nil"/>
              <w:left w:val="nil"/>
              <w:bottom w:val="nil"/>
              <w:right w:val="nil"/>
            </w:tcBorders>
            <w:shd w:val="clear" w:color="000000" w:fill="FFFFFF"/>
            <w:vAlign w:val="center"/>
          </w:tcPr>
          <w:p w14:paraId="6DF86559"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w:t>
            </w:r>
          </w:p>
        </w:tc>
      </w:tr>
      <w:tr w:rsidR="001D77F6" w:rsidRPr="001D77F6" w14:paraId="76B504B8" w14:textId="77777777" w:rsidTr="00DC3715">
        <w:trPr>
          <w:trHeight w:val="1"/>
        </w:trPr>
        <w:tc>
          <w:tcPr>
            <w:tcW w:w="3722" w:type="dxa"/>
            <w:tcBorders>
              <w:top w:val="nil"/>
              <w:left w:val="nil"/>
              <w:bottom w:val="nil"/>
              <w:right w:val="nil"/>
            </w:tcBorders>
            <w:shd w:val="clear" w:color="000000" w:fill="FFFFFF"/>
          </w:tcPr>
          <w:p w14:paraId="6E884D1F"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Pasteurella multocida (37)</w:t>
            </w:r>
          </w:p>
        </w:tc>
        <w:tc>
          <w:tcPr>
            <w:tcW w:w="2413" w:type="dxa"/>
            <w:tcBorders>
              <w:top w:val="nil"/>
              <w:left w:val="nil"/>
              <w:bottom w:val="nil"/>
              <w:right w:val="nil"/>
            </w:tcBorders>
            <w:shd w:val="clear" w:color="000000" w:fill="FFFFFF"/>
            <w:vAlign w:val="center"/>
          </w:tcPr>
          <w:p w14:paraId="7E039AB7"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0.03-0.13</w:t>
            </w:r>
          </w:p>
        </w:tc>
        <w:tc>
          <w:tcPr>
            <w:tcW w:w="2155" w:type="dxa"/>
            <w:tcBorders>
              <w:top w:val="nil"/>
              <w:left w:val="nil"/>
              <w:bottom w:val="nil"/>
              <w:right w:val="nil"/>
            </w:tcBorders>
            <w:shd w:val="clear" w:color="000000" w:fill="FFFFFF"/>
            <w:vAlign w:val="center"/>
          </w:tcPr>
          <w:p w14:paraId="6B535371"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w:t>
            </w:r>
          </w:p>
        </w:tc>
      </w:tr>
      <w:tr w:rsidR="001D77F6" w:rsidRPr="001D77F6" w14:paraId="494D7E83" w14:textId="77777777" w:rsidTr="00DC3715">
        <w:trPr>
          <w:trHeight w:val="1"/>
        </w:trPr>
        <w:tc>
          <w:tcPr>
            <w:tcW w:w="3722" w:type="dxa"/>
            <w:tcBorders>
              <w:top w:val="nil"/>
              <w:left w:val="nil"/>
              <w:bottom w:val="nil"/>
              <w:right w:val="nil"/>
            </w:tcBorders>
            <w:shd w:val="clear" w:color="000000" w:fill="FFFFFF"/>
          </w:tcPr>
          <w:p w14:paraId="1982EBA0"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Streptococcus suis (495)</w:t>
            </w:r>
          </w:p>
        </w:tc>
        <w:tc>
          <w:tcPr>
            <w:tcW w:w="2413" w:type="dxa"/>
            <w:tcBorders>
              <w:top w:val="nil"/>
              <w:left w:val="nil"/>
              <w:bottom w:val="nil"/>
              <w:right w:val="nil"/>
            </w:tcBorders>
            <w:shd w:val="clear" w:color="000000" w:fill="FFFFFF"/>
            <w:vAlign w:val="center"/>
          </w:tcPr>
          <w:p w14:paraId="4E961870"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0.03-0.25</w:t>
            </w:r>
          </w:p>
        </w:tc>
        <w:tc>
          <w:tcPr>
            <w:tcW w:w="2155" w:type="dxa"/>
            <w:tcBorders>
              <w:top w:val="nil"/>
              <w:left w:val="nil"/>
              <w:bottom w:val="nil"/>
              <w:right w:val="nil"/>
            </w:tcBorders>
            <w:shd w:val="clear" w:color="000000" w:fill="FFFFFF"/>
            <w:vAlign w:val="center"/>
          </w:tcPr>
          <w:p w14:paraId="6F346D2E"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w:t>
            </w:r>
          </w:p>
        </w:tc>
      </w:tr>
      <w:tr w:rsidR="001D77F6" w:rsidRPr="001D77F6" w14:paraId="00D44BE5" w14:textId="77777777" w:rsidTr="00DC3715">
        <w:trPr>
          <w:trHeight w:val="1"/>
        </w:trPr>
        <w:tc>
          <w:tcPr>
            <w:tcW w:w="3722" w:type="dxa"/>
            <w:tcBorders>
              <w:top w:val="nil"/>
              <w:left w:val="nil"/>
              <w:bottom w:val="nil"/>
              <w:right w:val="nil"/>
            </w:tcBorders>
            <w:shd w:val="clear" w:color="000000" w:fill="FFFFFF"/>
          </w:tcPr>
          <w:p w14:paraId="3CFB4AB8" w14:textId="77777777" w:rsidR="001D77F6" w:rsidRPr="001D77F6" w:rsidRDefault="001D77F6" w:rsidP="00DC3715">
            <w:pPr>
              <w:widowControl w:val="0"/>
              <w:autoSpaceDE w:val="0"/>
              <w:autoSpaceDN w:val="0"/>
              <w:adjustRightInd w:val="0"/>
              <w:jc w:val="both"/>
              <w:rPr>
                <w:rFonts w:ascii="Calibri" w:hAnsi="Calibri" w:cs="Calibri"/>
                <w:szCs w:val="22"/>
              </w:rPr>
            </w:pPr>
          </w:p>
        </w:tc>
        <w:tc>
          <w:tcPr>
            <w:tcW w:w="2413" w:type="dxa"/>
            <w:tcBorders>
              <w:top w:val="nil"/>
              <w:left w:val="nil"/>
              <w:bottom w:val="nil"/>
              <w:right w:val="nil"/>
            </w:tcBorders>
            <w:shd w:val="clear" w:color="000000" w:fill="FFFFFF"/>
          </w:tcPr>
          <w:p w14:paraId="0F6E5A9A" w14:textId="77777777" w:rsidR="001D77F6" w:rsidRPr="001D77F6" w:rsidRDefault="001D77F6" w:rsidP="00DC3715">
            <w:pPr>
              <w:widowControl w:val="0"/>
              <w:autoSpaceDE w:val="0"/>
              <w:autoSpaceDN w:val="0"/>
              <w:adjustRightInd w:val="0"/>
              <w:jc w:val="both"/>
              <w:rPr>
                <w:rFonts w:ascii="Calibri" w:hAnsi="Calibri" w:cs="Calibri"/>
                <w:szCs w:val="22"/>
              </w:rPr>
            </w:pPr>
          </w:p>
        </w:tc>
        <w:tc>
          <w:tcPr>
            <w:tcW w:w="2155" w:type="dxa"/>
            <w:tcBorders>
              <w:top w:val="nil"/>
              <w:left w:val="nil"/>
              <w:bottom w:val="nil"/>
              <w:right w:val="nil"/>
            </w:tcBorders>
            <w:shd w:val="clear" w:color="000000" w:fill="FFFFFF"/>
          </w:tcPr>
          <w:p w14:paraId="17966CB0" w14:textId="77777777" w:rsidR="001D77F6" w:rsidRPr="001D77F6" w:rsidRDefault="001D77F6" w:rsidP="00DC3715">
            <w:pPr>
              <w:widowControl w:val="0"/>
              <w:autoSpaceDE w:val="0"/>
              <w:autoSpaceDN w:val="0"/>
              <w:adjustRightInd w:val="0"/>
              <w:jc w:val="both"/>
              <w:rPr>
                <w:rFonts w:ascii="Calibri" w:hAnsi="Calibri" w:cs="Calibri"/>
                <w:szCs w:val="22"/>
              </w:rPr>
            </w:pPr>
          </w:p>
        </w:tc>
      </w:tr>
      <w:tr w:rsidR="001D77F6" w:rsidRPr="001D77F6" w14:paraId="4E50B83D" w14:textId="77777777" w:rsidTr="00DC3715">
        <w:trPr>
          <w:trHeight w:val="1"/>
        </w:trPr>
        <w:tc>
          <w:tcPr>
            <w:tcW w:w="8290" w:type="dxa"/>
            <w:gridSpan w:val="3"/>
            <w:tcBorders>
              <w:top w:val="nil"/>
              <w:left w:val="nil"/>
              <w:bottom w:val="nil"/>
              <w:right w:val="nil"/>
            </w:tcBorders>
            <w:shd w:val="clear" w:color="auto" w:fill="CCCCCC"/>
            <w:vAlign w:val="center"/>
          </w:tcPr>
          <w:p w14:paraId="6B704D41"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SKOT</w:t>
            </w:r>
          </w:p>
        </w:tc>
      </w:tr>
      <w:tr w:rsidR="001D77F6" w:rsidRPr="001D77F6" w14:paraId="5E3FE190" w14:textId="77777777" w:rsidTr="00DC3715">
        <w:trPr>
          <w:trHeight w:val="1"/>
        </w:trPr>
        <w:tc>
          <w:tcPr>
            <w:tcW w:w="3722" w:type="dxa"/>
            <w:tcBorders>
              <w:top w:val="nil"/>
              <w:left w:val="nil"/>
              <w:bottom w:val="nil"/>
              <w:right w:val="nil"/>
            </w:tcBorders>
            <w:shd w:val="clear" w:color="000000" w:fill="FFFFFF"/>
          </w:tcPr>
          <w:p w14:paraId="09B8EAAF"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b/>
                <w:bCs/>
                <w:szCs w:val="22"/>
              </w:rPr>
              <w:lastRenderedPageBreak/>
              <w:t>Mikroorganizmus (počet izolátů)</w:t>
            </w:r>
          </w:p>
        </w:tc>
        <w:tc>
          <w:tcPr>
            <w:tcW w:w="2413" w:type="dxa"/>
            <w:tcBorders>
              <w:top w:val="nil"/>
              <w:left w:val="nil"/>
              <w:bottom w:val="nil"/>
              <w:right w:val="nil"/>
            </w:tcBorders>
            <w:shd w:val="clear" w:color="000000" w:fill="FFFFFF"/>
            <w:vAlign w:val="center"/>
          </w:tcPr>
          <w:p w14:paraId="160FEBFB"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Rozsah MIC (μg/ml)</w:t>
            </w:r>
          </w:p>
        </w:tc>
        <w:tc>
          <w:tcPr>
            <w:tcW w:w="2155" w:type="dxa"/>
            <w:tcBorders>
              <w:top w:val="nil"/>
              <w:left w:val="nil"/>
              <w:bottom w:val="nil"/>
              <w:right w:val="nil"/>
            </w:tcBorders>
            <w:shd w:val="clear" w:color="000000" w:fill="FFFFFF"/>
            <w:vAlign w:val="center"/>
          </w:tcPr>
          <w:p w14:paraId="7BDCBCB2"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MIC</w:t>
            </w:r>
            <w:r w:rsidRPr="001D77F6">
              <w:rPr>
                <w:b/>
                <w:bCs/>
                <w:szCs w:val="22"/>
                <w:vertAlign w:val="subscript"/>
              </w:rPr>
              <w:t xml:space="preserve">90 </w:t>
            </w:r>
            <w:r w:rsidRPr="001D77F6">
              <w:rPr>
                <w:b/>
                <w:bCs/>
                <w:szCs w:val="22"/>
              </w:rPr>
              <w:t>(μg/ml)</w:t>
            </w:r>
          </w:p>
        </w:tc>
      </w:tr>
      <w:tr w:rsidR="001D77F6" w:rsidRPr="001D77F6" w14:paraId="1D0A2A2F" w14:textId="77777777" w:rsidTr="00DC3715">
        <w:trPr>
          <w:trHeight w:val="1"/>
        </w:trPr>
        <w:tc>
          <w:tcPr>
            <w:tcW w:w="3722" w:type="dxa"/>
            <w:tcBorders>
              <w:top w:val="nil"/>
              <w:left w:val="nil"/>
              <w:bottom w:val="nil"/>
              <w:right w:val="nil"/>
            </w:tcBorders>
            <w:shd w:val="clear" w:color="000000" w:fill="FFFFFF"/>
          </w:tcPr>
          <w:p w14:paraId="53BD368A"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 xml:space="preserve">Mannheimia </w:t>
            </w:r>
            <w:r w:rsidRPr="001D77F6">
              <w:rPr>
                <w:szCs w:val="22"/>
              </w:rPr>
              <w:t>spp</w:t>
            </w:r>
            <w:r w:rsidRPr="001D77F6">
              <w:rPr>
                <w:i/>
                <w:iCs/>
                <w:szCs w:val="22"/>
              </w:rPr>
              <w:t>. (87)</w:t>
            </w:r>
          </w:p>
        </w:tc>
        <w:tc>
          <w:tcPr>
            <w:tcW w:w="2413" w:type="dxa"/>
            <w:tcBorders>
              <w:top w:val="nil"/>
              <w:left w:val="nil"/>
              <w:bottom w:val="nil"/>
              <w:right w:val="nil"/>
            </w:tcBorders>
            <w:shd w:val="clear" w:color="000000" w:fill="FFFFFF"/>
            <w:vAlign w:val="center"/>
          </w:tcPr>
          <w:p w14:paraId="1CE2352F" w14:textId="77777777" w:rsidR="001D77F6" w:rsidRPr="001D77F6" w:rsidRDefault="001D77F6" w:rsidP="00DC3715">
            <w:pPr>
              <w:widowControl w:val="0"/>
              <w:tabs>
                <w:tab w:val="left" w:pos="745"/>
              </w:tabs>
              <w:autoSpaceDE w:val="0"/>
              <w:autoSpaceDN w:val="0"/>
              <w:adjustRightInd w:val="0"/>
              <w:jc w:val="center"/>
              <w:rPr>
                <w:rFonts w:ascii="Calibri" w:hAnsi="Calibri" w:cs="Calibri"/>
                <w:szCs w:val="22"/>
              </w:rPr>
            </w:pPr>
            <w:r w:rsidRPr="001D77F6">
              <w:rPr>
                <w:szCs w:val="22"/>
              </w:rPr>
              <w:t>≤ 0.03*</w:t>
            </w:r>
          </w:p>
        </w:tc>
        <w:tc>
          <w:tcPr>
            <w:tcW w:w="2155" w:type="dxa"/>
            <w:tcBorders>
              <w:top w:val="nil"/>
              <w:left w:val="nil"/>
              <w:bottom w:val="nil"/>
              <w:right w:val="nil"/>
            </w:tcBorders>
            <w:shd w:val="clear" w:color="000000" w:fill="FFFFFF"/>
            <w:vAlign w:val="center"/>
          </w:tcPr>
          <w:p w14:paraId="2D1F18E1"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w:t>
            </w:r>
          </w:p>
        </w:tc>
      </w:tr>
      <w:tr w:rsidR="001D77F6" w:rsidRPr="001D77F6" w14:paraId="7C946CEA" w14:textId="77777777" w:rsidTr="00DC3715">
        <w:trPr>
          <w:trHeight w:val="1"/>
        </w:trPr>
        <w:tc>
          <w:tcPr>
            <w:tcW w:w="3722" w:type="dxa"/>
            <w:tcBorders>
              <w:top w:val="nil"/>
              <w:left w:val="nil"/>
              <w:bottom w:val="nil"/>
              <w:right w:val="nil"/>
            </w:tcBorders>
            <w:shd w:val="clear" w:color="000000" w:fill="FFFFFF"/>
          </w:tcPr>
          <w:p w14:paraId="2A011AA0"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P. multocida (42)</w:t>
            </w:r>
          </w:p>
        </w:tc>
        <w:tc>
          <w:tcPr>
            <w:tcW w:w="2413" w:type="dxa"/>
            <w:tcBorders>
              <w:top w:val="nil"/>
              <w:left w:val="nil"/>
              <w:bottom w:val="nil"/>
              <w:right w:val="nil"/>
            </w:tcBorders>
            <w:shd w:val="clear" w:color="000000" w:fill="FFFFFF"/>
            <w:vAlign w:val="center"/>
          </w:tcPr>
          <w:p w14:paraId="076745E5"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0.03-0.12</w:t>
            </w:r>
          </w:p>
        </w:tc>
        <w:tc>
          <w:tcPr>
            <w:tcW w:w="2155" w:type="dxa"/>
            <w:tcBorders>
              <w:top w:val="nil"/>
              <w:left w:val="nil"/>
              <w:bottom w:val="nil"/>
              <w:right w:val="nil"/>
            </w:tcBorders>
            <w:shd w:val="clear" w:color="000000" w:fill="FFFFFF"/>
            <w:vAlign w:val="center"/>
          </w:tcPr>
          <w:p w14:paraId="1FF10689"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w:t>
            </w:r>
          </w:p>
        </w:tc>
      </w:tr>
      <w:tr w:rsidR="001D77F6" w:rsidRPr="001D77F6" w14:paraId="6E46371A" w14:textId="77777777" w:rsidTr="00DC3715">
        <w:trPr>
          <w:trHeight w:val="1"/>
        </w:trPr>
        <w:tc>
          <w:tcPr>
            <w:tcW w:w="3722" w:type="dxa"/>
            <w:tcBorders>
              <w:top w:val="nil"/>
              <w:left w:val="nil"/>
              <w:bottom w:val="nil"/>
              <w:right w:val="nil"/>
            </w:tcBorders>
            <w:shd w:val="clear" w:color="000000" w:fill="FFFFFF"/>
          </w:tcPr>
          <w:p w14:paraId="65234138"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H. somni (24)</w:t>
            </w:r>
          </w:p>
        </w:tc>
        <w:tc>
          <w:tcPr>
            <w:tcW w:w="2413" w:type="dxa"/>
            <w:tcBorders>
              <w:top w:val="nil"/>
              <w:left w:val="nil"/>
              <w:bottom w:val="nil"/>
              <w:right w:val="nil"/>
            </w:tcBorders>
            <w:shd w:val="clear" w:color="000000" w:fill="FFFFFF"/>
            <w:vAlign w:val="center"/>
          </w:tcPr>
          <w:p w14:paraId="1489F70F"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w:t>
            </w:r>
          </w:p>
        </w:tc>
        <w:tc>
          <w:tcPr>
            <w:tcW w:w="2155" w:type="dxa"/>
            <w:tcBorders>
              <w:top w:val="nil"/>
              <w:left w:val="nil"/>
              <w:bottom w:val="nil"/>
              <w:right w:val="nil"/>
            </w:tcBorders>
            <w:shd w:val="clear" w:color="000000" w:fill="FFFFFF"/>
            <w:vAlign w:val="center"/>
          </w:tcPr>
          <w:p w14:paraId="0BD7BBA4"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w:t>
            </w:r>
          </w:p>
        </w:tc>
      </w:tr>
      <w:tr w:rsidR="001D77F6" w:rsidRPr="001D77F6" w14:paraId="5CF1D94B" w14:textId="77777777" w:rsidTr="00DC3715">
        <w:trPr>
          <w:trHeight w:val="1"/>
        </w:trPr>
        <w:tc>
          <w:tcPr>
            <w:tcW w:w="3722" w:type="dxa"/>
            <w:tcBorders>
              <w:top w:val="nil"/>
              <w:left w:val="nil"/>
              <w:bottom w:val="nil"/>
              <w:right w:val="nil"/>
            </w:tcBorders>
            <w:shd w:val="clear" w:color="000000" w:fill="FFFFFF"/>
          </w:tcPr>
          <w:p w14:paraId="16BCC6F3"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Arcanobacterium pyogenens (123)</w:t>
            </w:r>
          </w:p>
        </w:tc>
        <w:tc>
          <w:tcPr>
            <w:tcW w:w="2413" w:type="dxa"/>
            <w:tcBorders>
              <w:top w:val="nil"/>
              <w:left w:val="nil"/>
              <w:bottom w:val="nil"/>
              <w:right w:val="nil"/>
            </w:tcBorders>
            <w:shd w:val="clear" w:color="000000" w:fill="FFFFFF"/>
            <w:vAlign w:val="center"/>
          </w:tcPr>
          <w:p w14:paraId="63291E55"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0.03-0.5</w:t>
            </w:r>
          </w:p>
        </w:tc>
        <w:tc>
          <w:tcPr>
            <w:tcW w:w="2155" w:type="dxa"/>
            <w:tcBorders>
              <w:top w:val="nil"/>
              <w:left w:val="nil"/>
              <w:bottom w:val="nil"/>
              <w:right w:val="nil"/>
            </w:tcBorders>
            <w:shd w:val="clear" w:color="000000" w:fill="FFFFFF"/>
            <w:vAlign w:val="center"/>
          </w:tcPr>
          <w:p w14:paraId="3B7D9CB7"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0.25</w:t>
            </w:r>
          </w:p>
        </w:tc>
      </w:tr>
      <w:tr w:rsidR="001D77F6" w:rsidRPr="001D77F6" w14:paraId="57C1248C" w14:textId="77777777" w:rsidTr="00DC3715">
        <w:trPr>
          <w:trHeight w:val="1"/>
        </w:trPr>
        <w:tc>
          <w:tcPr>
            <w:tcW w:w="3722" w:type="dxa"/>
            <w:tcBorders>
              <w:top w:val="nil"/>
              <w:left w:val="nil"/>
              <w:bottom w:val="nil"/>
              <w:right w:val="nil"/>
            </w:tcBorders>
            <w:shd w:val="clear" w:color="000000" w:fill="FFFFFF"/>
          </w:tcPr>
          <w:p w14:paraId="4529F0A8"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i/>
                <w:iCs/>
                <w:szCs w:val="22"/>
              </w:rPr>
              <w:t>Escherichia coli (188)</w:t>
            </w:r>
          </w:p>
        </w:tc>
        <w:tc>
          <w:tcPr>
            <w:tcW w:w="2413" w:type="dxa"/>
            <w:tcBorders>
              <w:top w:val="nil"/>
              <w:left w:val="nil"/>
              <w:bottom w:val="nil"/>
              <w:right w:val="nil"/>
            </w:tcBorders>
            <w:shd w:val="clear" w:color="000000" w:fill="FFFFFF"/>
            <w:vAlign w:val="center"/>
          </w:tcPr>
          <w:p w14:paraId="750231C6"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0.13 - &gt; 32.0</w:t>
            </w:r>
          </w:p>
        </w:tc>
        <w:tc>
          <w:tcPr>
            <w:tcW w:w="2155" w:type="dxa"/>
            <w:tcBorders>
              <w:top w:val="nil"/>
              <w:left w:val="nil"/>
              <w:bottom w:val="nil"/>
              <w:right w:val="nil"/>
            </w:tcBorders>
            <w:shd w:val="clear" w:color="000000" w:fill="FFFFFF"/>
            <w:vAlign w:val="center"/>
          </w:tcPr>
          <w:p w14:paraId="703C637A"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0.5</w:t>
            </w:r>
          </w:p>
        </w:tc>
      </w:tr>
      <w:tr w:rsidR="001D77F6" w:rsidRPr="001D77F6" w14:paraId="3D2527B5" w14:textId="77777777" w:rsidTr="00DC3715">
        <w:trPr>
          <w:trHeight w:val="1"/>
        </w:trPr>
        <w:tc>
          <w:tcPr>
            <w:tcW w:w="3722" w:type="dxa"/>
            <w:tcBorders>
              <w:top w:val="nil"/>
              <w:left w:val="nil"/>
              <w:bottom w:val="nil"/>
              <w:right w:val="nil"/>
            </w:tcBorders>
            <w:shd w:val="clear" w:color="000000" w:fill="FFFFFF"/>
          </w:tcPr>
          <w:p w14:paraId="27A3F7FC" w14:textId="77777777" w:rsidR="001D77F6" w:rsidRPr="001D77F6" w:rsidRDefault="001D77F6" w:rsidP="00DC3715">
            <w:pPr>
              <w:widowControl w:val="0"/>
              <w:autoSpaceDE w:val="0"/>
              <w:autoSpaceDN w:val="0"/>
              <w:adjustRightInd w:val="0"/>
              <w:jc w:val="both"/>
              <w:rPr>
                <w:szCs w:val="22"/>
              </w:rPr>
            </w:pPr>
            <w:r w:rsidRPr="001D77F6">
              <w:rPr>
                <w:i/>
                <w:iCs/>
                <w:szCs w:val="22"/>
              </w:rPr>
              <w:t>Fusobacterium necrophorum (67)</w:t>
            </w:r>
            <w:r w:rsidRPr="001D77F6">
              <w:rPr>
                <w:szCs w:val="22"/>
              </w:rPr>
              <w:t xml:space="preserve"> </w:t>
            </w:r>
          </w:p>
          <w:p w14:paraId="586D5251" w14:textId="70C81159" w:rsidR="001D77F6" w:rsidRPr="001D77F6" w:rsidRDefault="001D77F6" w:rsidP="00DC3715">
            <w:pPr>
              <w:widowControl w:val="0"/>
              <w:autoSpaceDE w:val="0"/>
              <w:autoSpaceDN w:val="0"/>
              <w:adjustRightInd w:val="0"/>
              <w:jc w:val="both"/>
              <w:rPr>
                <w:szCs w:val="22"/>
              </w:rPr>
            </w:pPr>
            <w:r w:rsidRPr="001D77F6">
              <w:rPr>
                <w:szCs w:val="22"/>
              </w:rPr>
              <w:t xml:space="preserve">(z případů </w:t>
            </w:r>
            <w:proofErr w:type="spellStart"/>
            <w:r w:rsidR="0066356A">
              <w:rPr>
                <w:szCs w:val="22"/>
              </w:rPr>
              <w:t>interdigitální</w:t>
            </w:r>
            <w:proofErr w:type="spellEnd"/>
            <w:r w:rsidR="0066356A">
              <w:rPr>
                <w:szCs w:val="22"/>
              </w:rPr>
              <w:t xml:space="preserve"> </w:t>
            </w:r>
            <w:proofErr w:type="spellStart"/>
            <w:r w:rsidR="0066356A">
              <w:rPr>
                <w:szCs w:val="22"/>
              </w:rPr>
              <w:t>nekrobacilózy</w:t>
            </w:r>
            <w:proofErr w:type="spellEnd"/>
            <w:r w:rsidRPr="001D77F6">
              <w:rPr>
                <w:szCs w:val="22"/>
              </w:rPr>
              <w:t>)</w:t>
            </w:r>
          </w:p>
          <w:p w14:paraId="74FBCA1C" w14:textId="464E78E5" w:rsidR="001D77F6" w:rsidRPr="001D77F6" w:rsidRDefault="001D77F6" w:rsidP="00DC3715">
            <w:pPr>
              <w:widowControl w:val="0"/>
              <w:autoSpaceDE w:val="0"/>
              <w:autoSpaceDN w:val="0"/>
              <w:adjustRightInd w:val="0"/>
              <w:jc w:val="both"/>
              <w:rPr>
                <w:rFonts w:ascii="Calibri" w:hAnsi="Calibri" w:cs="Calibri"/>
                <w:szCs w:val="22"/>
              </w:rPr>
            </w:pPr>
          </w:p>
        </w:tc>
        <w:tc>
          <w:tcPr>
            <w:tcW w:w="2413" w:type="dxa"/>
            <w:tcBorders>
              <w:top w:val="nil"/>
              <w:left w:val="nil"/>
              <w:bottom w:val="nil"/>
              <w:right w:val="nil"/>
            </w:tcBorders>
            <w:shd w:val="clear" w:color="000000" w:fill="FFFFFF"/>
            <w:vAlign w:val="center"/>
          </w:tcPr>
          <w:p w14:paraId="7A858875"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0.06-0.13</w:t>
            </w:r>
          </w:p>
        </w:tc>
        <w:tc>
          <w:tcPr>
            <w:tcW w:w="2155" w:type="dxa"/>
            <w:tcBorders>
              <w:top w:val="nil"/>
              <w:left w:val="nil"/>
              <w:bottom w:val="nil"/>
              <w:right w:val="nil"/>
            </w:tcBorders>
            <w:shd w:val="clear" w:color="000000" w:fill="FFFFFF"/>
            <w:vAlign w:val="center"/>
          </w:tcPr>
          <w:p w14:paraId="6FD0ED1B"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Neurčeno</w:t>
            </w:r>
          </w:p>
        </w:tc>
      </w:tr>
      <w:tr w:rsidR="001D77F6" w:rsidRPr="001D77F6" w14:paraId="5FFC8CA7" w14:textId="77777777" w:rsidTr="00DC3715">
        <w:trPr>
          <w:trHeight w:val="1"/>
        </w:trPr>
        <w:tc>
          <w:tcPr>
            <w:tcW w:w="3722" w:type="dxa"/>
            <w:tcBorders>
              <w:top w:val="nil"/>
              <w:left w:val="nil"/>
              <w:bottom w:val="nil"/>
              <w:right w:val="nil"/>
            </w:tcBorders>
            <w:shd w:val="clear" w:color="000000" w:fill="FFFFFF"/>
          </w:tcPr>
          <w:p w14:paraId="5571312E" w14:textId="77777777" w:rsidR="001D77F6" w:rsidRPr="001D77F6" w:rsidRDefault="001D77F6" w:rsidP="00DC3715">
            <w:pPr>
              <w:widowControl w:val="0"/>
              <w:autoSpaceDE w:val="0"/>
              <w:autoSpaceDN w:val="0"/>
              <w:adjustRightInd w:val="0"/>
              <w:jc w:val="both"/>
              <w:rPr>
                <w:i/>
                <w:iCs/>
                <w:szCs w:val="22"/>
              </w:rPr>
            </w:pPr>
            <w:r w:rsidRPr="001D77F6">
              <w:rPr>
                <w:i/>
                <w:iCs/>
                <w:szCs w:val="22"/>
              </w:rPr>
              <w:t xml:space="preserve">Fusobacterium necrophorum (2) </w:t>
            </w:r>
          </w:p>
          <w:p w14:paraId="72789729"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szCs w:val="22"/>
              </w:rPr>
              <w:t>(z případů akutní metritidy)</w:t>
            </w:r>
          </w:p>
        </w:tc>
        <w:tc>
          <w:tcPr>
            <w:tcW w:w="2413" w:type="dxa"/>
            <w:tcBorders>
              <w:top w:val="nil"/>
              <w:left w:val="nil"/>
              <w:bottom w:val="nil"/>
              <w:right w:val="nil"/>
            </w:tcBorders>
            <w:shd w:val="clear" w:color="000000" w:fill="FFFFFF"/>
            <w:vAlign w:val="center"/>
          </w:tcPr>
          <w:p w14:paraId="174BFDDA"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0.03-0.06</w:t>
            </w:r>
          </w:p>
        </w:tc>
        <w:tc>
          <w:tcPr>
            <w:tcW w:w="2155" w:type="dxa"/>
            <w:tcBorders>
              <w:top w:val="nil"/>
              <w:left w:val="nil"/>
              <w:bottom w:val="nil"/>
              <w:right w:val="nil"/>
            </w:tcBorders>
            <w:shd w:val="clear" w:color="000000" w:fill="FFFFFF"/>
            <w:vAlign w:val="center"/>
          </w:tcPr>
          <w:p w14:paraId="595654B5"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Neurčeno</w:t>
            </w:r>
          </w:p>
        </w:tc>
      </w:tr>
      <w:tr w:rsidR="001D77F6" w:rsidRPr="001D77F6" w14:paraId="5D7D853D" w14:textId="77777777" w:rsidTr="00DC3715">
        <w:trPr>
          <w:trHeight w:val="1"/>
        </w:trPr>
        <w:tc>
          <w:tcPr>
            <w:tcW w:w="8290" w:type="dxa"/>
            <w:gridSpan w:val="3"/>
            <w:tcBorders>
              <w:top w:val="nil"/>
              <w:left w:val="nil"/>
              <w:bottom w:val="nil"/>
              <w:right w:val="nil"/>
            </w:tcBorders>
            <w:shd w:val="clear" w:color="000000" w:fill="FFFFFF"/>
          </w:tcPr>
          <w:p w14:paraId="76ACC7E5"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szCs w:val="22"/>
              </w:rPr>
              <w:t>*Žádný rozsah: všechny izoláty vykázaly stejnou hodnotu. ND: Neurčeno.</w:t>
            </w:r>
          </w:p>
        </w:tc>
      </w:tr>
      <w:tr w:rsidR="001D77F6" w:rsidRPr="001D77F6" w14:paraId="3B624B8B" w14:textId="77777777" w:rsidTr="00DC3715">
        <w:trPr>
          <w:trHeight w:val="1"/>
        </w:trPr>
        <w:tc>
          <w:tcPr>
            <w:tcW w:w="3722" w:type="dxa"/>
            <w:tcBorders>
              <w:top w:val="nil"/>
              <w:left w:val="nil"/>
              <w:bottom w:val="nil"/>
              <w:right w:val="nil"/>
            </w:tcBorders>
            <w:shd w:val="clear" w:color="000000" w:fill="FFFFFF"/>
          </w:tcPr>
          <w:p w14:paraId="336D687A" w14:textId="77777777" w:rsidR="001D77F6" w:rsidRPr="001D77F6" w:rsidRDefault="001D77F6" w:rsidP="00DC3715">
            <w:pPr>
              <w:widowControl w:val="0"/>
              <w:autoSpaceDE w:val="0"/>
              <w:autoSpaceDN w:val="0"/>
              <w:adjustRightInd w:val="0"/>
              <w:jc w:val="both"/>
              <w:rPr>
                <w:rFonts w:ascii="Calibri" w:hAnsi="Calibri" w:cs="Calibri"/>
                <w:szCs w:val="22"/>
              </w:rPr>
            </w:pPr>
          </w:p>
        </w:tc>
        <w:tc>
          <w:tcPr>
            <w:tcW w:w="2413" w:type="dxa"/>
            <w:tcBorders>
              <w:top w:val="nil"/>
              <w:left w:val="nil"/>
              <w:bottom w:val="nil"/>
              <w:right w:val="nil"/>
            </w:tcBorders>
            <w:shd w:val="clear" w:color="000000" w:fill="FFFFFF"/>
          </w:tcPr>
          <w:p w14:paraId="074DD8B4" w14:textId="77777777" w:rsidR="001D77F6" w:rsidRPr="001D77F6" w:rsidRDefault="001D77F6" w:rsidP="00DC3715">
            <w:pPr>
              <w:widowControl w:val="0"/>
              <w:autoSpaceDE w:val="0"/>
              <w:autoSpaceDN w:val="0"/>
              <w:adjustRightInd w:val="0"/>
              <w:jc w:val="both"/>
              <w:rPr>
                <w:rFonts w:ascii="Calibri" w:hAnsi="Calibri" w:cs="Calibri"/>
                <w:szCs w:val="22"/>
              </w:rPr>
            </w:pPr>
          </w:p>
        </w:tc>
        <w:tc>
          <w:tcPr>
            <w:tcW w:w="2155" w:type="dxa"/>
            <w:tcBorders>
              <w:top w:val="nil"/>
              <w:left w:val="nil"/>
              <w:bottom w:val="nil"/>
              <w:right w:val="nil"/>
            </w:tcBorders>
            <w:shd w:val="clear" w:color="000000" w:fill="FFFFFF"/>
          </w:tcPr>
          <w:p w14:paraId="507F36B3" w14:textId="77777777" w:rsidR="001D77F6" w:rsidRPr="001D77F6" w:rsidRDefault="001D77F6" w:rsidP="00DC3715">
            <w:pPr>
              <w:widowControl w:val="0"/>
              <w:autoSpaceDE w:val="0"/>
              <w:autoSpaceDN w:val="0"/>
              <w:adjustRightInd w:val="0"/>
              <w:jc w:val="both"/>
              <w:rPr>
                <w:rFonts w:ascii="Calibri" w:hAnsi="Calibri" w:cs="Calibri"/>
                <w:szCs w:val="22"/>
              </w:rPr>
            </w:pPr>
          </w:p>
        </w:tc>
      </w:tr>
      <w:tr w:rsidR="001D77F6" w:rsidRPr="001D77F6" w14:paraId="1962F432" w14:textId="77777777" w:rsidTr="00DC3715">
        <w:trPr>
          <w:trHeight w:val="1"/>
        </w:trPr>
        <w:tc>
          <w:tcPr>
            <w:tcW w:w="8290" w:type="dxa"/>
            <w:gridSpan w:val="3"/>
            <w:tcBorders>
              <w:top w:val="nil"/>
              <w:left w:val="nil"/>
              <w:bottom w:val="nil"/>
              <w:right w:val="nil"/>
            </w:tcBorders>
            <w:shd w:val="clear" w:color="000000" w:fill="FFFFFF"/>
          </w:tcPr>
          <w:p w14:paraId="44F8D728" w14:textId="77777777" w:rsidR="001D77F6" w:rsidRPr="001D77F6" w:rsidRDefault="001D77F6" w:rsidP="00DC3715">
            <w:pPr>
              <w:widowControl w:val="0"/>
              <w:autoSpaceDE w:val="0"/>
              <w:autoSpaceDN w:val="0"/>
              <w:adjustRightInd w:val="0"/>
              <w:jc w:val="both"/>
              <w:rPr>
                <w:rFonts w:ascii="Calibri" w:hAnsi="Calibri" w:cs="Calibri"/>
                <w:szCs w:val="22"/>
              </w:rPr>
            </w:pPr>
            <w:r w:rsidRPr="001D77F6">
              <w:rPr>
                <w:szCs w:val="22"/>
              </w:rPr>
              <w:t xml:space="preserve">Následující hraniční hodnoty byly doporučeny CLSI pro patogeny respiračních chorob skotu a prasat </w:t>
            </w:r>
          </w:p>
        </w:tc>
      </w:tr>
      <w:tr w:rsidR="001D77F6" w:rsidRPr="001D77F6" w14:paraId="76517963" w14:textId="77777777" w:rsidTr="00DC3715">
        <w:trPr>
          <w:trHeight w:val="1"/>
        </w:trPr>
        <w:tc>
          <w:tcPr>
            <w:tcW w:w="3722" w:type="dxa"/>
            <w:tcBorders>
              <w:top w:val="nil"/>
              <w:left w:val="nil"/>
              <w:bottom w:val="nil"/>
              <w:right w:val="nil"/>
            </w:tcBorders>
            <w:shd w:val="clear" w:color="000000" w:fill="FFFFFF"/>
          </w:tcPr>
          <w:p w14:paraId="043EF3C4" w14:textId="77777777" w:rsidR="001D77F6" w:rsidRPr="001D77F6" w:rsidRDefault="001D77F6" w:rsidP="00DC3715">
            <w:pPr>
              <w:widowControl w:val="0"/>
              <w:autoSpaceDE w:val="0"/>
              <w:autoSpaceDN w:val="0"/>
              <w:adjustRightInd w:val="0"/>
              <w:jc w:val="both"/>
              <w:rPr>
                <w:rFonts w:ascii="Calibri" w:hAnsi="Calibri" w:cs="Calibri"/>
                <w:szCs w:val="22"/>
              </w:rPr>
            </w:pPr>
          </w:p>
        </w:tc>
        <w:tc>
          <w:tcPr>
            <w:tcW w:w="2413" w:type="dxa"/>
            <w:tcBorders>
              <w:top w:val="nil"/>
              <w:left w:val="nil"/>
              <w:bottom w:val="nil"/>
              <w:right w:val="nil"/>
            </w:tcBorders>
            <w:shd w:val="clear" w:color="000000" w:fill="FFFFFF"/>
          </w:tcPr>
          <w:p w14:paraId="7E1A5242" w14:textId="77777777" w:rsidR="001D77F6" w:rsidRPr="001D77F6" w:rsidRDefault="001D77F6" w:rsidP="00DC3715">
            <w:pPr>
              <w:widowControl w:val="0"/>
              <w:autoSpaceDE w:val="0"/>
              <w:autoSpaceDN w:val="0"/>
              <w:adjustRightInd w:val="0"/>
              <w:jc w:val="both"/>
              <w:rPr>
                <w:rFonts w:ascii="Calibri" w:hAnsi="Calibri" w:cs="Calibri"/>
                <w:szCs w:val="22"/>
              </w:rPr>
            </w:pPr>
          </w:p>
        </w:tc>
        <w:tc>
          <w:tcPr>
            <w:tcW w:w="2155" w:type="dxa"/>
            <w:tcBorders>
              <w:top w:val="nil"/>
              <w:left w:val="nil"/>
              <w:bottom w:val="nil"/>
              <w:right w:val="nil"/>
            </w:tcBorders>
            <w:shd w:val="clear" w:color="000000" w:fill="FFFFFF"/>
          </w:tcPr>
          <w:p w14:paraId="52D2A6AF" w14:textId="77777777" w:rsidR="001D77F6" w:rsidRPr="001D77F6" w:rsidRDefault="001D77F6" w:rsidP="00DC3715">
            <w:pPr>
              <w:widowControl w:val="0"/>
              <w:autoSpaceDE w:val="0"/>
              <w:autoSpaceDN w:val="0"/>
              <w:adjustRightInd w:val="0"/>
              <w:jc w:val="both"/>
              <w:rPr>
                <w:rFonts w:ascii="Calibri" w:hAnsi="Calibri" w:cs="Calibri"/>
                <w:szCs w:val="22"/>
              </w:rPr>
            </w:pPr>
          </w:p>
        </w:tc>
      </w:tr>
      <w:tr w:rsidR="001D77F6" w:rsidRPr="001D77F6" w14:paraId="6ED08618" w14:textId="77777777" w:rsidTr="00DC3715">
        <w:trPr>
          <w:trHeight w:val="1"/>
        </w:trPr>
        <w:tc>
          <w:tcPr>
            <w:tcW w:w="3722" w:type="dxa"/>
            <w:tcBorders>
              <w:top w:val="nil"/>
              <w:left w:val="nil"/>
              <w:bottom w:val="nil"/>
              <w:right w:val="nil"/>
            </w:tcBorders>
            <w:shd w:val="clear" w:color="000000" w:fill="FFFFFF"/>
          </w:tcPr>
          <w:p w14:paraId="2EAAC7CC"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Průměr inhibiční zóny (mm)</w:t>
            </w:r>
          </w:p>
        </w:tc>
        <w:tc>
          <w:tcPr>
            <w:tcW w:w="2413" w:type="dxa"/>
            <w:tcBorders>
              <w:top w:val="nil"/>
              <w:left w:val="nil"/>
              <w:bottom w:val="nil"/>
              <w:right w:val="nil"/>
            </w:tcBorders>
            <w:shd w:val="clear" w:color="000000" w:fill="FFFFFF"/>
          </w:tcPr>
          <w:p w14:paraId="68BFA843"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b/>
                <w:bCs/>
                <w:szCs w:val="22"/>
              </w:rPr>
              <w:t>MIC (μg/ml)</w:t>
            </w:r>
          </w:p>
        </w:tc>
        <w:tc>
          <w:tcPr>
            <w:tcW w:w="2155" w:type="dxa"/>
            <w:tcBorders>
              <w:top w:val="nil"/>
              <w:left w:val="nil"/>
              <w:bottom w:val="nil"/>
              <w:right w:val="nil"/>
            </w:tcBorders>
            <w:shd w:val="clear" w:color="000000" w:fill="FFFFFF"/>
          </w:tcPr>
          <w:p w14:paraId="1BA6F34D" w14:textId="77777777" w:rsidR="001D77F6" w:rsidRPr="001D77F6" w:rsidRDefault="001D77F6" w:rsidP="006E3364">
            <w:pPr>
              <w:widowControl w:val="0"/>
              <w:autoSpaceDE w:val="0"/>
              <w:autoSpaceDN w:val="0"/>
              <w:adjustRightInd w:val="0"/>
              <w:rPr>
                <w:rFonts w:ascii="Calibri" w:hAnsi="Calibri" w:cs="Calibri"/>
                <w:szCs w:val="22"/>
              </w:rPr>
            </w:pPr>
            <w:r w:rsidRPr="001D77F6">
              <w:rPr>
                <w:b/>
                <w:bCs/>
                <w:szCs w:val="22"/>
              </w:rPr>
              <w:t>Interpretace</w:t>
            </w:r>
          </w:p>
        </w:tc>
      </w:tr>
      <w:tr w:rsidR="001D77F6" w:rsidRPr="001D77F6" w14:paraId="1F8D37B4" w14:textId="77777777" w:rsidTr="00DC3715">
        <w:trPr>
          <w:trHeight w:val="1"/>
        </w:trPr>
        <w:tc>
          <w:tcPr>
            <w:tcW w:w="3722" w:type="dxa"/>
            <w:tcBorders>
              <w:top w:val="nil"/>
              <w:left w:val="nil"/>
              <w:bottom w:val="nil"/>
              <w:right w:val="nil"/>
            </w:tcBorders>
            <w:shd w:val="clear" w:color="000000" w:fill="FFFFFF"/>
          </w:tcPr>
          <w:p w14:paraId="50B53E9A"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21</w:t>
            </w:r>
          </w:p>
        </w:tc>
        <w:tc>
          <w:tcPr>
            <w:tcW w:w="2413" w:type="dxa"/>
            <w:tcBorders>
              <w:top w:val="nil"/>
              <w:left w:val="nil"/>
              <w:bottom w:val="nil"/>
              <w:right w:val="nil"/>
            </w:tcBorders>
            <w:shd w:val="clear" w:color="000000" w:fill="FFFFFF"/>
          </w:tcPr>
          <w:p w14:paraId="542F8BC3"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2.0</w:t>
            </w:r>
          </w:p>
        </w:tc>
        <w:tc>
          <w:tcPr>
            <w:tcW w:w="2155" w:type="dxa"/>
            <w:tcBorders>
              <w:top w:val="nil"/>
              <w:left w:val="nil"/>
              <w:bottom w:val="nil"/>
              <w:right w:val="nil"/>
            </w:tcBorders>
            <w:shd w:val="clear" w:color="000000" w:fill="FFFFFF"/>
          </w:tcPr>
          <w:p w14:paraId="3F118E4F" w14:textId="77777777" w:rsidR="001D77F6" w:rsidRPr="001D77F6" w:rsidRDefault="001D77F6" w:rsidP="00DC3715">
            <w:pPr>
              <w:widowControl w:val="0"/>
              <w:autoSpaceDE w:val="0"/>
              <w:autoSpaceDN w:val="0"/>
              <w:adjustRightInd w:val="0"/>
              <w:rPr>
                <w:rFonts w:ascii="Calibri" w:hAnsi="Calibri" w:cs="Calibri"/>
                <w:szCs w:val="22"/>
              </w:rPr>
            </w:pPr>
            <w:r w:rsidRPr="001D77F6">
              <w:rPr>
                <w:szCs w:val="22"/>
              </w:rPr>
              <w:t>(C) Citlivý</w:t>
            </w:r>
          </w:p>
        </w:tc>
      </w:tr>
      <w:tr w:rsidR="001D77F6" w:rsidRPr="001D77F6" w14:paraId="1FE5D874" w14:textId="77777777" w:rsidTr="00DC3715">
        <w:trPr>
          <w:trHeight w:val="1"/>
        </w:trPr>
        <w:tc>
          <w:tcPr>
            <w:tcW w:w="3722" w:type="dxa"/>
            <w:tcBorders>
              <w:top w:val="nil"/>
              <w:left w:val="nil"/>
              <w:bottom w:val="nil"/>
              <w:right w:val="nil"/>
            </w:tcBorders>
            <w:shd w:val="clear" w:color="000000" w:fill="FFFFFF"/>
          </w:tcPr>
          <w:p w14:paraId="079EC76A"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18-20</w:t>
            </w:r>
          </w:p>
        </w:tc>
        <w:tc>
          <w:tcPr>
            <w:tcW w:w="2413" w:type="dxa"/>
            <w:tcBorders>
              <w:top w:val="nil"/>
              <w:left w:val="nil"/>
              <w:bottom w:val="nil"/>
              <w:right w:val="nil"/>
            </w:tcBorders>
            <w:shd w:val="clear" w:color="000000" w:fill="FFFFFF"/>
          </w:tcPr>
          <w:p w14:paraId="7154EADF"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4.0</w:t>
            </w:r>
          </w:p>
        </w:tc>
        <w:tc>
          <w:tcPr>
            <w:tcW w:w="2155" w:type="dxa"/>
            <w:tcBorders>
              <w:top w:val="nil"/>
              <w:left w:val="nil"/>
              <w:bottom w:val="nil"/>
              <w:right w:val="nil"/>
            </w:tcBorders>
            <w:shd w:val="clear" w:color="000000" w:fill="FFFFFF"/>
          </w:tcPr>
          <w:p w14:paraId="61C36425" w14:textId="77777777" w:rsidR="001D77F6" w:rsidRPr="001D77F6" w:rsidRDefault="001D77F6" w:rsidP="00DC3715">
            <w:pPr>
              <w:widowControl w:val="0"/>
              <w:autoSpaceDE w:val="0"/>
              <w:autoSpaceDN w:val="0"/>
              <w:adjustRightInd w:val="0"/>
              <w:rPr>
                <w:rFonts w:ascii="Calibri" w:hAnsi="Calibri" w:cs="Calibri"/>
                <w:szCs w:val="22"/>
              </w:rPr>
            </w:pPr>
            <w:r w:rsidRPr="001D77F6">
              <w:rPr>
                <w:szCs w:val="22"/>
              </w:rPr>
              <w:t xml:space="preserve">(I)  Intermediární </w:t>
            </w:r>
          </w:p>
        </w:tc>
      </w:tr>
      <w:tr w:rsidR="001D77F6" w:rsidRPr="001D77F6" w14:paraId="6ACA83FB" w14:textId="77777777" w:rsidTr="00DC3715">
        <w:trPr>
          <w:trHeight w:val="1"/>
        </w:trPr>
        <w:tc>
          <w:tcPr>
            <w:tcW w:w="3722" w:type="dxa"/>
            <w:tcBorders>
              <w:top w:val="nil"/>
              <w:left w:val="nil"/>
              <w:bottom w:val="nil"/>
              <w:right w:val="nil"/>
            </w:tcBorders>
            <w:shd w:val="clear" w:color="000000" w:fill="FFFFFF"/>
          </w:tcPr>
          <w:p w14:paraId="4FAD9B07"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17</w:t>
            </w:r>
          </w:p>
        </w:tc>
        <w:tc>
          <w:tcPr>
            <w:tcW w:w="2413" w:type="dxa"/>
            <w:tcBorders>
              <w:top w:val="nil"/>
              <w:left w:val="nil"/>
              <w:bottom w:val="nil"/>
              <w:right w:val="nil"/>
            </w:tcBorders>
            <w:shd w:val="clear" w:color="000000" w:fill="FFFFFF"/>
          </w:tcPr>
          <w:p w14:paraId="522140EC" w14:textId="77777777" w:rsidR="001D77F6" w:rsidRPr="001D77F6" w:rsidRDefault="001D77F6" w:rsidP="00DC3715">
            <w:pPr>
              <w:widowControl w:val="0"/>
              <w:autoSpaceDE w:val="0"/>
              <w:autoSpaceDN w:val="0"/>
              <w:adjustRightInd w:val="0"/>
              <w:jc w:val="center"/>
              <w:rPr>
                <w:rFonts w:ascii="Calibri" w:hAnsi="Calibri" w:cs="Calibri"/>
                <w:szCs w:val="22"/>
              </w:rPr>
            </w:pPr>
            <w:r w:rsidRPr="001D77F6">
              <w:rPr>
                <w:szCs w:val="22"/>
              </w:rPr>
              <w:t>≥ 8.0</w:t>
            </w:r>
          </w:p>
        </w:tc>
        <w:tc>
          <w:tcPr>
            <w:tcW w:w="2155" w:type="dxa"/>
            <w:tcBorders>
              <w:top w:val="nil"/>
              <w:left w:val="nil"/>
              <w:bottom w:val="nil"/>
              <w:right w:val="nil"/>
            </w:tcBorders>
            <w:shd w:val="clear" w:color="000000" w:fill="FFFFFF"/>
          </w:tcPr>
          <w:p w14:paraId="60C46E5B" w14:textId="77777777" w:rsidR="001D77F6" w:rsidRPr="001D77F6" w:rsidRDefault="001D77F6" w:rsidP="00DC3715">
            <w:pPr>
              <w:widowControl w:val="0"/>
              <w:tabs>
                <w:tab w:val="left" w:pos="275"/>
              </w:tabs>
              <w:autoSpaceDE w:val="0"/>
              <w:autoSpaceDN w:val="0"/>
              <w:adjustRightInd w:val="0"/>
              <w:rPr>
                <w:rFonts w:ascii="Calibri" w:hAnsi="Calibri" w:cs="Calibri"/>
                <w:szCs w:val="22"/>
              </w:rPr>
            </w:pPr>
            <w:r w:rsidRPr="001D77F6">
              <w:rPr>
                <w:szCs w:val="22"/>
              </w:rPr>
              <w:t>(R) Rezistentní</w:t>
            </w:r>
          </w:p>
        </w:tc>
      </w:tr>
      <w:tr w:rsidR="001D77F6" w:rsidRPr="001D77F6" w14:paraId="67662A41" w14:textId="77777777" w:rsidTr="00DC3715">
        <w:trPr>
          <w:trHeight w:val="1"/>
        </w:trPr>
        <w:tc>
          <w:tcPr>
            <w:tcW w:w="3722" w:type="dxa"/>
            <w:tcBorders>
              <w:top w:val="nil"/>
              <w:left w:val="nil"/>
              <w:bottom w:val="nil"/>
              <w:right w:val="nil"/>
            </w:tcBorders>
            <w:shd w:val="clear" w:color="000000" w:fill="FFFFFF"/>
          </w:tcPr>
          <w:p w14:paraId="763615BD" w14:textId="77777777" w:rsidR="001D77F6" w:rsidRPr="001D77F6" w:rsidRDefault="001D77F6" w:rsidP="00DC3715">
            <w:pPr>
              <w:widowControl w:val="0"/>
              <w:autoSpaceDE w:val="0"/>
              <w:autoSpaceDN w:val="0"/>
              <w:adjustRightInd w:val="0"/>
              <w:jc w:val="center"/>
              <w:rPr>
                <w:rFonts w:ascii="Calibri" w:hAnsi="Calibri" w:cs="Calibri"/>
                <w:szCs w:val="22"/>
              </w:rPr>
            </w:pPr>
          </w:p>
        </w:tc>
        <w:tc>
          <w:tcPr>
            <w:tcW w:w="2413" w:type="dxa"/>
            <w:tcBorders>
              <w:top w:val="nil"/>
              <w:left w:val="nil"/>
              <w:bottom w:val="nil"/>
              <w:right w:val="nil"/>
            </w:tcBorders>
            <w:shd w:val="clear" w:color="000000" w:fill="FFFFFF"/>
          </w:tcPr>
          <w:p w14:paraId="13ECE0AF" w14:textId="77777777" w:rsidR="001D77F6" w:rsidRPr="001D77F6" w:rsidRDefault="001D77F6" w:rsidP="00DC3715">
            <w:pPr>
              <w:widowControl w:val="0"/>
              <w:autoSpaceDE w:val="0"/>
              <w:autoSpaceDN w:val="0"/>
              <w:adjustRightInd w:val="0"/>
              <w:jc w:val="center"/>
              <w:rPr>
                <w:rFonts w:ascii="Calibri" w:hAnsi="Calibri" w:cs="Calibri"/>
                <w:szCs w:val="22"/>
              </w:rPr>
            </w:pPr>
          </w:p>
        </w:tc>
        <w:tc>
          <w:tcPr>
            <w:tcW w:w="2155" w:type="dxa"/>
            <w:tcBorders>
              <w:top w:val="nil"/>
              <w:left w:val="nil"/>
              <w:bottom w:val="nil"/>
              <w:right w:val="nil"/>
            </w:tcBorders>
            <w:shd w:val="clear" w:color="000000" w:fill="FFFFFF"/>
          </w:tcPr>
          <w:p w14:paraId="01745825" w14:textId="77777777" w:rsidR="001D77F6" w:rsidRPr="001D77F6" w:rsidRDefault="001D77F6" w:rsidP="00DC3715">
            <w:pPr>
              <w:widowControl w:val="0"/>
              <w:autoSpaceDE w:val="0"/>
              <w:autoSpaceDN w:val="0"/>
              <w:adjustRightInd w:val="0"/>
              <w:jc w:val="center"/>
              <w:rPr>
                <w:rFonts w:ascii="Calibri" w:hAnsi="Calibri" w:cs="Calibri"/>
                <w:szCs w:val="22"/>
              </w:rPr>
            </w:pPr>
          </w:p>
        </w:tc>
      </w:tr>
      <w:tr w:rsidR="001D77F6" w:rsidRPr="001D77F6" w14:paraId="3F7A4E54" w14:textId="77777777" w:rsidTr="00DC3715">
        <w:trPr>
          <w:trHeight w:val="1"/>
        </w:trPr>
        <w:tc>
          <w:tcPr>
            <w:tcW w:w="8290" w:type="dxa"/>
            <w:gridSpan w:val="3"/>
            <w:tcBorders>
              <w:top w:val="nil"/>
              <w:left w:val="nil"/>
              <w:bottom w:val="nil"/>
              <w:right w:val="nil"/>
            </w:tcBorders>
            <w:shd w:val="clear" w:color="000000" w:fill="FFFFFF"/>
          </w:tcPr>
          <w:p w14:paraId="556FDCE6" w14:textId="7C55C25F" w:rsidR="001D77F6" w:rsidRPr="001D77F6" w:rsidRDefault="001D77F6" w:rsidP="00DC3715">
            <w:pPr>
              <w:widowControl w:val="0"/>
              <w:autoSpaceDE w:val="0"/>
              <w:autoSpaceDN w:val="0"/>
              <w:adjustRightInd w:val="0"/>
              <w:jc w:val="both"/>
              <w:rPr>
                <w:rFonts w:ascii="Calibri" w:hAnsi="Calibri" w:cs="Calibri"/>
                <w:szCs w:val="22"/>
              </w:rPr>
            </w:pPr>
            <w:r w:rsidRPr="001D77F6">
              <w:rPr>
                <w:szCs w:val="22"/>
              </w:rPr>
              <w:t xml:space="preserve">Pro patogeny spojené s </w:t>
            </w:r>
            <w:proofErr w:type="spellStart"/>
            <w:r w:rsidR="0066356A">
              <w:rPr>
                <w:szCs w:val="22"/>
              </w:rPr>
              <w:t>interdigitální</w:t>
            </w:r>
            <w:proofErr w:type="spellEnd"/>
            <w:r w:rsidR="0066356A">
              <w:rPr>
                <w:szCs w:val="22"/>
              </w:rPr>
              <w:t xml:space="preserve"> </w:t>
            </w:r>
            <w:proofErr w:type="spellStart"/>
            <w:r w:rsidR="0066356A">
              <w:rPr>
                <w:szCs w:val="22"/>
              </w:rPr>
              <w:t>nekrobacilózou</w:t>
            </w:r>
            <w:proofErr w:type="spellEnd"/>
            <w:r w:rsidR="0066356A">
              <w:rPr>
                <w:szCs w:val="22"/>
              </w:rPr>
              <w:t xml:space="preserve"> </w:t>
            </w:r>
            <w:r w:rsidRPr="001D77F6">
              <w:rPr>
                <w:szCs w:val="22"/>
              </w:rPr>
              <w:t>nebo akutní poporodní metritidou u skotu nebyly doposud stanoveny hraniční hodnoty.</w:t>
            </w:r>
          </w:p>
        </w:tc>
      </w:tr>
    </w:tbl>
    <w:p w14:paraId="50FA42E3" w14:textId="77777777" w:rsidR="00C114FF" w:rsidRPr="001D77F6" w:rsidRDefault="00C114FF" w:rsidP="00A9226B">
      <w:pPr>
        <w:tabs>
          <w:tab w:val="clear" w:pos="567"/>
        </w:tabs>
        <w:spacing w:line="240" w:lineRule="auto"/>
        <w:rPr>
          <w:szCs w:val="22"/>
        </w:rPr>
      </w:pPr>
    </w:p>
    <w:p w14:paraId="2BE4D04A" w14:textId="0FAC29FB" w:rsidR="00C114FF" w:rsidRDefault="004270DD" w:rsidP="00B13B6D">
      <w:pPr>
        <w:pStyle w:val="Style1"/>
      </w:pPr>
      <w:r w:rsidRPr="001D77F6">
        <w:t>4.3</w:t>
      </w:r>
      <w:r w:rsidRPr="001D77F6">
        <w:tab/>
        <w:t>Farmakokinetika</w:t>
      </w:r>
    </w:p>
    <w:p w14:paraId="7C7770BD" w14:textId="77777777" w:rsidR="001D77F6" w:rsidRDefault="001D77F6" w:rsidP="00B13B6D">
      <w:pPr>
        <w:pStyle w:val="Style1"/>
      </w:pPr>
    </w:p>
    <w:p w14:paraId="2671C9A2" w14:textId="77777777" w:rsidR="001D77F6" w:rsidRDefault="001D77F6" w:rsidP="001D77F6">
      <w:pPr>
        <w:widowControl w:val="0"/>
        <w:autoSpaceDE w:val="0"/>
        <w:autoSpaceDN w:val="0"/>
        <w:adjustRightInd w:val="0"/>
        <w:jc w:val="both"/>
        <w:rPr>
          <w:szCs w:val="22"/>
        </w:rPr>
      </w:pPr>
      <w:r w:rsidRPr="001D77F6">
        <w:rPr>
          <w:szCs w:val="22"/>
        </w:rPr>
        <w:t>Po podání je ceftiofur rychle metabolizován na desfuroylceftiofur, hlavní ú</w:t>
      </w:r>
      <w:r>
        <w:rPr>
          <w:szCs w:val="22"/>
        </w:rPr>
        <w:t>činný metabolit.</w:t>
      </w:r>
    </w:p>
    <w:p w14:paraId="76510039" w14:textId="77777777" w:rsidR="001D77F6" w:rsidRPr="001D77F6" w:rsidRDefault="001D77F6" w:rsidP="001D77F6">
      <w:pPr>
        <w:widowControl w:val="0"/>
        <w:autoSpaceDE w:val="0"/>
        <w:autoSpaceDN w:val="0"/>
        <w:adjustRightInd w:val="0"/>
        <w:jc w:val="both"/>
        <w:rPr>
          <w:szCs w:val="22"/>
        </w:rPr>
      </w:pPr>
    </w:p>
    <w:p w14:paraId="1C8289A3" w14:textId="4367F300" w:rsidR="001D77F6" w:rsidRDefault="001D77F6" w:rsidP="001D77F6">
      <w:pPr>
        <w:widowControl w:val="0"/>
        <w:autoSpaceDE w:val="0"/>
        <w:autoSpaceDN w:val="0"/>
        <w:adjustRightInd w:val="0"/>
        <w:jc w:val="both"/>
        <w:rPr>
          <w:szCs w:val="22"/>
        </w:rPr>
      </w:pPr>
      <w:r w:rsidRPr="001D77F6">
        <w:rPr>
          <w:szCs w:val="22"/>
        </w:rPr>
        <w:t>Desfuroylceftiofur má stejnou antimikrobní ú</w:t>
      </w:r>
      <w:r>
        <w:rPr>
          <w:szCs w:val="22"/>
        </w:rPr>
        <w:t xml:space="preserve">činnost jako </w:t>
      </w:r>
      <w:proofErr w:type="spellStart"/>
      <w:r>
        <w:rPr>
          <w:szCs w:val="22"/>
        </w:rPr>
        <w:t>ceftiofur</w:t>
      </w:r>
      <w:proofErr w:type="spellEnd"/>
      <w:r>
        <w:rPr>
          <w:szCs w:val="22"/>
        </w:rPr>
        <w:t xml:space="preserve"> vůči bakteriím </w:t>
      </w:r>
      <w:proofErr w:type="spellStart"/>
      <w:r w:rsidR="00454902">
        <w:rPr>
          <w:szCs w:val="22"/>
        </w:rPr>
        <w:t>vyvolávajícícm</w:t>
      </w:r>
      <w:proofErr w:type="spellEnd"/>
      <w:r w:rsidR="00454902">
        <w:rPr>
          <w:szCs w:val="22"/>
        </w:rPr>
        <w:t xml:space="preserve"> </w:t>
      </w:r>
      <w:r>
        <w:rPr>
          <w:szCs w:val="22"/>
        </w:rPr>
        <w:t>respirační onemocnění u zvířat. Je reverzibilně vázaný na bílkoviny plazmy, a díky tomu se metabolit koncentruje v místech infekce. Zůstává aktivní i v nekrotické tkán</w:t>
      </w:r>
      <w:r w:rsidR="00454902">
        <w:rPr>
          <w:szCs w:val="22"/>
        </w:rPr>
        <w:t>i</w:t>
      </w:r>
      <w:r>
        <w:rPr>
          <w:szCs w:val="22"/>
        </w:rPr>
        <w:t xml:space="preserve"> nebo </w:t>
      </w:r>
      <w:proofErr w:type="spellStart"/>
      <w:r w:rsidR="00454902">
        <w:rPr>
          <w:szCs w:val="22"/>
        </w:rPr>
        <w:t>debris</w:t>
      </w:r>
      <w:proofErr w:type="spellEnd"/>
      <w:r>
        <w:rPr>
          <w:szCs w:val="22"/>
        </w:rPr>
        <w:t xml:space="preserve">. </w:t>
      </w:r>
    </w:p>
    <w:p w14:paraId="56E700AA" w14:textId="77777777" w:rsidR="001D77F6" w:rsidRPr="007F283E" w:rsidRDefault="001D77F6" w:rsidP="001D77F6">
      <w:pPr>
        <w:widowControl w:val="0"/>
        <w:autoSpaceDE w:val="0"/>
        <w:autoSpaceDN w:val="0"/>
        <w:adjustRightInd w:val="0"/>
        <w:jc w:val="both"/>
        <w:rPr>
          <w:szCs w:val="22"/>
        </w:rPr>
      </w:pPr>
    </w:p>
    <w:p w14:paraId="77115A6A" w14:textId="77777777" w:rsidR="001D77F6" w:rsidRPr="007F283E" w:rsidRDefault="001D77F6" w:rsidP="001D77F6">
      <w:pPr>
        <w:widowControl w:val="0"/>
        <w:autoSpaceDE w:val="0"/>
        <w:autoSpaceDN w:val="0"/>
        <w:adjustRightInd w:val="0"/>
        <w:jc w:val="both"/>
        <w:rPr>
          <w:szCs w:val="22"/>
          <w:u w:val="single"/>
        </w:rPr>
      </w:pPr>
      <w:r w:rsidRPr="007F283E">
        <w:rPr>
          <w:szCs w:val="22"/>
          <w:u w:val="single"/>
        </w:rPr>
        <w:t>Prasata:</w:t>
      </w:r>
    </w:p>
    <w:p w14:paraId="6FC67A7C" w14:textId="752DFAA7" w:rsidR="001D77F6" w:rsidRDefault="001D77F6" w:rsidP="001D77F6">
      <w:pPr>
        <w:widowControl w:val="0"/>
        <w:autoSpaceDE w:val="0"/>
        <w:autoSpaceDN w:val="0"/>
        <w:adjustRightInd w:val="0"/>
        <w:jc w:val="both"/>
        <w:rPr>
          <w:szCs w:val="22"/>
        </w:rPr>
      </w:pPr>
      <w:r w:rsidRPr="007F283E">
        <w:rPr>
          <w:szCs w:val="22"/>
        </w:rPr>
        <w:t xml:space="preserve">Jednorázové intramuskulární podání </w:t>
      </w:r>
      <w:proofErr w:type="spellStart"/>
      <w:r w:rsidRPr="007F283E">
        <w:rPr>
          <w:szCs w:val="22"/>
        </w:rPr>
        <w:t>ceftiofuru</w:t>
      </w:r>
      <w:proofErr w:type="spellEnd"/>
      <w:r w:rsidRPr="007F283E">
        <w:rPr>
          <w:szCs w:val="22"/>
        </w:rPr>
        <w:t xml:space="preserve"> v dávce 3 mg/kg ž.hm. </w:t>
      </w:r>
      <w:r w:rsidR="0043316E">
        <w:rPr>
          <w:szCs w:val="22"/>
        </w:rPr>
        <w:t xml:space="preserve">v průměru </w:t>
      </w:r>
      <w:r w:rsidRPr="007F283E">
        <w:rPr>
          <w:szCs w:val="22"/>
        </w:rPr>
        <w:t xml:space="preserve">navodilo </w:t>
      </w:r>
      <w:proofErr w:type="spellStart"/>
      <w:r>
        <w:rPr>
          <w:szCs w:val="22"/>
        </w:rPr>
        <w:t>C</w:t>
      </w:r>
      <w:r w:rsidRPr="006E3364">
        <w:rPr>
          <w:szCs w:val="22"/>
          <w:vertAlign w:val="subscript"/>
        </w:rPr>
        <w:t>max</w:t>
      </w:r>
      <w:proofErr w:type="spellEnd"/>
      <w:r>
        <w:rPr>
          <w:szCs w:val="22"/>
        </w:rPr>
        <w:t xml:space="preserve"> přibližně 9 </w:t>
      </w:r>
      <w:proofErr w:type="spellStart"/>
      <w:r>
        <w:rPr>
          <w:szCs w:val="22"/>
        </w:rPr>
        <w:t>μg</w:t>
      </w:r>
      <w:proofErr w:type="spellEnd"/>
      <w:r>
        <w:rPr>
          <w:szCs w:val="22"/>
        </w:rPr>
        <w:t>/ml po přibližně jedn</w:t>
      </w:r>
      <w:r w:rsidRPr="007F283E">
        <w:rPr>
          <w:szCs w:val="22"/>
        </w:rPr>
        <w:t>é hodin</w:t>
      </w:r>
      <w:r>
        <w:rPr>
          <w:szCs w:val="22"/>
        </w:rPr>
        <w:t xml:space="preserve">ě. Terminální poločas </w:t>
      </w:r>
      <w:r w:rsidR="00454902">
        <w:rPr>
          <w:szCs w:val="22"/>
        </w:rPr>
        <w:t>eliminace</w:t>
      </w:r>
      <w:r>
        <w:rPr>
          <w:szCs w:val="22"/>
        </w:rPr>
        <w:t xml:space="preserve"> (t </w:t>
      </w:r>
      <w:r w:rsidRPr="006E3364">
        <w:rPr>
          <w:szCs w:val="22"/>
          <w:vertAlign w:val="subscript"/>
        </w:rPr>
        <w:t>1/2</w:t>
      </w:r>
      <w:r>
        <w:rPr>
          <w:szCs w:val="22"/>
        </w:rPr>
        <w:t xml:space="preserve">) </w:t>
      </w:r>
      <w:proofErr w:type="spellStart"/>
      <w:r>
        <w:rPr>
          <w:szCs w:val="22"/>
        </w:rPr>
        <w:t>desfuroylceftiofuru</w:t>
      </w:r>
      <w:proofErr w:type="spellEnd"/>
      <w:r>
        <w:rPr>
          <w:szCs w:val="22"/>
        </w:rPr>
        <w:t xml:space="preserve"> byl kolem 23 hodin. Po podání dávky 3 mg ceftiofuru/ kg ž. hm./den, podávané denně po 3 po sobě jdoucích dnech, nebyla zaznamenána akumulace desfuroyceftiofuru.</w:t>
      </w:r>
    </w:p>
    <w:p w14:paraId="2C55C921" w14:textId="77777777" w:rsidR="001D77F6" w:rsidRPr="007F283E" w:rsidRDefault="001D77F6" w:rsidP="001D77F6">
      <w:pPr>
        <w:widowControl w:val="0"/>
        <w:autoSpaceDE w:val="0"/>
        <w:autoSpaceDN w:val="0"/>
        <w:adjustRightInd w:val="0"/>
        <w:jc w:val="both"/>
        <w:rPr>
          <w:szCs w:val="22"/>
        </w:rPr>
      </w:pPr>
    </w:p>
    <w:p w14:paraId="7211C7FC" w14:textId="77777777" w:rsidR="001D77F6" w:rsidRDefault="001D77F6" w:rsidP="001D77F6">
      <w:pPr>
        <w:widowControl w:val="0"/>
        <w:autoSpaceDE w:val="0"/>
        <w:autoSpaceDN w:val="0"/>
        <w:adjustRightInd w:val="0"/>
        <w:ind w:left="567" w:hanging="567"/>
        <w:rPr>
          <w:szCs w:val="22"/>
        </w:rPr>
      </w:pPr>
      <w:r w:rsidRPr="007F283E">
        <w:rPr>
          <w:szCs w:val="22"/>
        </w:rPr>
        <w:t>Eliminace probíhá zejména mo</w:t>
      </w:r>
      <w:r>
        <w:rPr>
          <w:szCs w:val="22"/>
        </w:rPr>
        <w:t>čí (více než 70 %). 12-15 % látky je eliminováno exkrementy.</w:t>
      </w:r>
    </w:p>
    <w:p w14:paraId="2F31F5F3" w14:textId="77777777" w:rsidR="001D77F6" w:rsidRDefault="001D77F6" w:rsidP="001D77F6">
      <w:pPr>
        <w:widowControl w:val="0"/>
        <w:autoSpaceDE w:val="0"/>
        <w:autoSpaceDN w:val="0"/>
        <w:adjustRightInd w:val="0"/>
        <w:ind w:left="567" w:hanging="567"/>
        <w:rPr>
          <w:szCs w:val="22"/>
        </w:rPr>
      </w:pPr>
      <w:r w:rsidRPr="007F283E">
        <w:rPr>
          <w:szCs w:val="22"/>
        </w:rPr>
        <w:t>Ceftiofur je po intramuskulárním podání kompletn</w:t>
      </w:r>
      <w:r>
        <w:rPr>
          <w:szCs w:val="22"/>
        </w:rPr>
        <w:t xml:space="preserve">ě absorbován. </w:t>
      </w:r>
    </w:p>
    <w:p w14:paraId="2AB5383B" w14:textId="77777777" w:rsidR="001D77F6" w:rsidRPr="007F283E" w:rsidRDefault="001D77F6" w:rsidP="001D77F6">
      <w:pPr>
        <w:widowControl w:val="0"/>
        <w:autoSpaceDE w:val="0"/>
        <w:autoSpaceDN w:val="0"/>
        <w:adjustRightInd w:val="0"/>
        <w:ind w:left="567" w:hanging="567"/>
        <w:jc w:val="both"/>
      </w:pPr>
    </w:p>
    <w:p w14:paraId="053AF7D1" w14:textId="77777777" w:rsidR="001D77F6" w:rsidRPr="007F283E" w:rsidRDefault="001D77F6" w:rsidP="001D77F6">
      <w:pPr>
        <w:widowControl w:val="0"/>
        <w:autoSpaceDE w:val="0"/>
        <w:autoSpaceDN w:val="0"/>
        <w:adjustRightInd w:val="0"/>
        <w:ind w:left="567" w:hanging="567"/>
        <w:jc w:val="both"/>
        <w:rPr>
          <w:szCs w:val="22"/>
          <w:u w:val="single"/>
        </w:rPr>
      </w:pPr>
      <w:r w:rsidRPr="007F283E">
        <w:rPr>
          <w:szCs w:val="22"/>
          <w:u w:val="single"/>
        </w:rPr>
        <w:t>Skot:</w:t>
      </w:r>
    </w:p>
    <w:p w14:paraId="4241D23C" w14:textId="28BBB8BB" w:rsidR="001D77F6" w:rsidRDefault="001D77F6" w:rsidP="001D77F6">
      <w:pPr>
        <w:widowControl w:val="0"/>
        <w:autoSpaceDE w:val="0"/>
        <w:autoSpaceDN w:val="0"/>
        <w:adjustRightInd w:val="0"/>
        <w:jc w:val="both"/>
        <w:rPr>
          <w:szCs w:val="22"/>
        </w:rPr>
      </w:pPr>
      <w:r w:rsidRPr="007F283E">
        <w:rPr>
          <w:szCs w:val="22"/>
        </w:rPr>
        <w:t xml:space="preserve">Jednorázové subkutánní podání </w:t>
      </w:r>
      <w:proofErr w:type="spellStart"/>
      <w:r w:rsidRPr="007F283E">
        <w:rPr>
          <w:szCs w:val="22"/>
        </w:rPr>
        <w:t>ceftiofuru</w:t>
      </w:r>
      <w:proofErr w:type="spellEnd"/>
      <w:r w:rsidRPr="007F283E">
        <w:rPr>
          <w:szCs w:val="22"/>
        </w:rPr>
        <w:t xml:space="preserve"> v dávce 1 mg/kg ž. hm. </w:t>
      </w:r>
      <w:r w:rsidR="0043316E">
        <w:rPr>
          <w:szCs w:val="22"/>
        </w:rPr>
        <w:t xml:space="preserve">v průměru </w:t>
      </w:r>
      <w:r w:rsidRPr="007F283E">
        <w:rPr>
          <w:szCs w:val="22"/>
        </w:rPr>
        <w:t xml:space="preserve">navodilo </w:t>
      </w:r>
      <w:proofErr w:type="spellStart"/>
      <w:r>
        <w:rPr>
          <w:szCs w:val="22"/>
        </w:rPr>
        <w:t>C</w:t>
      </w:r>
      <w:r w:rsidRPr="006E3364">
        <w:rPr>
          <w:szCs w:val="22"/>
          <w:vertAlign w:val="subscript"/>
        </w:rPr>
        <w:t>max</w:t>
      </w:r>
      <w:proofErr w:type="spellEnd"/>
      <w:r>
        <w:rPr>
          <w:szCs w:val="22"/>
        </w:rPr>
        <w:t xml:space="preserve"> přibližně 2 </w:t>
      </w:r>
      <w:proofErr w:type="spellStart"/>
      <w:r>
        <w:rPr>
          <w:szCs w:val="22"/>
        </w:rPr>
        <w:t>μg</w:t>
      </w:r>
      <w:proofErr w:type="spellEnd"/>
      <w:r>
        <w:rPr>
          <w:szCs w:val="22"/>
        </w:rPr>
        <w:t>/ml po přibližně 2,5 hodin</w:t>
      </w:r>
      <w:r w:rsidRPr="007F283E">
        <w:rPr>
          <w:szCs w:val="22"/>
        </w:rPr>
        <w:t xml:space="preserve">ách. Po podání </w:t>
      </w:r>
      <w:r w:rsidR="00911EB9">
        <w:rPr>
          <w:szCs w:val="22"/>
        </w:rPr>
        <w:t xml:space="preserve">veterinárního léčivého </w:t>
      </w:r>
      <w:r w:rsidRPr="007F283E">
        <w:rPr>
          <w:szCs w:val="22"/>
        </w:rPr>
        <w:t>p</w:t>
      </w:r>
      <w:r>
        <w:rPr>
          <w:szCs w:val="22"/>
        </w:rPr>
        <w:t xml:space="preserve">řípravku je u skotu terminální poločas </w:t>
      </w:r>
      <w:r w:rsidR="0043316E">
        <w:rPr>
          <w:szCs w:val="22"/>
        </w:rPr>
        <w:t xml:space="preserve">eliminace </w:t>
      </w:r>
      <w:r>
        <w:rPr>
          <w:szCs w:val="22"/>
        </w:rPr>
        <w:t>(t</w:t>
      </w:r>
      <w:r w:rsidRPr="006E3364">
        <w:rPr>
          <w:szCs w:val="22"/>
          <w:vertAlign w:val="subscript"/>
        </w:rPr>
        <w:t>1/2</w:t>
      </w:r>
      <w:r>
        <w:rPr>
          <w:szCs w:val="22"/>
        </w:rPr>
        <w:t xml:space="preserve">) </w:t>
      </w:r>
      <w:proofErr w:type="spellStart"/>
      <w:r>
        <w:rPr>
          <w:szCs w:val="22"/>
        </w:rPr>
        <w:t>desfuroyceftiofuru</w:t>
      </w:r>
      <w:proofErr w:type="spellEnd"/>
      <w:r>
        <w:rPr>
          <w:szCs w:val="22"/>
        </w:rPr>
        <w:t xml:space="preserve"> přibližně 18 hodin.</w:t>
      </w:r>
    </w:p>
    <w:p w14:paraId="722B224F" w14:textId="77777777" w:rsidR="001D77F6" w:rsidRPr="007F283E" w:rsidRDefault="001D77F6" w:rsidP="001D77F6">
      <w:pPr>
        <w:widowControl w:val="0"/>
        <w:autoSpaceDE w:val="0"/>
        <w:autoSpaceDN w:val="0"/>
        <w:adjustRightInd w:val="0"/>
        <w:jc w:val="both"/>
        <w:rPr>
          <w:szCs w:val="22"/>
        </w:rPr>
      </w:pPr>
    </w:p>
    <w:p w14:paraId="7BD01AB8" w14:textId="62080CEB" w:rsidR="001D77F6" w:rsidRDefault="001D77F6" w:rsidP="001D77F6">
      <w:pPr>
        <w:widowControl w:val="0"/>
        <w:autoSpaceDE w:val="0"/>
        <w:autoSpaceDN w:val="0"/>
        <w:adjustRightInd w:val="0"/>
        <w:jc w:val="both"/>
        <w:rPr>
          <w:szCs w:val="22"/>
        </w:rPr>
      </w:pPr>
      <w:r w:rsidRPr="007F283E">
        <w:rPr>
          <w:szCs w:val="22"/>
        </w:rPr>
        <w:t>V</w:t>
      </w:r>
      <w:r>
        <w:rPr>
          <w:szCs w:val="22"/>
        </w:rPr>
        <w:t xml:space="preserve"> dalších </w:t>
      </w:r>
      <w:r w:rsidRPr="007F283E">
        <w:rPr>
          <w:szCs w:val="22"/>
        </w:rPr>
        <w:t xml:space="preserve">studiích u zdravých krav bylo </w:t>
      </w:r>
      <w:r w:rsidR="0043316E">
        <w:rPr>
          <w:szCs w:val="22"/>
        </w:rPr>
        <w:t xml:space="preserve">v průměru </w:t>
      </w:r>
      <w:r w:rsidRPr="007F283E">
        <w:rPr>
          <w:szCs w:val="22"/>
        </w:rPr>
        <w:t xml:space="preserve">dosaženo </w:t>
      </w:r>
      <w:proofErr w:type="spellStart"/>
      <w:r>
        <w:rPr>
          <w:szCs w:val="22"/>
        </w:rPr>
        <w:t>C</w:t>
      </w:r>
      <w:r w:rsidRPr="006E3364">
        <w:rPr>
          <w:szCs w:val="22"/>
          <w:vertAlign w:val="subscript"/>
        </w:rPr>
        <w:t>max</w:t>
      </w:r>
      <w:proofErr w:type="spellEnd"/>
      <w:r>
        <w:rPr>
          <w:szCs w:val="22"/>
        </w:rPr>
        <w:t xml:space="preserve"> </w:t>
      </w:r>
      <w:r w:rsidR="0043316E">
        <w:rPr>
          <w:szCs w:val="22"/>
        </w:rPr>
        <w:t>přibližně</w:t>
      </w:r>
      <w:r>
        <w:rPr>
          <w:szCs w:val="22"/>
        </w:rPr>
        <w:t xml:space="preserve"> 2,25 </w:t>
      </w:r>
      <w:proofErr w:type="spellStart"/>
      <w:r>
        <w:rPr>
          <w:szCs w:val="22"/>
        </w:rPr>
        <w:t>μg</w:t>
      </w:r>
      <w:proofErr w:type="spellEnd"/>
      <w:r>
        <w:rPr>
          <w:szCs w:val="22"/>
        </w:rPr>
        <w:t>/ml v endometriu přibližně 5 hodin po jednorázovém podání ceftiofuru. Maximální průměrné koncentrace dosažené v karunklech a lochiích zdravých krav byly přibližně 1 μg/ml.</w:t>
      </w:r>
    </w:p>
    <w:p w14:paraId="799E05F1" w14:textId="7BEDDA66" w:rsidR="001D77F6" w:rsidRDefault="0043316E" w:rsidP="001D77F6">
      <w:pPr>
        <w:widowControl w:val="0"/>
        <w:autoSpaceDE w:val="0"/>
        <w:autoSpaceDN w:val="0"/>
        <w:adjustRightInd w:val="0"/>
        <w:jc w:val="both"/>
        <w:rPr>
          <w:szCs w:val="22"/>
        </w:rPr>
      </w:pPr>
      <w:r>
        <w:rPr>
          <w:szCs w:val="22"/>
        </w:rPr>
        <w:t xml:space="preserve">Při podávání denně </w:t>
      </w:r>
      <w:r w:rsidR="001D77F6">
        <w:rPr>
          <w:szCs w:val="22"/>
        </w:rPr>
        <w:t>po dobu 5 dnů nebyla zaznamenána akumulace desfuroylceftifuru. Eliminace probíhá zejména močí (více než 55% %). 31% je eliminováno v exkrementech.</w:t>
      </w:r>
    </w:p>
    <w:p w14:paraId="3E56ED8E" w14:textId="77777777" w:rsidR="001D77F6" w:rsidRDefault="001D77F6" w:rsidP="001D77F6">
      <w:pPr>
        <w:widowControl w:val="0"/>
        <w:autoSpaceDE w:val="0"/>
        <w:autoSpaceDN w:val="0"/>
        <w:adjustRightInd w:val="0"/>
        <w:jc w:val="both"/>
        <w:rPr>
          <w:szCs w:val="22"/>
        </w:rPr>
      </w:pPr>
      <w:r w:rsidRPr="007F283E">
        <w:rPr>
          <w:szCs w:val="22"/>
          <w:lang w:val="pl-PL"/>
        </w:rPr>
        <w:t>Ceftiofur je po subkutánním podání kompletn</w:t>
      </w:r>
      <w:r>
        <w:rPr>
          <w:szCs w:val="22"/>
        </w:rPr>
        <w:t xml:space="preserve">ě biologicky dostupný. </w:t>
      </w:r>
    </w:p>
    <w:p w14:paraId="44B643E5" w14:textId="77777777" w:rsidR="00C114FF" w:rsidRDefault="00C114FF" w:rsidP="00A9226B">
      <w:pPr>
        <w:tabs>
          <w:tab w:val="clear" w:pos="567"/>
        </w:tabs>
        <w:spacing w:line="240" w:lineRule="auto"/>
        <w:rPr>
          <w:szCs w:val="22"/>
        </w:rPr>
      </w:pPr>
    </w:p>
    <w:p w14:paraId="5AACFF07" w14:textId="77777777" w:rsidR="001D77F6" w:rsidRPr="001D77F6" w:rsidRDefault="001D77F6" w:rsidP="00A9226B">
      <w:pPr>
        <w:tabs>
          <w:tab w:val="clear" w:pos="567"/>
        </w:tabs>
        <w:spacing w:line="240" w:lineRule="auto"/>
        <w:rPr>
          <w:szCs w:val="22"/>
        </w:rPr>
      </w:pPr>
    </w:p>
    <w:p w14:paraId="1F57863B" w14:textId="77777777" w:rsidR="00C114FF" w:rsidRPr="001D77F6" w:rsidRDefault="004270DD" w:rsidP="00B13B6D">
      <w:pPr>
        <w:pStyle w:val="Style1"/>
      </w:pPr>
      <w:r w:rsidRPr="001D77F6">
        <w:t>5.</w:t>
      </w:r>
      <w:r w:rsidRPr="001D77F6">
        <w:tab/>
        <w:t>FARMACEUTICKÉ ÚDAJE</w:t>
      </w:r>
    </w:p>
    <w:p w14:paraId="7BC53755" w14:textId="77777777" w:rsidR="00C114FF" w:rsidRPr="001D77F6" w:rsidRDefault="00C114FF" w:rsidP="00A9226B">
      <w:pPr>
        <w:tabs>
          <w:tab w:val="clear" w:pos="567"/>
        </w:tabs>
        <w:spacing w:line="240" w:lineRule="auto"/>
        <w:rPr>
          <w:szCs w:val="22"/>
        </w:rPr>
      </w:pPr>
    </w:p>
    <w:p w14:paraId="57E8B708" w14:textId="77777777" w:rsidR="00C114FF" w:rsidRPr="001D77F6" w:rsidRDefault="004270DD" w:rsidP="00B13B6D">
      <w:pPr>
        <w:pStyle w:val="Style1"/>
      </w:pPr>
      <w:r w:rsidRPr="001D77F6">
        <w:lastRenderedPageBreak/>
        <w:t>5.1</w:t>
      </w:r>
      <w:r w:rsidRPr="001D77F6">
        <w:tab/>
        <w:t>Hlavní inkompatibility</w:t>
      </w:r>
    </w:p>
    <w:p w14:paraId="15C29130" w14:textId="77777777" w:rsidR="00C114FF" w:rsidRDefault="00C114FF" w:rsidP="00145C3F">
      <w:pPr>
        <w:tabs>
          <w:tab w:val="clear" w:pos="567"/>
        </w:tabs>
        <w:spacing w:line="240" w:lineRule="auto"/>
        <w:rPr>
          <w:szCs w:val="22"/>
        </w:rPr>
      </w:pPr>
    </w:p>
    <w:p w14:paraId="3884A2BA" w14:textId="77777777" w:rsidR="001D77F6" w:rsidRPr="008B54CD" w:rsidRDefault="001D77F6" w:rsidP="001D77F6">
      <w:pPr>
        <w:widowControl w:val="0"/>
        <w:autoSpaceDE w:val="0"/>
        <w:autoSpaceDN w:val="0"/>
        <w:adjustRightInd w:val="0"/>
        <w:jc w:val="both"/>
        <w:rPr>
          <w:szCs w:val="22"/>
        </w:rPr>
      </w:pPr>
      <w:r w:rsidRPr="007F283E">
        <w:rPr>
          <w:szCs w:val="22"/>
          <w:lang w:val="pl-PL"/>
        </w:rPr>
        <w:t>Studie kompatibility nejsou k dispozici, a proto tento veterinární lé</w:t>
      </w:r>
      <w:r w:rsidRPr="008B54CD">
        <w:rPr>
          <w:szCs w:val="22"/>
        </w:rPr>
        <w:t>čivý přípravek nesmí být mísen s žádnými dalšími veterinárními léčivými přípravky.</w:t>
      </w:r>
    </w:p>
    <w:p w14:paraId="288F0D5C" w14:textId="77777777" w:rsidR="00C114FF" w:rsidRPr="001D77F6" w:rsidRDefault="00C114FF" w:rsidP="00A9226B">
      <w:pPr>
        <w:tabs>
          <w:tab w:val="clear" w:pos="567"/>
        </w:tabs>
        <w:spacing w:line="240" w:lineRule="auto"/>
        <w:rPr>
          <w:szCs w:val="22"/>
        </w:rPr>
      </w:pPr>
    </w:p>
    <w:p w14:paraId="13005D63" w14:textId="77777777" w:rsidR="00C114FF" w:rsidRPr="001D77F6" w:rsidRDefault="004270DD" w:rsidP="00B13B6D">
      <w:pPr>
        <w:pStyle w:val="Style1"/>
      </w:pPr>
      <w:r w:rsidRPr="001D77F6">
        <w:t>5.2</w:t>
      </w:r>
      <w:r w:rsidRPr="001D77F6">
        <w:tab/>
        <w:t>Doba použitelnosti</w:t>
      </w:r>
    </w:p>
    <w:p w14:paraId="100B6613" w14:textId="77777777" w:rsidR="00C114FF" w:rsidRPr="001D77F6" w:rsidRDefault="00C114FF" w:rsidP="00145C3F">
      <w:pPr>
        <w:tabs>
          <w:tab w:val="clear" w:pos="567"/>
        </w:tabs>
        <w:spacing w:line="240" w:lineRule="auto"/>
        <w:rPr>
          <w:szCs w:val="22"/>
        </w:rPr>
      </w:pPr>
    </w:p>
    <w:p w14:paraId="395EE1A9" w14:textId="77777777" w:rsidR="001D77F6" w:rsidRDefault="001D77F6" w:rsidP="001D77F6">
      <w:pPr>
        <w:widowControl w:val="0"/>
        <w:autoSpaceDE w:val="0"/>
        <w:autoSpaceDN w:val="0"/>
        <w:adjustRightInd w:val="0"/>
        <w:ind w:left="567" w:right="-318" w:hanging="567"/>
        <w:rPr>
          <w:szCs w:val="22"/>
        </w:rPr>
      </w:pPr>
      <w:r w:rsidRPr="007F283E">
        <w:rPr>
          <w:szCs w:val="22"/>
          <w:lang w:val="pl-PL"/>
        </w:rPr>
        <w:t>Doba použitelnosti veterinárního lé</w:t>
      </w:r>
      <w:r>
        <w:rPr>
          <w:szCs w:val="22"/>
        </w:rPr>
        <w:t>čivého přípravku v neporušeném obalu: 2 roky.</w:t>
      </w:r>
    </w:p>
    <w:p w14:paraId="0803DB07" w14:textId="77777777" w:rsidR="001D77F6" w:rsidRDefault="001D77F6" w:rsidP="001D77F6">
      <w:pPr>
        <w:widowControl w:val="0"/>
        <w:autoSpaceDE w:val="0"/>
        <w:autoSpaceDN w:val="0"/>
        <w:adjustRightInd w:val="0"/>
        <w:ind w:left="567" w:right="-318" w:hanging="567"/>
        <w:rPr>
          <w:szCs w:val="22"/>
        </w:rPr>
      </w:pPr>
      <w:r w:rsidRPr="007F283E">
        <w:rPr>
          <w:szCs w:val="22"/>
        </w:rPr>
        <w:t>Doba použitelnosti po prvním otev</w:t>
      </w:r>
      <w:r>
        <w:rPr>
          <w:szCs w:val="22"/>
        </w:rPr>
        <w:t>ření vnitřního obalu: 28 dní.</w:t>
      </w:r>
    </w:p>
    <w:p w14:paraId="4CD9C987" w14:textId="77777777" w:rsidR="00C114FF" w:rsidRPr="001D77F6" w:rsidRDefault="00C114FF" w:rsidP="00A9226B">
      <w:pPr>
        <w:tabs>
          <w:tab w:val="clear" w:pos="567"/>
        </w:tabs>
        <w:spacing w:line="240" w:lineRule="auto"/>
        <w:rPr>
          <w:szCs w:val="22"/>
        </w:rPr>
      </w:pPr>
    </w:p>
    <w:p w14:paraId="5A152485" w14:textId="77777777" w:rsidR="00C114FF" w:rsidRPr="001D77F6" w:rsidRDefault="004270DD" w:rsidP="00B13B6D">
      <w:pPr>
        <w:pStyle w:val="Style1"/>
      </w:pPr>
      <w:r w:rsidRPr="001D77F6">
        <w:t>5.3</w:t>
      </w:r>
      <w:r w:rsidRPr="001D77F6">
        <w:tab/>
        <w:t>Zvláštní opatření pro uchovávání</w:t>
      </w:r>
    </w:p>
    <w:p w14:paraId="7826F268" w14:textId="77777777" w:rsidR="00C114FF" w:rsidRPr="001D77F6" w:rsidRDefault="00C114FF" w:rsidP="00145C3F">
      <w:pPr>
        <w:tabs>
          <w:tab w:val="clear" w:pos="567"/>
        </w:tabs>
        <w:spacing w:line="240" w:lineRule="auto"/>
        <w:rPr>
          <w:szCs w:val="22"/>
        </w:rPr>
      </w:pPr>
    </w:p>
    <w:p w14:paraId="51BBB64E" w14:textId="77777777" w:rsidR="001D77F6" w:rsidRPr="006E3364" w:rsidRDefault="001D77F6" w:rsidP="001D77F6">
      <w:pPr>
        <w:widowControl w:val="0"/>
        <w:autoSpaceDE w:val="0"/>
        <w:autoSpaceDN w:val="0"/>
        <w:adjustRightInd w:val="0"/>
        <w:ind w:left="567" w:hanging="567"/>
        <w:jc w:val="both"/>
        <w:rPr>
          <w:szCs w:val="22"/>
          <w:u w:val="single"/>
        </w:rPr>
      </w:pPr>
      <w:r w:rsidRPr="006E3364">
        <w:rPr>
          <w:szCs w:val="22"/>
          <w:u w:val="single"/>
        </w:rPr>
        <w:t>Skleněné a PET lahvičky</w:t>
      </w:r>
    </w:p>
    <w:p w14:paraId="294DBD28" w14:textId="77777777" w:rsidR="001D77F6" w:rsidRPr="007F283E" w:rsidRDefault="001D77F6" w:rsidP="001D77F6">
      <w:pPr>
        <w:widowControl w:val="0"/>
        <w:autoSpaceDE w:val="0"/>
        <w:autoSpaceDN w:val="0"/>
        <w:adjustRightInd w:val="0"/>
        <w:ind w:left="567" w:hanging="567"/>
        <w:jc w:val="both"/>
        <w:rPr>
          <w:szCs w:val="22"/>
        </w:rPr>
      </w:pPr>
      <w:r w:rsidRPr="007F283E">
        <w:rPr>
          <w:szCs w:val="22"/>
        </w:rPr>
        <w:t>Uchovávejte p</w:t>
      </w:r>
      <w:r w:rsidRPr="008B54CD">
        <w:rPr>
          <w:szCs w:val="22"/>
        </w:rPr>
        <w:t xml:space="preserve">ři teplotě do 25 </w:t>
      </w:r>
      <w:r w:rsidRPr="007F283E">
        <w:rPr>
          <w:szCs w:val="22"/>
        </w:rPr>
        <w:t>ºC.</w:t>
      </w:r>
    </w:p>
    <w:p w14:paraId="265E73CF" w14:textId="77777777" w:rsidR="001D77F6" w:rsidRDefault="001D77F6" w:rsidP="001D77F6">
      <w:pPr>
        <w:widowControl w:val="0"/>
        <w:autoSpaceDE w:val="0"/>
        <w:autoSpaceDN w:val="0"/>
        <w:adjustRightInd w:val="0"/>
        <w:ind w:left="567" w:hanging="567"/>
        <w:jc w:val="both"/>
        <w:rPr>
          <w:szCs w:val="22"/>
        </w:rPr>
      </w:pPr>
      <w:r w:rsidRPr="007F283E">
        <w:rPr>
          <w:szCs w:val="22"/>
        </w:rPr>
        <w:t>Chra</w:t>
      </w:r>
      <w:r w:rsidRPr="008B54CD">
        <w:rPr>
          <w:szCs w:val="22"/>
        </w:rPr>
        <w:t xml:space="preserve">ňte před chladem </w:t>
      </w:r>
      <w:r>
        <w:rPr>
          <w:szCs w:val="22"/>
        </w:rPr>
        <w:t>nebo</w:t>
      </w:r>
      <w:r w:rsidRPr="008B54CD">
        <w:rPr>
          <w:szCs w:val="22"/>
        </w:rPr>
        <w:t xml:space="preserve"> mrazem.</w:t>
      </w:r>
    </w:p>
    <w:p w14:paraId="108DA298" w14:textId="77777777" w:rsidR="001D77F6" w:rsidRDefault="001D77F6" w:rsidP="001D77F6">
      <w:pPr>
        <w:widowControl w:val="0"/>
        <w:autoSpaceDE w:val="0"/>
        <w:autoSpaceDN w:val="0"/>
        <w:adjustRightInd w:val="0"/>
        <w:ind w:left="567" w:hanging="567"/>
        <w:jc w:val="both"/>
        <w:rPr>
          <w:szCs w:val="22"/>
        </w:rPr>
      </w:pPr>
    </w:p>
    <w:p w14:paraId="24A36541" w14:textId="77777777" w:rsidR="001D77F6" w:rsidRPr="006E3364" w:rsidRDefault="001D77F6" w:rsidP="001D77F6">
      <w:pPr>
        <w:widowControl w:val="0"/>
        <w:autoSpaceDE w:val="0"/>
        <w:autoSpaceDN w:val="0"/>
        <w:adjustRightInd w:val="0"/>
        <w:ind w:left="567" w:hanging="567"/>
        <w:jc w:val="both"/>
        <w:rPr>
          <w:szCs w:val="22"/>
          <w:u w:val="single"/>
        </w:rPr>
      </w:pPr>
      <w:r w:rsidRPr="006E3364">
        <w:rPr>
          <w:szCs w:val="22"/>
          <w:u w:val="single"/>
        </w:rPr>
        <w:t>PET lahvičky</w:t>
      </w:r>
    </w:p>
    <w:p w14:paraId="2B7045C2" w14:textId="77777777" w:rsidR="001D77F6" w:rsidRPr="008B54CD" w:rsidRDefault="001D77F6" w:rsidP="001D77F6">
      <w:pPr>
        <w:widowControl w:val="0"/>
        <w:autoSpaceDE w:val="0"/>
        <w:autoSpaceDN w:val="0"/>
        <w:adjustRightInd w:val="0"/>
        <w:ind w:left="567" w:hanging="567"/>
        <w:jc w:val="both"/>
        <w:rPr>
          <w:szCs w:val="22"/>
        </w:rPr>
      </w:pPr>
      <w:r>
        <w:rPr>
          <w:szCs w:val="22"/>
        </w:rPr>
        <w:t>Uchovávejte PET lahvičky v krabičce, aby byly chráněny před světlem.</w:t>
      </w:r>
    </w:p>
    <w:p w14:paraId="205A4A8C" w14:textId="77777777" w:rsidR="00C114FF" w:rsidRPr="001D77F6" w:rsidRDefault="00C114FF" w:rsidP="00A9226B">
      <w:pPr>
        <w:tabs>
          <w:tab w:val="clear" w:pos="567"/>
        </w:tabs>
        <w:spacing w:line="240" w:lineRule="auto"/>
        <w:rPr>
          <w:szCs w:val="22"/>
        </w:rPr>
      </w:pPr>
    </w:p>
    <w:p w14:paraId="42EAA46B" w14:textId="56CE0F50" w:rsidR="00C114FF" w:rsidRPr="001D77F6" w:rsidRDefault="004270DD" w:rsidP="00B13B6D">
      <w:pPr>
        <w:pStyle w:val="Style1"/>
      </w:pPr>
      <w:r w:rsidRPr="001D77F6">
        <w:t>5.4</w:t>
      </w:r>
      <w:r w:rsidRPr="001D77F6">
        <w:tab/>
        <w:t>Druh a složení vnitřního obalu</w:t>
      </w:r>
    </w:p>
    <w:p w14:paraId="3EB26241" w14:textId="77777777" w:rsidR="00C114FF" w:rsidRPr="001D77F6" w:rsidRDefault="00C114FF" w:rsidP="005E66FC">
      <w:pPr>
        <w:pStyle w:val="Style1"/>
      </w:pPr>
    </w:p>
    <w:p w14:paraId="32F12093" w14:textId="77777777" w:rsidR="001D77F6" w:rsidRDefault="001D77F6" w:rsidP="001D77F6">
      <w:pPr>
        <w:widowControl w:val="0"/>
        <w:autoSpaceDE w:val="0"/>
        <w:autoSpaceDN w:val="0"/>
        <w:adjustRightInd w:val="0"/>
        <w:jc w:val="both"/>
        <w:rPr>
          <w:szCs w:val="22"/>
        </w:rPr>
      </w:pPr>
      <w:r>
        <w:rPr>
          <w:szCs w:val="22"/>
        </w:rPr>
        <w:t xml:space="preserve">Skleněné (typ II) </w:t>
      </w:r>
      <w:r w:rsidRPr="007F283E">
        <w:rPr>
          <w:szCs w:val="22"/>
        </w:rPr>
        <w:t>injek</w:t>
      </w:r>
      <w:r w:rsidRPr="008B54CD">
        <w:rPr>
          <w:szCs w:val="22"/>
        </w:rPr>
        <w:t xml:space="preserve">ční lahvičky </w:t>
      </w:r>
      <w:r>
        <w:rPr>
          <w:szCs w:val="22"/>
        </w:rPr>
        <w:t>o objemu 50, 100 a 250 ml.</w:t>
      </w:r>
    </w:p>
    <w:p w14:paraId="677B8835" w14:textId="77777777" w:rsidR="001D77F6" w:rsidRDefault="001D77F6" w:rsidP="001D77F6">
      <w:pPr>
        <w:widowControl w:val="0"/>
        <w:autoSpaceDE w:val="0"/>
        <w:autoSpaceDN w:val="0"/>
        <w:adjustRightInd w:val="0"/>
        <w:jc w:val="both"/>
        <w:rPr>
          <w:szCs w:val="22"/>
        </w:rPr>
      </w:pPr>
      <w:r>
        <w:rPr>
          <w:szCs w:val="22"/>
        </w:rPr>
        <w:t xml:space="preserve">Polyethylentereftalátové (PET) </w:t>
      </w:r>
      <w:r w:rsidRPr="007F283E">
        <w:rPr>
          <w:szCs w:val="22"/>
        </w:rPr>
        <w:t>injek</w:t>
      </w:r>
      <w:r>
        <w:rPr>
          <w:szCs w:val="22"/>
        </w:rPr>
        <w:t>ční lahvičky o objemu 50, 100 a 250 ml.</w:t>
      </w:r>
    </w:p>
    <w:p w14:paraId="09254D2C" w14:textId="61DB431B" w:rsidR="001D77F6" w:rsidRPr="008B54CD" w:rsidRDefault="001D77F6" w:rsidP="001D77F6">
      <w:pPr>
        <w:widowControl w:val="0"/>
        <w:autoSpaceDE w:val="0"/>
        <w:autoSpaceDN w:val="0"/>
        <w:adjustRightInd w:val="0"/>
        <w:jc w:val="both"/>
        <w:rPr>
          <w:szCs w:val="22"/>
        </w:rPr>
      </w:pPr>
      <w:r>
        <w:rPr>
          <w:szCs w:val="22"/>
        </w:rPr>
        <w:t xml:space="preserve">Lahvičky jsou uzavřeny </w:t>
      </w:r>
      <w:proofErr w:type="spellStart"/>
      <w:r w:rsidRPr="008B54CD">
        <w:rPr>
          <w:szCs w:val="22"/>
        </w:rPr>
        <w:t>brombutylov</w:t>
      </w:r>
      <w:r>
        <w:rPr>
          <w:szCs w:val="22"/>
        </w:rPr>
        <w:t>ým</w:t>
      </w:r>
      <w:proofErr w:type="spellEnd"/>
      <w:r w:rsidRPr="008B54CD">
        <w:rPr>
          <w:szCs w:val="22"/>
        </w:rPr>
        <w:t xml:space="preserve"> </w:t>
      </w:r>
      <w:r>
        <w:rPr>
          <w:szCs w:val="22"/>
        </w:rPr>
        <w:t>uzávěrem</w:t>
      </w:r>
      <w:r w:rsidRPr="008B54CD">
        <w:rPr>
          <w:szCs w:val="22"/>
        </w:rPr>
        <w:t xml:space="preserve"> typu I a hliníkov</w:t>
      </w:r>
      <w:r w:rsidR="006F4FBF">
        <w:rPr>
          <w:szCs w:val="22"/>
        </w:rPr>
        <w:t>ým</w:t>
      </w:r>
      <w:r w:rsidRPr="008B54CD">
        <w:rPr>
          <w:szCs w:val="22"/>
        </w:rPr>
        <w:t xml:space="preserve"> </w:t>
      </w:r>
      <w:proofErr w:type="spellStart"/>
      <w:r>
        <w:rPr>
          <w:szCs w:val="22"/>
        </w:rPr>
        <w:t>pertl</w:t>
      </w:r>
      <w:r w:rsidR="006F4FBF">
        <w:rPr>
          <w:szCs w:val="22"/>
        </w:rPr>
        <w:t>em</w:t>
      </w:r>
      <w:proofErr w:type="spellEnd"/>
      <w:r w:rsidRPr="008B54CD">
        <w:rPr>
          <w:szCs w:val="22"/>
        </w:rPr>
        <w:t>.</w:t>
      </w:r>
    </w:p>
    <w:p w14:paraId="796254AA" w14:textId="33AA5CF1" w:rsidR="001D77F6" w:rsidRPr="008B54CD" w:rsidRDefault="001D77F6" w:rsidP="001D77F6">
      <w:pPr>
        <w:widowControl w:val="0"/>
        <w:autoSpaceDE w:val="0"/>
        <w:autoSpaceDN w:val="0"/>
        <w:adjustRightInd w:val="0"/>
        <w:jc w:val="both"/>
        <w:rPr>
          <w:szCs w:val="22"/>
        </w:rPr>
      </w:pPr>
      <w:r>
        <w:rPr>
          <w:szCs w:val="22"/>
        </w:rPr>
        <w:t>Skleněná injekční l</w:t>
      </w:r>
      <w:r w:rsidRPr="007F283E">
        <w:rPr>
          <w:szCs w:val="22"/>
        </w:rPr>
        <w:t>ah</w:t>
      </w:r>
      <w:r>
        <w:rPr>
          <w:szCs w:val="22"/>
        </w:rPr>
        <w:t>vička</w:t>
      </w:r>
      <w:r w:rsidRPr="007F283E">
        <w:rPr>
          <w:szCs w:val="22"/>
        </w:rPr>
        <w:t xml:space="preserve"> o objemu 250 ml je opatřena ochrannou bezbarvou plastovou fóli</w:t>
      </w:r>
      <w:r w:rsidR="006F4FBF">
        <w:rPr>
          <w:szCs w:val="22"/>
        </w:rPr>
        <w:t>í</w:t>
      </w:r>
      <w:r w:rsidRPr="007F283E">
        <w:rPr>
          <w:szCs w:val="22"/>
        </w:rPr>
        <w:t>, aby se zabránilo p</w:t>
      </w:r>
      <w:r w:rsidRPr="008B54CD">
        <w:rPr>
          <w:szCs w:val="22"/>
        </w:rPr>
        <w:t>řípadnému rozbití skla při manipulaci.</w:t>
      </w:r>
    </w:p>
    <w:p w14:paraId="4C5701B5" w14:textId="77777777" w:rsidR="001D77F6" w:rsidRDefault="001D77F6" w:rsidP="001D77F6">
      <w:pPr>
        <w:widowControl w:val="0"/>
        <w:autoSpaceDE w:val="0"/>
        <w:autoSpaceDN w:val="0"/>
        <w:adjustRightInd w:val="0"/>
        <w:jc w:val="both"/>
        <w:rPr>
          <w:szCs w:val="22"/>
        </w:rPr>
      </w:pPr>
    </w:p>
    <w:p w14:paraId="40E951A6" w14:textId="77777777" w:rsidR="001D77F6" w:rsidRDefault="001D77F6" w:rsidP="001D77F6">
      <w:pPr>
        <w:widowControl w:val="0"/>
        <w:autoSpaceDE w:val="0"/>
        <w:autoSpaceDN w:val="0"/>
        <w:adjustRightInd w:val="0"/>
        <w:jc w:val="both"/>
        <w:rPr>
          <w:szCs w:val="22"/>
        </w:rPr>
      </w:pPr>
      <w:r>
        <w:rPr>
          <w:szCs w:val="22"/>
        </w:rPr>
        <w:t>Velikosti balení:</w:t>
      </w:r>
    </w:p>
    <w:p w14:paraId="51EE1F6D" w14:textId="77777777" w:rsidR="001D77F6" w:rsidRPr="007F283E" w:rsidRDefault="001D77F6" w:rsidP="001D77F6">
      <w:pPr>
        <w:widowControl w:val="0"/>
        <w:autoSpaceDE w:val="0"/>
        <w:autoSpaceDN w:val="0"/>
        <w:adjustRightInd w:val="0"/>
        <w:jc w:val="both"/>
        <w:rPr>
          <w:szCs w:val="22"/>
        </w:rPr>
      </w:pPr>
      <w:r>
        <w:rPr>
          <w:szCs w:val="22"/>
        </w:rPr>
        <w:t>Krabička s 1 skleněnou lahvičkou o objemu 50 ml.</w:t>
      </w:r>
    </w:p>
    <w:p w14:paraId="3738756F" w14:textId="77777777" w:rsidR="001D77F6" w:rsidRPr="007F283E" w:rsidRDefault="001D77F6" w:rsidP="001D77F6">
      <w:pPr>
        <w:widowControl w:val="0"/>
        <w:autoSpaceDE w:val="0"/>
        <w:autoSpaceDN w:val="0"/>
        <w:adjustRightInd w:val="0"/>
        <w:jc w:val="both"/>
        <w:rPr>
          <w:szCs w:val="22"/>
        </w:rPr>
      </w:pPr>
      <w:r>
        <w:rPr>
          <w:szCs w:val="22"/>
        </w:rPr>
        <w:t>Krabička s 1 skleněnou lahvičkou o objemu 100 ml.</w:t>
      </w:r>
    </w:p>
    <w:p w14:paraId="0BFDFF31" w14:textId="77777777" w:rsidR="001D77F6" w:rsidRPr="007F283E" w:rsidRDefault="001D77F6" w:rsidP="001D77F6">
      <w:pPr>
        <w:widowControl w:val="0"/>
        <w:autoSpaceDE w:val="0"/>
        <w:autoSpaceDN w:val="0"/>
        <w:adjustRightInd w:val="0"/>
        <w:jc w:val="both"/>
        <w:rPr>
          <w:szCs w:val="22"/>
        </w:rPr>
      </w:pPr>
      <w:r>
        <w:rPr>
          <w:szCs w:val="22"/>
        </w:rPr>
        <w:t>Krabička s 1 skleněnou lahvičkou o objemu 250 ml.</w:t>
      </w:r>
    </w:p>
    <w:p w14:paraId="2A33A271" w14:textId="77777777" w:rsidR="001D77F6" w:rsidRPr="007F283E" w:rsidRDefault="001D77F6" w:rsidP="001D77F6">
      <w:pPr>
        <w:widowControl w:val="0"/>
        <w:autoSpaceDE w:val="0"/>
        <w:autoSpaceDN w:val="0"/>
        <w:adjustRightInd w:val="0"/>
        <w:jc w:val="both"/>
        <w:rPr>
          <w:szCs w:val="22"/>
        </w:rPr>
      </w:pPr>
      <w:r>
        <w:rPr>
          <w:szCs w:val="22"/>
        </w:rPr>
        <w:t>Krabička s 10 skleněnými lahvičkami o objemu 100 ml.</w:t>
      </w:r>
    </w:p>
    <w:p w14:paraId="19EB7FE7" w14:textId="77777777" w:rsidR="001D77F6" w:rsidRPr="007F283E" w:rsidRDefault="001D77F6" w:rsidP="001D77F6">
      <w:pPr>
        <w:widowControl w:val="0"/>
        <w:autoSpaceDE w:val="0"/>
        <w:autoSpaceDN w:val="0"/>
        <w:adjustRightInd w:val="0"/>
        <w:jc w:val="both"/>
        <w:rPr>
          <w:szCs w:val="22"/>
        </w:rPr>
      </w:pPr>
      <w:r>
        <w:rPr>
          <w:szCs w:val="22"/>
        </w:rPr>
        <w:t>Krabička s 12 skleněnými lahvičkami o objemu 100 ml.</w:t>
      </w:r>
    </w:p>
    <w:p w14:paraId="7A9672E4" w14:textId="77777777" w:rsidR="001D77F6" w:rsidRDefault="001D77F6" w:rsidP="001D77F6">
      <w:pPr>
        <w:widowControl w:val="0"/>
        <w:autoSpaceDE w:val="0"/>
        <w:autoSpaceDN w:val="0"/>
        <w:adjustRightInd w:val="0"/>
        <w:jc w:val="both"/>
        <w:rPr>
          <w:szCs w:val="22"/>
        </w:rPr>
      </w:pPr>
    </w:p>
    <w:p w14:paraId="78C29AF2" w14:textId="77777777" w:rsidR="001D77F6" w:rsidRPr="007F283E" w:rsidRDefault="001D77F6" w:rsidP="001D77F6">
      <w:pPr>
        <w:widowControl w:val="0"/>
        <w:autoSpaceDE w:val="0"/>
        <w:autoSpaceDN w:val="0"/>
        <w:adjustRightInd w:val="0"/>
        <w:jc w:val="both"/>
        <w:rPr>
          <w:szCs w:val="22"/>
        </w:rPr>
      </w:pPr>
      <w:r>
        <w:rPr>
          <w:szCs w:val="22"/>
        </w:rPr>
        <w:t>Krabička s 1 PET lahvičkou o objemu 50 ml.</w:t>
      </w:r>
    </w:p>
    <w:p w14:paraId="5CBF3B83" w14:textId="77777777" w:rsidR="001D77F6" w:rsidRPr="007F283E" w:rsidRDefault="001D77F6" w:rsidP="001D77F6">
      <w:pPr>
        <w:widowControl w:val="0"/>
        <w:autoSpaceDE w:val="0"/>
        <w:autoSpaceDN w:val="0"/>
        <w:adjustRightInd w:val="0"/>
        <w:jc w:val="both"/>
        <w:rPr>
          <w:szCs w:val="22"/>
        </w:rPr>
      </w:pPr>
      <w:r>
        <w:rPr>
          <w:szCs w:val="22"/>
        </w:rPr>
        <w:t>Krabička s 1 PET lahvičkou o objemu 100 ml.</w:t>
      </w:r>
    </w:p>
    <w:p w14:paraId="2F5AE556" w14:textId="77777777" w:rsidR="001D77F6" w:rsidRPr="007F283E" w:rsidRDefault="001D77F6" w:rsidP="001D77F6">
      <w:pPr>
        <w:widowControl w:val="0"/>
        <w:autoSpaceDE w:val="0"/>
        <w:autoSpaceDN w:val="0"/>
        <w:adjustRightInd w:val="0"/>
        <w:jc w:val="both"/>
        <w:rPr>
          <w:szCs w:val="22"/>
        </w:rPr>
      </w:pPr>
      <w:r>
        <w:rPr>
          <w:szCs w:val="22"/>
        </w:rPr>
        <w:t>Krabička s 1 PET lahvičkou o objemu 250 ml.</w:t>
      </w:r>
    </w:p>
    <w:p w14:paraId="4D1CD86D" w14:textId="77777777" w:rsidR="001D77F6" w:rsidRPr="007F283E" w:rsidRDefault="001D77F6" w:rsidP="001D77F6">
      <w:pPr>
        <w:widowControl w:val="0"/>
        <w:autoSpaceDE w:val="0"/>
        <w:autoSpaceDN w:val="0"/>
        <w:adjustRightInd w:val="0"/>
        <w:jc w:val="both"/>
        <w:rPr>
          <w:szCs w:val="22"/>
        </w:rPr>
      </w:pPr>
    </w:p>
    <w:p w14:paraId="66A7B2AD" w14:textId="77777777" w:rsidR="001D77F6" w:rsidRPr="007F283E" w:rsidRDefault="001D77F6" w:rsidP="001D77F6">
      <w:pPr>
        <w:widowControl w:val="0"/>
        <w:autoSpaceDE w:val="0"/>
        <w:autoSpaceDN w:val="0"/>
        <w:adjustRightInd w:val="0"/>
        <w:ind w:left="567" w:hanging="567"/>
        <w:jc w:val="both"/>
        <w:rPr>
          <w:szCs w:val="22"/>
        </w:rPr>
      </w:pPr>
      <w:r w:rsidRPr="007F283E">
        <w:rPr>
          <w:szCs w:val="22"/>
        </w:rPr>
        <w:t>Na trhu nemusí být všechny velikosti balení.</w:t>
      </w:r>
    </w:p>
    <w:p w14:paraId="584B339F" w14:textId="77777777" w:rsidR="00C114FF" w:rsidRPr="001D77F6" w:rsidRDefault="00C114FF" w:rsidP="00A9226B">
      <w:pPr>
        <w:tabs>
          <w:tab w:val="clear" w:pos="567"/>
        </w:tabs>
        <w:spacing w:line="240" w:lineRule="auto"/>
        <w:rPr>
          <w:szCs w:val="22"/>
        </w:rPr>
      </w:pPr>
    </w:p>
    <w:p w14:paraId="580835CC" w14:textId="74323501" w:rsidR="00C114FF" w:rsidRPr="001D77F6" w:rsidRDefault="004270DD" w:rsidP="00C83A63">
      <w:pPr>
        <w:pStyle w:val="Style1"/>
        <w:keepNext/>
      </w:pPr>
      <w:r w:rsidRPr="001D77F6">
        <w:t>5.5</w:t>
      </w:r>
      <w:r w:rsidRPr="001D77F6">
        <w:tab/>
        <w:t xml:space="preserve">Zvláštní opatření pro </w:t>
      </w:r>
      <w:r w:rsidR="00CF069C" w:rsidRPr="001D77F6">
        <w:t xml:space="preserve">likvidaci </w:t>
      </w:r>
      <w:r w:rsidRPr="001D77F6">
        <w:t>nepoužit</w:t>
      </w:r>
      <w:r w:rsidR="002F64C6" w:rsidRPr="001D77F6">
        <w:t>ých</w:t>
      </w:r>
      <w:r w:rsidR="00905CAB" w:rsidRPr="001D77F6">
        <w:t xml:space="preserve"> </w:t>
      </w:r>
      <w:r w:rsidRPr="001D77F6">
        <w:t>veterinární</w:t>
      </w:r>
      <w:r w:rsidR="002F64C6" w:rsidRPr="001D77F6">
        <w:t>ch</w:t>
      </w:r>
      <w:r w:rsidRPr="001D77F6">
        <w:t xml:space="preserve"> léčiv</w:t>
      </w:r>
      <w:r w:rsidR="002F64C6" w:rsidRPr="001D77F6">
        <w:t>ých</w:t>
      </w:r>
      <w:r w:rsidRPr="001D77F6">
        <w:t xml:space="preserve"> přípravk</w:t>
      </w:r>
      <w:r w:rsidR="002F64C6" w:rsidRPr="001D77F6">
        <w:t>ů</w:t>
      </w:r>
      <w:r w:rsidRPr="001D77F6">
        <w:t xml:space="preserve"> nebo odpad</w:t>
      </w:r>
      <w:r w:rsidR="00F84AED" w:rsidRPr="001D77F6">
        <w:t>ů</w:t>
      </w:r>
      <w:r w:rsidR="00B36E65" w:rsidRPr="001D77F6">
        <w:t>, kter</w:t>
      </w:r>
      <w:r w:rsidR="00F84AED" w:rsidRPr="001D77F6">
        <w:t>é</w:t>
      </w:r>
      <w:r w:rsidRPr="001D77F6">
        <w:t xml:space="preserve"> pocház</w:t>
      </w:r>
      <w:r w:rsidR="00B36E65" w:rsidRPr="001D77F6">
        <w:t>í</w:t>
      </w:r>
      <w:r w:rsidRPr="001D77F6">
        <w:t xml:space="preserve"> z</w:t>
      </w:r>
      <w:r w:rsidR="002F64C6" w:rsidRPr="001D77F6">
        <w:t> </w:t>
      </w:r>
      <w:r w:rsidRPr="001D77F6">
        <w:t>t</w:t>
      </w:r>
      <w:r w:rsidR="002F64C6" w:rsidRPr="001D77F6">
        <w:t xml:space="preserve">ěchto </w:t>
      </w:r>
      <w:r w:rsidRPr="001D77F6">
        <w:t>přípravk</w:t>
      </w:r>
      <w:r w:rsidR="002F64C6" w:rsidRPr="001D77F6">
        <w:t>ů</w:t>
      </w:r>
    </w:p>
    <w:p w14:paraId="4E04C78C" w14:textId="77777777" w:rsidR="00C114FF" w:rsidRPr="001D77F6" w:rsidRDefault="00C114FF" w:rsidP="00C83A63">
      <w:pPr>
        <w:keepNext/>
        <w:tabs>
          <w:tab w:val="clear" w:pos="567"/>
        </w:tabs>
        <w:spacing w:line="240" w:lineRule="auto"/>
        <w:rPr>
          <w:szCs w:val="22"/>
        </w:rPr>
      </w:pPr>
    </w:p>
    <w:p w14:paraId="23ED1E7A" w14:textId="77777777" w:rsidR="001D77F6" w:rsidRPr="001D77F6" w:rsidRDefault="001D77F6" w:rsidP="00C83A63">
      <w:pPr>
        <w:spacing w:line="240" w:lineRule="auto"/>
        <w:rPr>
          <w:szCs w:val="22"/>
        </w:rPr>
      </w:pPr>
      <w:r w:rsidRPr="001D77F6">
        <w:t>Léčivé přípravky se nesmí likvidovat prostřednictvím odpadní vody či domovního odpadu.</w:t>
      </w:r>
    </w:p>
    <w:p w14:paraId="3F2195DA" w14:textId="77777777" w:rsidR="00C114FF" w:rsidRDefault="00C114FF" w:rsidP="00C83A63">
      <w:pPr>
        <w:tabs>
          <w:tab w:val="clear" w:pos="567"/>
        </w:tabs>
        <w:spacing w:line="240" w:lineRule="auto"/>
        <w:rPr>
          <w:szCs w:val="22"/>
        </w:rPr>
      </w:pPr>
    </w:p>
    <w:p w14:paraId="71D01AE0" w14:textId="77777777" w:rsidR="001D77F6" w:rsidRPr="001D77F6" w:rsidRDefault="001D77F6" w:rsidP="00C83A63">
      <w:pPr>
        <w:tabs>
          <w:tab w:val="clear" w:pos="567"/>
        </w:tabs>
        <w:spacing w:line="240" w:lineRule="auto"/>
        <w:rPr>
          <w:szCs w:val="22"/>
        </w:rPr>
      </w:pPr>
      <w:r w:rsidRPr="001D77F6">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6949C1A" w14:textId="77777777" w:rsidR="00C114FF" w:rsidRDefault="00C114FF" w:rsidP="00A9226B">
      <w:pPr>
        <w:tabs>
          <w:tab w:val="clear" w:pos="567"/>
        </w:tabs>
        <w:spacing w:line="240" w:lineRule="auto"/>
        <w:rPr>
          <w:szCs w:val="22"/>
        </w:rPr>
      </w:pPr>
    </w:p>
    <w:p w14:paraId="1F10A7BA" w14:textId="77777777" w:rsidR="001D77F6" w:rsidRPr="001D77F6" w:rsidRDefault="001D77F6" w:rsidP="00A9226B">
      <w:pPr>
        <w:tabs>
          <w:tab w:val="clear" w:pos="567"/>
        </w:tabs>
        <w:spacing w:line="240" w:lineRule="auto"/>
        <w:rPr>
          <w:szCs w:val="22"/>
        </w:rPr>
      </w:pPr>
    </w:p>
    <w:p w14:paraId="0E3550B0" w14:textId="77777777" w:rsidR="00C114FF" w:rsidRPr="001D77F6" w:rsidRDefault="004270DD" w:rsidP="00C83A63">
      <w:pPr>
        <w:pStyle w:val="Style1"/>
        <w:keepNext/>
      </w:pPr>
      <w:r w:rsidRPr="001D77F6">
        <w:t>6.</w:t>
      </w:r>
      <w:r w:rsidRPr="001D77F6">
        <w:tab/>
        <w:t>JMÉNO DRŽITELE ROZHODNUTÍ O REGISTRACI</w:t>
      </w:r>
    </w:p>
    <w:p w14:paraId="2E652F1A" w14:textId="77777777" w:rsidR="00C114FF" w:rsidRPr="001D77F6" w:rsidRDefault="00C114FF" w:rsidP="00C83A63">
      <w:pPr>
        <w:keepNext/>
        <w:tabs>
          <w:tab w:val="clear" w:pos="567"/>
        </w:tabs>
        <w:spacing w:line="240" w:lineRule="auto"/>
        <w:rPr>
          <w:szCs w:val="22"/>
        </w:rPr>
      </w:pPr>
    </w:p>
    <w:p w14:paraId="043FC18F" w14:textId="77777777" w:rsidR="001D77F6" w:rsidRPr="007F283E" w:rsidRDefault="001D77F6" w:rsidP="001D77F6">
      <w:pPr>
        <w:widowControl w:val="0"/>
        <w:autoSpaceDE w:val="0"/>
        <w:autoSpaceDN w:val="0"/>
        <w:adjustRightInd w:val="0"/>
        <w:ind w:left="567" w:hanging="567"/>
        <w:jc w:val="both"/>
        <w:rPr>
          <w:szCs w:val="22"/>
          <w:lang w:val="es-ES_tradnl"/>
        </w:rPr>
      </w:pPr>
      <w:r w:rsidRPr="007F283E">
        <w:rPr>
          <w:szCs w:val="22"/>
          <w:lang w:val="es-ES_tradnl"/>
        </w:rPr>
        <w:t>LABORATORIOS HIPRA, S.A.</w:t>
      </w:r>
    </w:p>
    <w:p w14:paraId="1F61240C" w14:textId="77777777" w:rsidR="00C114FF" w:rsidRPr="001D77F6" w:rsidRDefault="00C114FF" w:rsidP="00A9226B">
      <w:pPr>
        <w:tabs>
          <w:tab w:val="clear" w:pos="567"/>
        </w:tabs>
        <w:spacing w:line="240" w:lineRule="auto"/>
        <w:rPr>
          <w:szCs w:val="22"/>
        </w:rPr>
      </w:pPr>
    </w:p>
    <w:p w14:paraId="6CB09C60" w14:textId="77777777" w:rsidR="00C114FF" w:rsidRPr="001D77F6" w:rsidRDefault="00C114FF" w:rsidP="00A9226B">
      <w:pPr>
        <w:tabs>
          <w:tab w:val="clear" w:pos="567"/>
        </w:tabs>
        <w:spacing w:line="240" w:lineRule="auto"/>
        <w:rPr>
          <w:szCs w:val="22"/>
        </w:rPr>
      </w:pPr>
    </w:p>
    <w:p w14:paraId="4E6BFBAC" w14:textId="77777777" w:rsidR="00C114FF" w:rsidRDefault="004270DD" w:rsidP="00B13B6D">
      <w:pPr>
        <w:pStyle w:val="Style1"/>
      </w:pPr>
      <w:r w:rsidRPr="001D77F6">
        <w:t>7.</w:t>
      </w:r>
      <w:r w:rsidRPr="001D77F6">
        <w:tab/>
        <w:t>REGISTRAČNÍ ČÍSLO(A)</w:t>
      </w:r>
    </w:p>
    <w:p w14:paraId="03F92C7D" w14:textId="77777777" w:rsidR="001D77F6" w:rsidRDefault="001D77F6" w:rsidP="00B13B6D">
      <w:pPr>
        <w:pStyle w:val="Style1"/>
      </w:pPr>
    </w:p>
    <w:p w14:paraId="3BEB781B" w14:textId="77777777" w:rsidR="001D77F6" w:rsidRPr="006E3364" w:rsidRDefault="001D77F6" w:rsidP="001D77F6">
      <w:pPr>
        <w:widowControl w:val="0"/>
        <w:autoSpaceDE w:val="0"/>
        <w:autoSpaceDN w:val="0"/>
        <w:adjustRightInd w:val="0"/>
        <w:ind w:left="567" w:hanging="567"/>
        <w:jc w:val="both"/>
        <w:rPr>
          <w:szCs w:val="22"/>
          <w:lang w:val="es-ES"/>
        </w:rPr>
      </w:pPr>
      <w:r w:rsidRPr="006E3364">
        <w:rPr>
          <w:szCs w:val="22"/>
          <w:lang w:val="es-ES"/>
        </w:rPr>
        <w:t>96/016/07-C</w:t>
      </w:r>
    </w:p>
    <w:p w14:paraId="1FA2C56F" w14:textId="77777777" w:rsidR="00C114FF" w:rsidRPr="001D77F6" w:rsidRDefault="00C114FF" w:rsidP="00A9226B">
      <w:pPr>
        <w:tabs>
          <w:tab w:val="clear" w:pos="567"/>
        </w:tabs>
        <w:spacing w:line="240" w:lineRule="auto"/>
        <w:rPr>
          <w:szCs w:val="22"/>
        </w:rPr>
      </w:pPr>
    </w:p>
    <w:p w14:paraId="427D05E5" w14:textId="77777777" w:rsidR="00C114FF" w:rsidRPr="001D77F6" w:rsidRDefault="00C114FF" w:rsidP="00A9226B">
      <w:pPr>
        <w:tabs>
          <w:tab w:val="clear" w:pos="567"/>
        </w:tabs>
        <w:spacing w:line="240" w:lineRule="auto"/>
        <w:rPr>
          <w:szCs w:val="22"/>
        </w:rPr>
      </w:pPr>
    </w:p>
    <w:p w14:paraId="51580279" w14:textId="77777777" w:rsidR="00C114FF" w:rsidRPr="001D77F6" w:rsidRDefault="004270DD" w:rsidP="00B13B6D">
      <w:pPr>
        <w:pStyle w:val="Style1"/>
      </w:pPr>
      <w:r w:rsidRPr="001D77F6">
        <w:t>8.</w:t>
      </w:r>
      <w:r w:rsidRPr="001D77F6">
        <w:tab/>
        <w:t>DATUM PRVNÍ REGISTRACE</w:t>
      </w:r>
    </w:p>
    <w:p w14:paraId="3863C575" w14:textId="77777777" w:rsidR="00C114FF" w:rsidRPr="001D77F6" w:rsidRDefault="00C114FF" w:rsidP="00A9226B">
      <w:pPr>
        <w:tabs>
          <w:tab w:val="clear" w:pos="567"/>
        </w:tabs>
        <w:spacing w:line="240" w:lineRule="auto"/>
        <w:rPr>
          <w:szCs w:val="22"/>
        </w:rPr>
      </w:pPr>
    </w:p>
    <w:p w14:paraId="697656DE" w14:textId="77777777" w:rsidR="001D77F6" w:rsidRPr="006E3364" w:rsidRDefault="001D77F6" w:rsidP="001D77F6">
      <w:pPr>
        <w:widowControl w:val="0"/>
        <w:autoSpaceDE w:val="0"/>
        <w:autoSpaceDN w:val="0"/>
        <w:adjustRightInd w:val="0"/>
        <w:ind w:left="567" w:right="-318" w:hanging="567"/>
        <w:rPr>
          <w:szCs w:val="22"/>
          <w:lang w:val="es-ES"/>
        </w:rPr>
      </w:pPr>
      <w:r w:rsidRPr="006E3364">
        <w:rPr>
          <w:szCs w:val="22"/>
          <w:lang w:val="es-ES"/>
        </w:rPr>
        <w:t>13. 4. 2007, 1. 3. 2012</w:t>
      </w:r>
    </w:p>
    <w:p w14:paraId="6E98A2F6" w14:textId="77777777" w:rsidR="00D65777" w:rsidRPr="001D77F6" w:rsidRDefault="00D65777" w:rsidP="00A9226B">
      <w:pPr>
        <w:tabs>
          <w:tab w:val="clear" w:pos="567"/>
        </w:tabs>
        <w:spacing w:line="240" w:lineRule="auto"/>
        <w:rPr>
          <w:szCs w:val="22"/>
        </w:rPr>
      </w:pPr>
    </w:p>
    <w:p w14:paraId="70B0A25D" w14:textId="77777777" w:rsidR="00D65777" w:rsidRPr="001D77F6" w:rsidRDefault="00D65777" w:rsidP="00A9226B">
      <w:pPr>
        <w:tabs>
          <w:tab w:val="clear" w:pos="567"/>
        </w:tabs>
        <w:spacing w:line="240" w:lineRule="auto"/>
        <w:rPr>
          <w:szCs w:val="22"/>
        </w:rPr>
      </w:pPr>
    </w:p>
    <w:p w14:paraId="4351B24F" w14:textId="77777777" w:rsidR="00C114FF" w:rsidRPr="001D77F6" w:rsidRDefault="004270DD" w:rsidP="00B13B6D">
      <w:pPr>
        <w:pStyle w:val="Style1"/>
      </w:pPr>
      <w:r w:rsidRPr="001D77F6">
        <w:t>9.</w:t>
      </w:r>
      <w:r w:rsidRPr="001D77F6">
        <w:tab/>
        <w:t>DATUM POSLEDNÍ AKTUALIZACE SOUHRNU ÚDAJŮ O PŘÍPRAVKU</w:t>
      </w:r>
    </w:p>
    <w:p w14:paraId="30326986" w14:textId="77777777" w:rsidR="00C114FF" w:rsidRDefault="00C114FF" w:rsidP="00145C3F">
      <w:pPr>
        <w:tabs>
          <w:tab w:val="clear" w:pos="567"/>
        </w:tabs>
        <w:spacing w:line="240" w:lineRule="auto"/>
        <w:rPr>
          <w:szCs w:val="22"/>
        </w:rPr>
      </w:pPr>
    </w:p>
    <w:p w14:paraId="1643EAA6" w14:textId="05CC3D7D" w:rsidR="00B27884" w:rsidRDefault="006E3364" w:rsidP="00145C3F">
      <w:pPr>
        <w:tabs>
          <w:tab w:val="clear" w:pos="567"/>
        </w:tabs>
        <w:spacing w:line="240" w:lineRule="auto"/>
        <w:rPr>
          <w:szCs w:val="22"/>
        </w:rPr>
      </w:pPr>
      <w:r>
        <w:rPr>
          <w:szCs w:val="22"/>
        </w:rPr>
        <w:t>12/2025</w:t>
      </w:r>
    </w:p>
    <w:p w14:paraId="197E3B84" w14:textId="77777777" w:rsidR="00B27884" w:rsidRPr="001D77F6" w:rsidRDefault="00B27884" w:rsidP="00145C3F">
      <w:pPr>
        <w:tabs>
          <w:tab w:val="clear" w:pos="567"/>
        </w:tabs>
        <w:spacing w:line="240" w:lineRule="auto"/>
        <w:rPr>
          <w:szCs w:val="22"/>
        </w:rPr>
      </w:pPr>
    </w:p>
    <w:p w14:paraId="2DB0E157" w14:textId="77777777" w:rsidR="00B113B9" w:rsidRPr="001D77F6" w:rsidRDefault="00B113B9" w:rsidP="00A9226B">
      <w:pPr>
        <w:tabs>
          <w:tab w:val="clear" w:pos="567"/>
        </w:tabs>
        <w:spacing w:line="240" w:lineRule="auto"/>
        <w:rPr>
          <w:szCs w:val="22"/>
        </w:rPr>
      </w:pPr>
    </w:p>
    <w:p w14:paraId="75C198E0" w14:textId="77777777" w:rsidR="00C114FF" w:rsidRPr="001D77F6" w:rsidRDefault="004270DD" w:rsidP="00C83A63">
      <w:pPr>
        <w:pStyle w:val="Style1"/>
      </w:pPr>
      <w:r w:rsidRPr="001D77F6">
        <w:t>10.</w:t>
      </w:r>
      <w:r w:rsidRPr="001D77F6">
        <w:tab/>
        <w:t>KLASIFIKACE VETERINÁRNÍCH LÉČIVÝCH PŘÍPRAVKŮ</w:t>
      </w:r>
    </w:p>
    <w:p w14:paraId="1F12B426" w14:textId="77777777" w:rsidR="0078538F" w:rsidRPr="001D77F6" w:rsidRDefault="0078538F" w:rsidP="00C83A63">
      <w:pPr>
        <w:tabs>
          <w:tab w:val="clear" w:pos="567"/>
        </w:tabs>
        <w:spacing w:line="240" w:lineRule="auto"/>
        <w:rPr>
          <w:szCs w:val="22"/>
        </w:rPr>
      </w:pPr>
    </w:p>
    <w:p w14:paraId="2B95E980" w14:textId="57E91C3C" w:rsidR="0078538F" w:rsidRDefault="004270DD" w:rsidP="00C83A63">
      <w:pPr>
        <w:numPr>
          <w:ilvl w:val="12"/>
          <w:numId w:val="0"/>
        </w:numPr>
      </w:pPr>
      <w:r w:rsidRPr="001D77F6">
        <w:t>Veterinární léčivý přípravek je vydáván pouze na předpis.</w:t>
      </w:r>
    </w:p>
    <w:p w14:paraId="24ED0EF4" w14:textId="3563625C" w:rsidR="0043316E" w:rsidRPr="004236B5" w:rsidRDefault="0043316E" w:rsidP="00C83A63">
      <w:pPr>
        <w:numPr>
          <w:ilvl w:val="12"/>
          <w:numId w:val="0"/>
        </w:numPr>
      </w:pPr>
    </w:p>
    <w:p w14:paraId="40C13458" w14:textId="43E87F0D" w:rsidR="0043316E" w:rsidRPr="004236B5" w:rsidRDefault="0043316E" w:rsidP="00C83A63">
      <w:pPr>
        <w:numPr>
          <w:ilvl w:val="12"/>
          <w:numId w:val="0"/>
        </w:numPr>
      </w:pPr>
      <w:r w:rsidRPr="006E3364">
        <w:t>Přípravek s indikačním omezením.</w:t>
      </w:r>
    </w:p>
    <w:p w14:paraId="05E12133" w14:textId="77777777" w:rsidR="0078538F" w:rsidRPr="001D77F6" w:rsidRDefault="0078538F" w:rsidP="00C83A63">
      <w:pPr>
        <w:rPr>
          <w:szCs w:val="22"/>
        </w:rPr>
      </w:pPr>
    </w:p>
    <w:p w14:paraId="28C35B4C" w14:textId="50416041" w:rsidR="0078538F" w:rsidRDefault="004270DD" w:rsidP="00C83A63">
      <w:pPr>
        <w:rPr>
          <w:i/>
          <w:szCs w:val="22"/>
        </w:rPr>
      </w:pPr>
      <w:bookmarkStart w:id="7" w:name="_Hlk73467306"/>
      <w:r w:rsidRPr="001D77F6">
        <w:t xml:space="preserve">Podrobné informace o tomto veterinárním léčivém přípravku jsou k dispozici v databázi přípravků Unie </w:t>
      </w:r>
      <w:r w:rsidRPr="001D77F6">
        <w:rPr>
          <w:szCs w:val="22"/>
        </w:rPr>
        <w:t>(</w:t>
      </w:r>
      <w:hyperlink r:id="rId8" w:history="1">
        <w:r w:rsidR="0078538F" w:rsidRPr="001D77F6">
          <w:rPr>
            <w:rStyle w:val="Hypertextovodkaz"/>
            <w:szCs w:val="22"/>
          </w:rPr>
          <w:t>https://medicines.health.europa.eu/veterinary</w:t>
        </w:r>
      </w:hyperlink>
      <w:r w:rsidRPr="001D77F6">
        <w:rPr>
          <w:szCs w:val="22"/>
        </w:rPr>
        <w:t>)</w:t>
      </w:r>
      <w:r w:rsidRPr="001D77F6">
        <w:rPr>
          <w:i/>
          <w:szCs w:val="22"/>
        </w:rPr>
        <w:t>.</w:t>
      </w:r>
      <w:bookmarkEnd w:id="7"/>
    </w:p>
    <w:p w14:paraId="77166BFC" w14:textId="3239A29A" w:rsidR="006E3364" w:rsidRDefault="006E3364" w:rsidP="00C83A63">
      <w:pPr>
        <w:rPr>
          <w:szCs w:val="22"/>
        </w:rPr>
      </w:pPr>
    </w:p>
    <w:p w14:paraId="22F321B7" w14:textId="77777777" w:rsidR="006E3364" w:rsidRPr="0098623A" w:rsidRDefault="006E3364" w:rsidP="006E3364">
      <w:pPr>
        <w:rPr>
          <w:szCs w:val="22"/>
        </w:rPr>
      </w:pPr>
      <w:bookmarkStart w:id="8" w:name="_Hlk134614965"/>
      <w:r w:rsidRPr="0098623A">
        <w:rPr>
          <w:szCs w:val="22"/>
        </w:rPr>
        <w:t>Podrobné informace o tomto veterinárním léčivém přípravku naleznete také v národní databázi (</w:t>
      </w:r>
      <w:hyperlink r:id="rId9" w:history="1">
        <w:r w:rsidRPr="0098623A">
          <w:rPr>
            <w:rStyle w:val="Hypertextovodkaz"/>
            <w:szCs w:val="22"/>
          </w:rPr>
          <w:t>https://www.uskvbl.cz</w:t>
        </w:r>
      </w:hyperlink>
      <w:r w:rsidRPr="0098623A">
        <w:rPr>
          <w:szCs w:val="22"/>
        </w:rPr>
        <w:t>).</w:t>
      </w:r>
      <w:bookmarkEnd w:id="8"/>
    </w:p>
    <w:p w14:paraId="681FB1C1" w14:textId="646132D5" w:rsidR="006E3364" w:rsidRPr="001D77F6" w:rsidRDefault="006E3364" w:rsidP="00C83A63">
      <w:pPr>
        <w:rPr>
          <w:szCs w:val="22"/>
        </w:rPr>
      </w:pPr>
      <w:r>
        <w:rPr>
          <w:szCs w:val="22"/>
        </w:rPr>
        <w:t xml:space="preserve"> </w:t>
      </w:r>
      <w:bookmarkStart w:id="9" w:name="_GoBack"/>
      <w:bookmarkEnd w:id="9"/>
    </w:p>
    <w:sectPr w:rsidR="006E3364" w:rsidRPr="001D77F6"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1F374" w14:textId="77777777" w:rsidR="00D84E15" w:rsidRDefault="00D84E15">
      <w:pPr>
        <w:spacing w:line="240" w:lineRule="auto"/>
      </w:pPr>
      <w:r>
        <w:separator/>
      </w:r>
    </w:p>
  </w:endnote>
  <w:endnote w:type="continuationSeparator" w:id="0">
    <w:p w14:paraId="2C9BCAE3" w14:textId="77777777" w:rsidR="00D84E15" w:rsidRDefault="00D84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4270D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4270D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E6393" w14:textId="77777777" w:rsidR="00D84E15" w:rsidRDefault="00D84E15">
      <w:pPr>
        <w:spacing w:line="240" w:lineRule="auto"/>
      </w:pPr>
      <w:r>
        <w:separator/>
      </w:r>
    </w:p>
  </w:footnote>
  <w:footnote w:type="continuationSeparator" w:id="0">
    <w:p w14:paraId="5ECFB673" w14:textId="77777777" w:rsidR="00D84E15" w:rsidRDefault="00D84E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9FC990C">
      <w:start w:val="1"/>
      <w:numFmt w:val="decimal"/>
      <w:lvlText w:val="%1."/>
      <w:lvlJc w:val="left"/>
      <w:pPr>
        <w:tabs>
          <w:tab w:val="num" w:pos="720"/>
        </w:tabs>
        <w:ind w:left="720" w:hanging="360"/>
      </w:pPr>
    </w:lvl>
    <w:lvl w:ilvl="1" w:tplc="DE20046A">
      <w:start w:val="1"/>
      <w:numFmt w:val="lowerLetter"/>
      <w:lvlText w:val="%2."/>
      <w:lvlJc w:val="left"/>
      <w:pPr>
        <w:tabs>
          <w:tab w:val="num" w:pos="1440"/>
        </w:tabs>
        <w:ind w:left="1440" w:hanging="360"/>
      </w:pPr>
    </w:lvl>
    <w:lvl w:ilvl="2" w:tplc="B4E424B6" w:tentative="1">
      <w:start w:val="1"/>
      <w:numFmt w:val="lowerRoman"/>
      <w:lvlText w:val="%3."/>
      <w:lvlJc w:val="right"/>
      <w:pPr>
        <w:tabs>
          <w:tab w:val="num" w:pos="2160"/>
        </w:tabs>
        <w:ind w:left="2160" w:hanging="180"/>
      </w:pPr>
    </w:lvl>
    <w:lvl w:ilvl="3" w:tplc="B4C2FD5C" w:tentative="1">
      <w:start w:val="1"/>
      <w:numFmt w:val="decimal"/>
      <w:lvlText w:val="%4."/>
      <w:lvlJc w:val="left"/>
      <w:pPr>
        <w:tabs>
          <w:tab w:val="num" w:pos="2880"/>
        </w:tabs>
        <w:ind w:left="2880" w:hanging="360"/>
      </w:pPr>
    </w:lvl>
    <w:lvl w:ilvl="4" w:tplc="7D62AC7E" w:tentative="1">
      <w:start w:val="1"/>
      <w:numFmt w:val="lowerLetter"/>
      <w:lvlText w:val="%5."/>
      <w:lvlJc w:val="left"/>
      <w:pPr>
        <w:tabs>
          <w:tab w:val="num" w:pos="3600"/>
        </w:tabs>
        <w:ind w:left="3600" w:hanging="360"/>
      </w:pPr>
    </w:lvl>
    <w:lvl w:ilvl="5" w:tplc="CE6C9914" w:tentative="1">
      <w:start w:val="1"/>
      <w:numFmt w:val="lowerRoman"/>
      <w:lvlText w:val="%6."/>
      <w:lvlJc w:val="right"/>
      <w:pPr>
        <w:tabs>
          <w:tab w:val="num" w:pos="4320"/>
        </w:tabs>
        <w:ind w:left="4320" w:hanging="180"/>
      </w:pPr>
    </w:lvl>
    <w:lvl w:ilvl="6" w:tplc="18A02C16" w:tentative="1">
      <w:start w:val="1"/>
      <w:numFmt w:val="decimal"/>
      <w:lvlText w:val="%7."/>
      <w:lvlJc w:val="left"/>
      <w:pPr>
        <w:tabs>
          <w:tab w:val="num" w:pos="5040"/>
        </w:tabs>
        <w:ind w:left="5040" w:hanging="360"/>
      </w:pPr>
    </w:lvl>
    <w:lvl w:ilvl="7" w:tplc="B13271E0" w:tentative="1">
      <w:start w:val="1"/>
      <w:numFmt w:val="lowerLetter"/>
      <w:lvlText w:val="%8."/>
      <w:lvlJc w:val="left"/>
      <w:pPr>
        <w:tabs>
          <w:tab w:val="num" w:pos="5760"/>
        </w:tabs>
        <w:ind w:left="5760" w:hanging="360"/>
      </w:pPr>
    </w:lvl>
    <w:lvl w:ilvl="8" w:tplc="1ED63CB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901E5BFC">
      <w:start w:val="6"/>
      <w:numFmt w:val="decimal"/>
      <w:lvlText w:val="%1."/>
      <w:lvlJc w:val="left"/>
      <w:pPr>
        <w:tabs>
          <w:tab w:val="num" w:pos="930"/>
        </w:tabs>
        <w:ind w:left="930" w:hanging="570"/>
      </w:pPr>
      <w:rPr>
        <w:rFonts w:hint="default"/>
      </w:rPr>
    </w:lvl>
    <w:lvl w:ilvl="1" w:tplc="58EA6B3E" w:tentative="1">
      <w:start w:val="1"/>
      <w:numFmt w:val="lowerLetter"/>
      <w:lvlText w:val="%2."/>
      <w:lvlJc w:val="left"/>
      <w:pPr>
        <w:tabs>
          <w:tab w:val="num" w:pos="1440"/>
        </w:tabs>
        <w:ind w:left="1440" w:hanging="360"/>
      </w:pPr>
    </w:lvl>
    <w:lvl w:ilvl="2" w:tplc="C8A84C88" w:tentative="1">
      <w:start w:val="1"/>
      <w:numFmt w:val="lowerRoman"/>
      <w:lvlText w:val="%3."/>
      <w:lvlJc w:val="right"/>
      <w:pPr>
        <w:tabs>
          <w:tab w:val="num" w:pos="2160"/>
        </w:tabs>
        <w:ind w:left="2160" w:hanging="180"/>
      </w:pPr>
    </w:lvl>
    <w:lvl w:ilvl="3" w:tplc="924CD764" w:tentative="1">
      <w:start w:val="1"/>
      <w:numFmt w:val="decimal"/>
      <w:lvlText w:val="%4."/>
      <w:lvlJc w:val="left"/>
      <w:pPr>
        <w:tabs>
          <w:tab w:val="num" w:pos="2880"/>
        </w:tabs>
        <w:ind w:left="2880" w:hanging="360"/>
      </w:pPr>
    </w:lvl>
    <w:lvl w:ilvl="4" w:tplc="9FD2E852" w:tentative="1">
      <w:start w:val="1"/>
      <w:numFmt w:val="lowerLetter"/>
      <w:lvlText w:val="%5."/>
      <w:lvlJc w:val="left"/>
      <w:pPr>
        <w:tabs>
          <w:tab w:val="num" w:pos="3600"/>
        </w:tabs>
        <w:ind w:left="3600" w:hanging="360"/>
      </w:pPr>
    </w:lvl>
    <w:lvl w:ilvl="5" w:tplc="3858D1BC" w:tentative="1">
      <w:start w:val="1"/>
      <w:numFmt w:val="lowerRoman"/>
      <w:lvlText w:val="%6."/>
      <w:lvlJc w:val="right"/>
      <w:pPr>
        <w:tabs>
          <w:tab w:val="num" w:pos="4320"/>
        </w:tabs>
        <w:ind w:left="4320" w:hanging="180"/>
      </w:pPr>
    </w:lvl>
    <w:lvl w:ilvl="6" w:tplc="DAF8103A" w:tentative="1">
      <w:start w:val="1"/>
      <w:numFmt w:val="decimal"/>
      <w:lvlText w:val="%7."/>
      <w:lvlJc w:val="left"/>
      <w:pPr>
        <w:tabs>
          <w:tab w:val="num" w:pos="5040"/>
        </w:tabs>
        <w:ind w:left="5040" w:hanging="360"/>
      </w:pPr>
    </w:lvl>
    <w:lvl w:ilvl="7" w:tplc="039CCB78" w:tentative="1">
      <w:start w:val="1"/>
      <w:numFmt w:val="lowerLetter"/>
      <w:lvlText w:val="%8."/>
      <w:lvlJc w:val="left"/>
      <w:pPr>
        <w:tabs>
          <w:tab w:val="num" w:pos="5760"/>
        </w:tabs>
        <w:ind w:left="5760" w:hanging="360"/>
      </w:pPr>
    </w:lvl>
    <w:lvl w:ilvl="8" w:tplc="681C6D2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774AECA0">
      <w:start w:val="1"/>
      <w:numFmt w:val="bullet"/>
      <w:lvlText w:val=""/>
      <w:lvlJc w:val="left"/>
      <w:pPr>
        <w:tabs>
          <w:tab w:val="num" w:pos="776"/>
        </w:tabs>
        <w:ind w:left="776" w:hanging="360"/>
      </w:pPr>
      <w:rPr>
        <w:rFonts w:ascii="Symbol" w:hAnsi="Symbol" w:hint="default"/>
      </w:rPr>
    </w:lvl>
    <w:lvl w:ilvl="1" w:tplc="38EABB30" w:tentative="1">
      <w:start w:val="1"/>
      <w:numFmt w:val="bullet"/>
      <w:lvlText w:val="o"/>
      <w:lvlJc w:val="left"/>
      <w:pPr>
        <w:tabs>
          <w:tab w:val="num" w:pos="1496"/>
        </w:tabs>
        <w:ind w:left="1496" w:hanging="360"/>
      </w:pPr>
      <w:rPr>
        <w:rFonts w:ascii="Courier New" w:hAnsi="Courier New" w:hint="default"/>
      </w:rPr>
    </w:lvl>
    <w:lvl w:ilvl="2" w:tplc="A2309C5C" w:tentative="1">
      <w:start w:val="1"/>
      <w:numFmt w:val="bullet"/>
      <w:lvlText w:val=""/>
      <w:lvlJc w:val="left"/>
      <w:pPr>
        <w:tabs>
          <w:tab w:val="num" w:pos="2216"/>
        </w:tabs>
        <w:ind w:left="2216" w:hanging="360"/>
      </w:pPr>
      <w:rPr>
        <w:rFonts w:ascii="Wingdings" w:hAnsi="Wingdings" w:hint="default"/>
      </w:rPr>
    </w:lvl>
    <w:lvl w:ilvl="3" w:tplc="EF30B8BE" w:tentative="1">
      <w:start w:val="1"/>
      <w:numFmt w:val="bullet"/>
      <w:lvlText w:val=""/>
      <w:lvlJc w:val="left"/>
      <w:pPr>
        <w:tabs>
          <w:tab w:val="num" w:pos="2936"/>
        </w:tabs>
        <w:ind w:left="2936" w:hanging="360"/>
      </w:pPr>
      <w:rPr>
        <w:rFonts w:ascii="Symbol" w:hAnsi="Symbol" w:hint="default"/>
      </w:rPr>
    </w:lvl>
    <w:lvl w:ilvl="4" w:tplc="C4C0A2CE" w:tentative="1">
      <w:start w:val="1"/>
      <w:numFmt w:val="bullet"/>
      <w:lvlText w:val="o"/>
      <w:lvlJc w:val="left"/>
      <w:pPr>
        <w:tabs>
          <w:tab w:val="num" w:pos="3656"/>
        </w:tabs>
        <w:ind w:left="3656" w:hanging="360"/>
      </w:pPr>
      <w:rPr>
        <w:rFonts w:ascii="Courier New" w:hAnsi="Courier New" w:hint="default"/>
      </w:rPr>
    </w:lvl>
    <w:lvl w:ilvl="5" w:tplc="3220732C" w:tentative="1">
      <w:start w:val="1"/>
      <w:numFmt w:val="bullet"/>
      <w:lvlText w:val=""/>
      <w:lvlJc w:val="left"/>
      <w:pPr>
        <w:tabs>
          <w:tab w:val="num" w:pos="4376"/>
        </w:tabs>
        <w:ind w:left="4376" w:hanging="360"/>
      </w:pPr>
      <w:rPr>
        <w:rFonts w:ascii="Wingdings" w:hAnsi="Wingdings" w:hint="default"/>
      </w:rPr>
    </w:lvl>
    <w:lvl w:ilvl="6" w:tplc="CA78E4FE" w:tentative="1">
      <w:start w:val="1"/>
      <w:numFmt w:val="bullet"/>
      <w:lvlText w:val=""/>
      <w:lvlJc w:val="left"/>
      <w:pPr>
        <w:tabs>
          <w:tab w:val="num" w:pos="5096"/>
        </w:tabs>
        <w:ind w:left="5096" w:hanging="360"/>
      </w:pPr>
      <w:rPr>
        <w:rFonts w:ascii="Symbol" w:hAnsi="Symbol" w:hint="default"/>
      </w:rPr>
    </w:lvl>
    <w:lvl w:ilvl="7" w:tplc="6B8AF94A" w:tentative="1">
      <w:start w:val="1"/>
      <w:numFmt w:val="bullet"/>
      <w:lvlText w:val="o"/>
      <w:lvlJc w:val="left"/>
      <w:pPr>
        <w:tabs>
          <w:tab w:val="num" w:pos="5816"/>
        </w:tabs>
        <w:ind w:left="5816" w:hanging="360"/>
      </w:pPr>
      <w:rPr>
        <w:rFonts w:ascii="Courier New" w:hAnsi="Courier New" w:hint="default"/>
      </w:rPr>
    </w:lvl>
    <w:lvl w:ilvl="8" w:tplc="4AAC0EA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88A8868">
      <w:start w:val="1"/>
      <w:numFmt w:val="bullet"/>
      <w:lvlText w:val=""/>
      <w:lvlJc w:val="left"/>
      <w:pPr>
        <w:tabs>
          <w:tab w:val="num" w:pos="776"/>
        </w:tabs>
        <w:ind w:left="776" w:hanging="360"/>
      </w:pPr>
      <w:rPr>
        <w:rFonts w:ascii="Symbol" w:hAnsi="Symbol" w:hint="default"/>
      </w:rPr>
    </w:lvl>
    <w:lvl w:ilvl="1" w:tplc="87729240" w:tentative="1">
      <w:start w:val="1"/>
      <w:numFmt w:val="bullet"/>
      <w:lvlText w:val="o"/>
      <w:lvlJc w:val="left"/>
      <w:pPr>
        <w:tabs>
          <w:tab w:val="num" w:pos="1496"/>
        </w:tabs>
        <w:ind w:left="1496" w:hanging="360"/>
      </w:pPr>
      <w:rPr>
        <w:rFonts w:ascii="Courier New" w:hAnsi="Courier New" w:hint="default"/>
      </w:rPr>
    </w:lvl>
    <w:lvl w:ilvl="2" w:tplc="2F6E0BBC" w:tentative="1">
      <w:start w:val="1"/>
      <w:numFmt w:val="bullet"/>
      <w:lvlText w:val=""/>
      <w:lvlJc w:val="left"/>
      <w:pPr>
        <w:tabs>
          <w:tab w:val="num" w:pos="2216"/>
        </w:tabs>
        <w:ind w:left="2216" w:hanging="360"/>
      </w:pPr>
      <w:rPr>
        <w:rFonts w:ascii="Wingdings" w:hAnsi="Wingdings" w:hint="default"/>
      </w:rPr>
    </w:lvl>
    <w:lvl w:ilvl="3" w:tplc="B02AE374" w:tentative="1">
      <w:start w:val="1"/>
      <w:numFmt w:val="bullet"/>
      <w:lvlText w:val=""/>
      <w:lvlJc w:val="left"/>
      <w:pPr>
        <w:tabs>
          <w:tab w:val="num" w:pos="2936"/>
        </w:tabs>
        <w:ind w:left="2936" w:hanging="360"/>
      </w:pPr>
      <w:rPr>
        <w:rFonts w:ascii="Symbol" w:hAnsi="Symbol" w:hint="default"/>
      </w:rPr>
    </w:lvl>
    <w:lvl w:ilvl="4" w:tplc="6A42DF90" w:tentative="1">
      <w:start w:val="1"/>
      <w:numFmt w:val="bullet"/>
      <w:lvlText w:val="o"/>
      <w:lvlJc w:val="left"/>
      <w:pPr>
        <w:tabs>
          <w:tab w:val="num" w:pos="3656"/>
        </w:tabs>
        <w:ind w:left="3656" w:hanging="360"/>
      </w:pPr>
      <w:rPr>
        <w:rFonts w:ascii="Courier New" w:hAnsi="Courier New" w:hint="default"/>
      </w:rPr>
    </w:lvl>
    <w:lvl w:ilvl="5" w:tplc="4A040AB8" w:tentative="1">
      <w:start w:val="1"/>
      <w:numFmt w:val="bullet"/>
      <w:lvlText w:val=""/>
      <w:lvlJc w:val="left"/>
      <w:pPr>
        <w:tabs>
          <w:tab w:val="num" w:pos="4376"/>
        </w:tabs>
        <w:ind w:left="4376" w:hanging="360"/>
      </w:pPr>
      <w:rPr>
        <w:rFonts w:ascii="Wingdings" w:hAnsi="Wingdings" w:hint="default"/>
      </w:rPr>
    </w:lvl>
    <w:lvl w:ilvl="6" w:tplc="AADEA768" w:tentative="1">
      <w:start w:val="1"/>
      <w:numFmt w:val="bullet"/>
      <w:lvlText w:val=""/>
      <w:lvlJc w:val="left"/>
      <w:pPr>
        <w:tabs>
          <w:tab w:val="num" w:pos="5096"/>
        </w:tabs>
        <w:ind w:left="5096" w:hanging="360"/>
      </w:pPr>
      <w:rPr>
        <w:rFonts w:ascii="Symbol" w:hAnsi="Symbol" w:hint="default"/>
      </w:rPr>
    </w:lvl>
    <w:lvl w:ilvl="7" w:tplc="B00648D6" w:tentative="1">
      <w:start w:val="1"/>
      <w:numFmt w:val="bullet"/>
      <w:lvlText w:val="o"/>
      <w:lvlJc w:val="left"/>
      <w:pPr>
        <w:tabs>
          <w:tab w:val="num" w:pos="5816"/>
        </w:tabs>
        <w:ind w:left="5816" w:hanging="360"/>
      </w:pPr>
      <w:rPr>
        <w:rFonts w:ascii="Courier New" w:hAnsi="Courier New" w:hint="default"/>
      </w:rPr>
    </w:lvl>
    <w:lvl w:ilvl="8" w:tplc="A53A0F9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426ED926">
      <w:start w:val="1"/>
      <w:numFmt w:val="decimal"/>
      <w:lvlText w:val="%1."/>
      <w:lvlJc w:val="left"/>
      <w:pPr>
        <w:tabs>
          <w:tab w:val="num" w:pos="720"/>
        </w:tabs>
        <w:ind w:left="720" w:hanging="360"/>
      </w:pPr>
    </w:lvl>
    <w:lvl w:ilvl="1" w:tplc="051A1E02">
      <w:start w:val="1"/>
      <w:numFmt w:val="lowerLetter"/>
      <w:lvlText w:val="%2."/>
      <w:lvlJc w:val="left"/>
      <w:pPr>
        <w:tabs>
          <w:tab w:val="num" w:pos="1440"/>
        </w:tabs>
        <w:ind w:left="1440" w:hanging="360"/>
      </w:pPr>
    </w:lvl>
    <w:lvl w:ilvl="2" w:tplc="BB80C4E2" w:tentative="1">
      <w:start w:val="1"/>
      <w:numFmt w:val="lowerRoman"/>
      <w:lvlText w:val="%3."/>
      <w:lvlJc w:val="right"/>
      <w:pPr>
        <w:tabs>
          <w:tab w:val="num" w:pos="2160"/>
        </w:tabs>
        <w:ind w:left="2160" w:hanging="180"/>
      </w:pPr>
    </w:lvl>
    <w:lvl w:ilvl="3" w:tplc="ABB2407C" w:tentative="1">
      <w:start w:val="1"/>
      <w:numFmt w:val="decimal"/>
      <w:lvlText w:val="%4."/>
      <w:lvlJc w:val="left"/>
      <w:pPr>
        <w:tabs>
          <w:tab w:val="num" w:pos="2880"/>
        </w:tabs>
        <w:ind w:left="2880" w:hanging="360"/>
      </w:pPr>
    </w:lvl>
    <w:lvl w:ilvl="4" w:tplc="637E322C" w:tentative="1">
      <w:start w:val="1"/>
      <w:numFmt w:val="lowerLetter"/>
      <w:lvlText w:val="%5."/>
      <w:lvlJc w:val="left"/>
      <w:pPr>
        <w:tabs>
          <w:tab w:val="num" w:pos="3600"/>
        </w:tabs>
        <w:ind w:left="3600" w:hanging="360"/>
      </w:pPr>
    </w:lvl>
    <w:lvl w:ilvl="5" w:tplc="1F80D220" w:tentative="1">
      <w:start w:val="1"/>
      <w:numFmt w:val="lowerRoman"/>
      <w:lvlText w:val="%6."/>
      <w:lvlJc w:val="right"/>
      <w:pPr>
        <w:tabs>
          <w:tab w:val="num" w:pos="4320"/>
        </w:tabs>
        <w:ind w:left="4320" w:hanging="180"/>
      </w:pPr>
    </w:lvl>
    <w:lvl w:ilvl="6" w:tplc="99328E82" w:tentative="1">
      <w:start w:val="1"/>
      <w:numFmt w:val="decimal"/>
      <w:lvlText w:val="%7."/>
      <w:lvlJc w:val="left"/>
      <w:pPr>
        <w:tabs>
          <w:tab w:val="num" w:pos="5040"/>
        </w:tabs>
        <w:ind w:left="5040" w:hanging="360"/>
      </w:pPr>
    </w:lvl>
    <w:lvl w:ilvl="7" w:tplc="876E0D90" w:tentative="1">
      <w:start w:val="1"/>
      <w:numFmt w:val="lowerLetter"/>
      <w:lvlText w:val="%8."/>
      <w:lvlJc w:val="left"/>
      <w:pPr>
        <w:tabs>
          <w:tab w:val="num" w:pos="5760"/>
        </w:tabs>
        <w:ind w:left="5760" w:hanging="360"/>
      </w:pPr>
    </w:lvl>
    <w:lvl w:ilvl="8" w:tplc="AA90E89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1835A0D"/>
    <w:multiLevelType w:val="hybridMultilevel"/>
    <w:tmpl w:val="B686D9E4"/>
    <w:lvl w:ilvl="0" w:tplc="8BCEFC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354683"/>
    <w:multiLevelType w:val="hybridMultilevel"/>
    <w:tmpl w:val="0EE81776"/>
    <w:lvl w:ilvl="0" w:tplc="AACCF7BE">
      <w:numFmt w:val="bullet"/>
      <w:lvlText w:val="-"/>
      <w:lvlJc w:val="left"/>
      <w:pPr>
        <w:tabs>
          <w:tab w:val="num" w:pos="720"/>
        </w:tabs>
        <w:ind w:left="720" w:hanging="360"/>
      </w:pPr>
      <w:rPr>
        <w:rFonts w:ascii="Times New Roman" w:eastAsia="Times New Roman" w:hAnsi="Times New Roman" w:cs="Times New Roman" w:hint="default"/>
      </w:rPr>
    </w:lvl>
    <w:lvl w:ilvl="1" w:tplc="C54A1FC8" w:tentative="1">
      <w:start w:val="1"/>
      <w:numFmt w:val="bullet"/>
      <w:lvlText w:val="o"/>
      <w:lvlJc w:val="left"/>
      <w:pPr>
        <w:tabs>
          <w:tab w:val="num" w:pos="1440"/>
        </w:tabs>
        <w:ind w:left="1440" w:hanging="360"/>
      </w:pPr>
      <w:rPr>
        <w:rFonts w:ascii="Courier New" w:hAnsi="Courier New" w:hint="default"/>
      </w:rPr>
    </w:lvl>
    <w:lvl w:ilvl="2" w:tplc="B45E1296" w:tentative="1">
      <w:start w:val="1"/>
      <w:numFmt w:val="bullet"/>
      <w:lvlText w:val=""/>
      <w:lvlJc w:val="left"/>
      <w:pPr>
        <w:tabs>
          <w:tab w:val="num" w:pos="2160"/>
        </w:tabs>
        <w:ind w:left="2160" w:hanging="360"/>
      </w:pPr>
      <w:rPr>
        <w:rFonts w:ascii="Wingdings" w:hAnsi="Wingdings" w:hint="default"/>
      </w:rPr>
    </w:lvl>
    <w:lvl w:ilvl="3" w:tplc="6F80E34C" w:tentative="1">
      <w:start w:val="1"/>
      <w:numFmt w:val="bullet"/>
      <w:lvlText w:val=""/>
      <w:lvlJc w:val="left"/>
      <w:pPr>
        <w:tabs>
          <w:tab w:val="num" w:pos="2880"/>
        </w:tabs>
        <w:ind w:left="2880" w:hanging="360"/>
      </w:pPr>
      <w:rPr>
        <w:rFonts w:ascii="Symbol" w:hAnsi="Symbol" w:hint="default"/>
      </w:rPr>
    </w:lvl>
    <w:lvl w:ilvl="4" w:tplc="62609578" w:tentative="1">
      <w:start w:val="1"/>
      <w:numFmt w:val="bullet"/>
      <w:lvlText w:val="o"/>
      <w:lvlJc w:val="left"/>
      <w:pPr>
        <w:tabs>
          <w:tab w:val="num" w:pos="3600"/>
        </w:tabs>
        <w:ind w:left="3600" w:hanging="360"/>
      </w:pPr>
      <w:rPr>
        <w:rFonts w:ascii="Courier New" w:hAnsi="Courier New" w:hint="default"/>
      </w:rPr>
    </w:lvl>
    <w:lvl w:ilvl="5" w:tplc="AE440A80" w:tentative="1">
      <w:start w:val="1"/>
      <w:numFmt w:val="bullet"/>
      <w:lvlText w:val=""/>
      <w:lvlJc w:val="left"/>
      <w:pPr>
        <w:tabs>
          <w:tab w:val="num" w:pos="4320"/>
        </w:tabs>
        <w:ind w:left="4320" w:hanging="360"/>
      </w:pPr>
      <w:rPr>
        <w:rFonts w:ascii="Wingdings" w:hAnsi="Wingdings" w:hint="default"/>
      </w:rPr>
    </w:lvl>
    <w:lvl w:ilvl="6" w:tplc="4A0AC940" w:tentative="1">
      <w:start w:val="1"/>
      <w:numFmt w:val="bullet"/>
      <w:lvlText w:val=""/>
      <w:lvlJc w:val="left"/>
      <w:pPr>
        <w:tabs>
          <w:tab w:val="num" w:pos="5040"/>
        </w:tabs>
        <w:ind w:left="5040" w:hanging="360"/>
      </w:pPr>
      <w:rPr>
        <w:rFonts w:ascii="Symbol" w:hAnsi="Symbol" w:hint="default"/>
      </w:rPr>
    </w:lvl>
    <w:lvl w:ilvl="7" w:tplc="4BBE164E" w:tentative="1">
      <w:start w:val="1"/>
      <w:numFmt w:val="bullet"/>
      <w:lvlText w:val="o"/>
      <w:lvlJc w:val="left"/>
      <w:pPr>
        <w:tabs>
          <w:tab w:val="num" w:pos="5760"/>
        </w:tabs>
        <w:ind w:left="5760" w:hanging="360"/>
      </w:pPr>
      <w:rPr>
        <w:rFonts w:ascii="Courier New" w:hAnsi="Courier New" w:hint="default"/>
      </w:rPr>
    </w:lvl>
    <w:lvl w:ilvl="8" w:tplc="234090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98EAB680">
      <w:start w:val="1"/>
      <w:numFmt w:val="decimal"/>
      <w:lvlText w:val="%1."/>
      <w:lvlJc w:val="left"/>
      <w:pPr>
        <w:tabs>
          <w:tab w:val="num" w:pos="1080"/>
        </w:tabs>
        <w:ind w:left="1080" w:hanging="360"/>
      </w:pPr>
    </w:lvl>
    <w:lvl w:ilvl="1" w:tplc="D5641EF2" w:tentative="1">
      <w:start w:val="1"/>
      <w:numFmt w:val="lowerLetter"/>
      <w:lvlText w:val="%2."/>
      <w:lvlJc w:val="left"/>
      <w:pPr>
        <w:tabs>
          <w:tab w:val="num" w:pos="1800"/>
        </w:tabs>
        <w:ind w:left="1800" w:hanging="360"/>
      </w:pPr>
    </w:lvl>
    <w:lvl w:ilvl="2" w:tplc="8E328D5C" w:tentative="1">
      <w:start w:val="1"/>
      <w:numFmt w:val="lowerRoman"/>
      <w:lvlText w:val="%3."/>
      <w:lvlJc w:val="right"/>
      <w:pPr>
        <w:tabs>
          <w:tab w:val="num" w:pos="2520"/>
        </w:tabs>
        <w:ind w:left="2520" w:hanging="180"/>
      </w:pPr>
    </w:lvl>
    <w:lvl w:ilvl="3" w:tplc="84DEB586" w:tentative="1">
      <w:start w:val="1"/>
      <w:numFmt w:val="decimal"/>
      <w:lvlText w:val="%4."/>
      <w:lvlJc w:val="left"/>
      <w:pPr>
        <w:tabs>
          <w:tab w:val="num" w:pos="3240"/>
        </w:tabs>
        <w:ind w:left="3240" w:hanging="360"/>
      </w:pPr>
    </w:lvl>
    <w:lvl w:ilvl="4" w:tplc="861AFED4" w:tentative="1">
      <w:start w:val="1"/>
      <w:numFmt w:val="lowerLetter"/>
      <w:lvlText w:val="%5."/>
      <w:lvlJc w:val="left"/>
      <w:pPr>
        <w:tabs>
          <w:tab w:val="num" w:pos="3960"/>
        </w:tabs>
        <w:ind w:left="3960" w:hanging="360"/>
      </w:pPr>
    </w:lvl>
    <w:lvl w:ilvl="5" w:tplc="A16EA4AC" w:tentative="1">
      <w:start w:val="1"/>
      <w:numFmt w:val="lowerRoman"/>
      <w:lvlText w:val="%6."/>
      <w:lvlJc w:val="right"/>
      <w:pPr>
        <w:tabs>
          <w:tab w:val="num" w:pos="4680"/>
        </w:tabs>
        <w:ind w:left="4680" w:hanging="180"/>
      </w:pPr>
    </w:lvl>
    <w:lvl w:ilvl="6" w:tplc="FBC41642" w:tentative="1">
      <w:start w:val="1"/>
      <w:numFmt w:val="decimal"/>
      <w:lvlText w:val="%7."/>
      <w:lvlJc w:val="left"/>
      <w:pPr>
        <w:tabs>
          <w:tab w:val="num" w:pos="5400"/>
        </w:tabs>
        <w:ind w:left="5400" w:hanging="360"/>
      </w:pPr>
    </w:lvl>
    <w:lvl w:ilvl="7" w:tplc="3BB62E02" w:tentative="1">
      <w:start w:val="1"/>
      <w:numFmt w:val="lowerLetter"/>
      <w:lvlText w:val="%8."/>
      <w:lvlJc w:val="left"/>
      <w:pPr>
        <w:tabs>
          <w:tab w:val="num" w:pos="6120"/>
        </w:tabs>
        <w:ind w:left="6120" w:hanging="360"/>
      </w:pPr>
    </w:lvl>
    <w:lvl w:ilvl="8" w:tplc="8CE241C0"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77B60A60">
      <w:start w:val="1"/>
      <w:numFmt w:val="bullet"/>
      <w:lvlText w:val="-"/>
      <w:lvlJc w:val="left"/>
      <w:pPr>
        <w:tabs>
          <w:tab w:val="num" w:pos="360"/>
        </w:tabs>
        <w:ind w:left="360" w:hanging="360"/>
      </w:pPr>
      <w:rPr>
        <w:rFonts w:ascii="Cambria" w:hAnsi="Cambria" w:hint="default"/>
      </w:rPr>
    </w:lvl>
    <w:lvl w:ilvl="1" w:tplc="407C514E" w:tentative="1">
      <w:start w:val="1"/>
      <w:numFmt w:val="bullet"/>
      <w:lvlText w:val="o"/>
      <w:lvlJc w:val="left"/>
      <w:pPr>
        <w:ind w:left="1440" w:hanging="360"/>
      </w:pPr>
      <w:rPr>
        <w:rFonts w:ascii="Courier New" w:hAnsi="Courier New" w:cs="Courier New" w:hint="default"/>
      </w:rPr>
    </w:lvl>
    <w:lvl w:ilvl="2" w:tplc="A6826388" w:tentative="1">
      <w:start w:val="1"/>
      <w:numFmt w:val="bullet"/>
      <w:lvlText w:val=""/>
      <w:lvlJc w:val="left"/>
      <w:pPr>
        <w:ind w:left="2160" w:hanging="360"/>
      </w:pPr>
      <w:rPr>
        <w:rFonts w:ascii="Wingdings" w:hAnsi="Wingdings" w:hint="default"/>
      </w:rPr>
    </w:lvl>
    <w:lvl w:ilvl="3" w:tplc="B2FCEAB4" w:tentative="1">
      <w:start w:val="1"/>
      <w:numFmt w:val="bullet"/>
      <w:lvlText w:val=""/>
      <w:lvlJc w:val="left"/>
      <w:pPr>
        <w:ind w:left="2880" w:hanging="360"/>
      </w:pPr>
      <w:rPr>
        <w:rFonts w:ascii="Symbol" w:hAnsi="Symbol" w:hint="default"/>
      </w:rPr>
    </w:lvl>
    <w:lvl w:ilvl="4" w:tplc="B53A05EA" w:tentative="1">
      <w:start w:val="1"/>
      <w:numFmt w:val="bullet"/>
      <w:lvlText w:val="o"/>
      <w:lvlJc w:val="left"/>
      <w:pPr>
        <w:ind w:left="3600" w:hanging="360"/>
      </w:pPr>
      <w:rPr>
        <w:rFonts w:ascii="Courier New" w:hAnsi="Courier New" w:cs="Courier New" w:hint="default"/>
      </w:rPr>
    </w:lvl>
    <w:lvl w:ilvl="5" w:tplc="5CE40DF8" w:tentative="1">
      <w:start w:val="1"/>
      <w:numFmt w:val="bullet"/>
      <w:lvlText w:val=""/>
      <w:lvlJc w:val="left"/>
      <w:pPr>
        <w:ind w:left="4320" w:hanging="360"/>
      </w:pPr>
      <w:rPr>
        <w:rFonts w:ascii="Wingdings" w:hAnsi="Wingdings" w:hint="default"/>
      </w:rPr>
    </w:lvl>
    <w:lvl w:ilvl="6" w:tplc="21CA9334" w:tentative="1">
      <w:start w:val="1"/>
      <w:numFmt w:val="bullet"/>
      <w:lvlText w:val=""/>
      <w:lvlJc w:val="left"/>
      <w:pPr>
        <w:ind w:left="5040" w:hanging="360"/>
      </w:pPr>
      <w:rPr>
        <w:rFonts w:ascii="Symbol" w:hAnsi="Symbol" w:hint="default"/>
      </w:rPr>
    </w:lvl>
    <w:lvl w:ilvl="7" w:tplc="D4B0DE36" w:tentative="1">
      <w:start w:val="1"/>
      <w:numFmt w:val="bullet"/>
      <w:lvlText w:val="o"/>
      <w:lvlJc w:val="left"/>
      <w:pPr>
        <w:ind w:left="5760" w:hanging="360"/>
      </w:pPr>
      <w:rPr>
        <w:rFonts w:ascii="Courier New" w:hAnsi="Courier New" w:cs="Courier New" w:hint="default"/>
      </w:rPr>
    </w:lvl>
    <w:lvl w:ilvl="8" w:tplc="44C2533E"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906271BC">
      <w:start w:val="1"/>
      <w:numFmt w:val="decimal"/>
      <w:lvlText w:val="%1."/>
      <w:lvlJc w:val="left"/>
      <w:pPr>
        <w:tabs>
          <w:tab w:val="num" w:pos="930"/>
        </w:tabs>
        <w:ind w:left="930" w:hanging="570"/>
      </w:pPr>
      <w:rPr>
        <w:rFonts w:hint="default"/>
      </w:rPr>
    </w:lvl>
    <w:lvl w:ilvl="1" w:tplc="CF963BE4">
      <w:start w:val="5"/>
      <w:numFmt w:val="decimal"/>
      <w:lvlText w:val="%2"/>
      <w:lvlJc w:val="left"/>
      <w:pPr>
        <w:tabs>
          <w:tab w:val="num" w:pos="1650"/>
        </w:tabs>
        <w:ind w:left="1650" w:hanging="570"/>
      </w:pPr>
      <w:rPr>
        <w:rFonts w:hint="default"/>
      </w:rPr>
    </w:lvl>
    <w:lvl w:ilvl="2" w:tplc="20443556" w:tentative="1">
      <w:start w:val="1"/>
      <w:numFmt w:val="lowerRoman"/>
      <w:lvlText w:val="%3."/>
      <w:lvlJc w:val="right"/>
      <w:pPr>
        <w:tabs>
          <w:tab w:val="num" w:pos="2160"/>
        </w:tabs>
        <w:ind w:left="2160" w:hanging="180"/>
      </w:pPr>
    </w:lvl>
    <w:lvl w:ilvl="3" w:tplc="96467D36" w:tentative="1">
      <w:start w:val="1"/>
      <w:numFmt w:val="decimal"/>
      <w:lvlText w:val="%4."/>
      <w:lvlJc w:val="left"/>
      <w:pPr>
        <w:tabs>
          <w:tab w:val="num" w:pos="2880"/>
        </w:tabs>
        <w:ind w:left="2880" w:hanging="360"/>
      </w:pPr>
    </w:lvl>
    <w:lvl w:ilvl="4" w:tplc="10E2006E" w:tentative="1">
      <w:start w:val="1"/>
      <w:numFmt w:val="lowerLetter"/>
      <w:lvlText w:val="%5."/>
      <w:lvlJc w:val="left"/>
      <w:pPr>
        <w:tabs>
          <w:tab w:val="num" w:pos="3600"/>
        </w:tabs>
        <w:ind w:left="3600" w:hanging="360"/>
      </w:pPr>
    </w:lvl>
    <w:lvl w:ilvl="5" w:tplc="D00CEC00" w:tentative="1">
      <w:start w:val="1"/>
      <w:numFmt w:val="lowerRoman"/>
      <w:lvlText w:val="%6."/>
      <w:lvlJc w:val="right"/>
      <w:pPr>
        <w:tabs>
          <w:tab w:val="num" w:pos="4320"/>
        </w:tabs>
        <w:ind w:left="4320" w:hanging="180"/>
      </w:pPr>
    </w:lvl>
    <w:lvl w:ilvl="6" w:tplc="46C20D72" w:tentative="1">
      <w:start w:val="1"/>
      <w:numFmt w:val="decimal"/>
      <w:lvlText w:val="%7."/>
      <w:lvlJc w:val="left"/>
      <w:pPr>
        <w:tabs>
          <w:tab w:val="num" w:pos="5040"/>
        </w:tabs>
        <w:ind w:left="5040" w:hanging="360"/>
      </w:pPr>
    </w:lvl>
    <w:lvl w:ilvl="7" w:tplc="23200BC2" w:tentative="1">
      <w:start w:val="1"/>
      <w:numFmt w:val="lowerLetter"/>
      <w:lvlText w:val="%8."/>
      <w:lvlJc w:val="left"/>
      <w:pPr>
        <w:tabs>
          <w:tab w:val="num" w:pos="5760"/>
        </w:tabs>
        <w:ind w:left="5760" w:hanging="360"/>
      </w:pPr>
    </w:lvl>
    <w:lvl w:ilvl="8" w:tplc="67D279FE" w:tentative="1">
      <w:start w:val="1"/>
      <w:numFmt w:val="lowerRoman"/>
      <w:lvlText w:val="%9."/>
      <w:lvlJc w:val="right"/>
      <w:pPr>
        <w:tabs>
          <w:tab w:val="num" w:pos="6480"/>
        </w:tabs>
        <w:ind w:left="6480" w:hanging="180"/>
      </w:pPr>
    </w:lvl>
  </w:abstractNum>
  <w:abstractNum w:abstractNumId="20" w15:restartNumberingAfterBreak="0">
    <w:nsid w:val="4A0745AE"/>
    <w:multiLevelType w:val="hybridMultilevel"/>
    <w:tmpl w:val="F334A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39EEC2C8">
      <w:start w:val="1"/>
      <w:numFmt w:val="bullet"/>
      <w:lvlText w:val=""/>
      <w:lvlJc w:val="left"/>
      <w:pPr>
        <w:tabs>
          <w:tab w:val="num" w:pos="278"/>
        </w:tabs>
        <w:ind w:left="278" w:hanging="360"/>
      </w:pPr>
      <w:rPr>
        <w:rFonts w:ascii="Symbol" w:hAnsi="Symbol" w:hint="default"/>
      </w:rPr>
    </w:lvl>
    <w:lvl w:ilvl="1" w:tplc="154EC96A" w:tentative="1">
      <w:start w:val="1"/>
      <w:numFmt w:val="bullet"/>
      <w:lvlText w:val="o"/>
      <w:lvlJc w:val="left"/>
      <w:pPr>
        <w:tabs>
          <w:tab w:val="num" w:pos="1440"/>
        </w:tabs>
        <w:ind w:left="1440" w:hanging="360"/>
      </w:pPr>
      <w:rPr>
        <w:rFonts w:ascii="Courier New" w:hAnsi="Courier New" w:hint="default"/>
      </w:rPr>
    </w:lvl>
    <w:lvl w:ilvl="2" w:tplc="92929078" w:tentative="1">
      <w:start w:val="1"/>
      <w:numFmt w:val="bullet"/>
      <w:lvlText w:val=""/>
      <w:lvlJc w:val="left"/>
      <w:pPr>
        <w:tabs>
          <w:tab w:val="num" w:pos="2160"/>
        </w:tabs>
        <w:ind w:left="2160" w:hanging="360"/>
      </w:pPr>
      <w:rPr>
        <w:rFonts w:ascii="Wingdings" w:hAnsi="Wingdings" w:hint="default"/>
      </w:rPr>
    </w:lvl>
    <w:lvl w:ilvl="3" w:tplc="E9D64038" w:tentative="1">
      <w:start w:val="1"/>
      <w:numFmt w:val="bullet"/>
      <w:lvlText w:val=""/>
      <w:lvlJc w:val="left"/>
      <w:pPr>
        <w:tabs>
          <w:tab w:val="num" w:pos="2880"/>
        </w:tabs>
        <w:ind w:left="2880" w:hanging="360"/>
      </w:pPr>
      <w:rPr>
        <w:rFonts w:ascii="Symbol" w:hAnsi="Symbol" w:hint="default"/>
      </w:rPr>
    </w:lvl>
    <w:lvl w:ilvl="4" w:tplc="2E6C6088" w:tentative="1">
      <w:start w:val="1"/>
      <w:numFmt w:val="bullet"/>
      <w:lvlText w:val="o"/>
      <w:lvlJc w:val="left"/>
      <w:pPr>
        <w:tabs>
          <w:tab w:val="num" w:pos="3600"/>
        </w:tabs>
        <w:ind w:left="3600" w:hanging="360"/>
      </w:pPr>
      <w:rPr>
        <w:rFonts w:ascii="Courier New" w:hAnsi="Courier New" w:hint="default"/>
      </w:rPr>
    </w:lvl>
    <w:lvl w:ilvl="5" w:tplc="B7606D02" w:tentative="1">
      <w:start w:val="1"/>
      <w:numFmt w:val="bullet"/>
      <w:lvlText w:val=""/>
      <w:lvlJc w:val="left"/>
      <w:pPr>
        <w:tabs>
          <w:tab w:val="num" w:pos="4320"/>
        </w:tabs>
        <w:ind w:left="4320" w:hanging="360"/>
      </w:pPr>
      <w:rPr>
        <w:rFonts w:ascii="Wingdings" w:hAnsi="Wingdings" w:hint="default"/>
      </w:rPr>
    </w:lvl>
    <w:lvl w:ilvl="6" w:tplc="5CE892F8" w:tentative="1">
      <w:start w:val="1"/>
      <w:numFmt w:val="bullet"/>
      <w:lvlText w:val=""/>
      <w:lvlJc w:val="left"/>
      <w:pPr>
        <w:tabs>
          <w:tab w:val="num" w:pos="5040"/>
        </w:tabs>
        <w:ind w:left="5040" w:hanging="360"/>
      </w:pPr>
      <w:rPr>
        <w:rFonts w:ascii="Symbol" w:hAnsi="Symbol" w:hint="default"/>
      </w:rPr>
    </w:lvl>
    <w:lvl w:ilvl="7" w:tplc="BC300ADA" w:tentative="1">
      <w:start w:val="1"/>
      <w:numFmt w:val="bullet"/>
      <w:lvlText w:val="o"/>
      <w:lvlJc w:val="left"/>
      <w:pPr>
        <w:tabs>
          <w:tab w:val="num" w:pos="5760"/>
        </w:tabs>
        <w:ind w:left="5760" w:hanging="360"/>
      </w:pPr>
      <w:rPr>
        <w:rFonts w:ascii="Courier New" w:hAnsi="Courier New" w:hint="default"/>
      </w:rPr>
    </w:lvl>
    <w:lvl w:ilvl="8" w:tplc="894482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9558FD14">
      <w:start w:val="5"/>
      <w:numFmt w:val="upperLetter"/>
      <w:lvlText w:val="%1."/>
      <w:lvlJc w:val="left"/>
      <w:pPr>
        <w:tabs>
          <w:tab w:val="num" w:pos="720"/>
        </w:tabs>
        <w:ind w:left="720" w:hanging="360"/>
      </w:pPr>
      <w:rPr>
        <w:rFonts w:hint="default"/>
      </w:rPr>
    </w:lvl>
    <w:lvl w:ilvl="1" w:tplc="A922E9AE" w:tentative="1">
      <w:start w:val="1"/>
      <w:numFmt w:val="lowerLetter"/>
      <w:lvlText w:val="%2."/>
      <w:lvlJc w:val="left"/>
      <w:pPr>
        <w:tabs>
          <w:tab w:val="num" w:pos="1440"/>
        </w:tabs>
        <w:ind w:left="1440" w:hanging="360"/>
      </w:pPr>
    </w:lvl>
    <w:lvl w:ilvl="2" w:tplc="75AA9EE8" w:tentative="1">
      <w:start w:val="1"/>
      <w:numFmt w:val="lowerRoman"/>
      <w:lvlText w:val="%3."/>
      <w:lvlJc w:val="right"/>
      <w:pPr>
        <w:tabs>
          <w:tab w:val="num" w:pos="2160"/>
        </w:tabs>
        <w:ind w:left="2160" w:hanging="180"/>
      </w:pPr>
    </w:lvl>
    <w:lvl w:ilvl="3" w:tplc="A4F60388" w:tentative="1">
      <w:start w:val="1"/>
      <w:numFmt w:val="decimal"/>
      <w:lvlText w:val="%4."/>
      <w:lvlJc w:val="left"/>
      <w:pPr>
        <w:tabs>
          <w:tab w:val="num" w:pos="2880"/>
        </w:tabs>
        <w:ind w:left="2880" w:hanging="360"/>
      </w:pPr>
    </w:lvl>
    <w:lvl w:ilvl="4" w:tplc="F202CA14" w:tentative="1">
      <w:start w:val="1"/>
      <w:numFmt w:val="lowerLetter"/>
      <w:lvlText w:val="%5."/>
      <w:lvlJc w:val="left"/>
      <w:pPr>
        <w:tabs>
          <w:tab w:val="num" w:pos="3600"/>
        </w:tabs>
        <w:ind w:left="3600" w:hanging="360"/>
      </w:pPr>
    </w:lvl>
    <w:lvl w:ilvl="5" w:tplc="D4041566" w:tentative="1">
      <w:start w:val="1"/>
      <w:numFmt w:val="lowerRoman"/>
      <w:lvlText w:val="%6."/>
      <w:lvlJc w:val="right"/>
      <w:pPr>
        <w:tabs>
          <w:tab w:val="num" w:pos="4320"/>
        </w:tabs>
        <w:ind w:left="4320" w:hanging="180"/>
      </w:pPr>
    </w:lvl>
    <w:lvl w:ilvl="6" w:tplc="44FAAB68" w:tentative="1">
      <w:start w:val="1"/>
      <w:numFmt w:val="decimal"/>
      <w:lvlText w:val="%7."/>
      <w:lvlJc w:val="left"/>
      <w:pPr>
        <w:tabs>
          <w:tab w:val="num" w:pos="5040"/>
        </w:tabs>
        <w:ind w:left="5040" w:hanging="360"/>
      </w:pPr>
    </w:lvl>
    <w:lvl w:ilvl="7" w:tplc="5040F5C2" w:tentative="1">
      <w:start w:val="1"/>
      <w:numFmt w:val="lowerLetter"/>
      <w:lvlText w:val="%8."/>
      <w:lvlJc w:val="left"/>
      <w:pPr>
        <w:tabs>
          <w:tab w:val="num" w:pos="5760"/>
        </w:tabs>
        <w:ind w:left="5760" w:hanging="360"/>
      </w:pPr>
    </w:lvl>
    <w:lvl w:ilvl="8" w:tplc="982C62F2"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2B746F54">
      <w:start w:val="1"/>
      <w:numFmt w:val="bullet"/>
      <w:lvlText w:val=""/>
      <w:lvlJc w:val="left"/>
      <w:pPr>
        <w:tabs>
          <w:tab w:val="num" w:pos="776"/>
        </w:tabs>
        <w:ind w:left="776" w:hanging="360"/>
      </w:pPr>
      <w:rPr>
        <w:rFonts w:ascii="Symbol" w:hAnsi="Symbol" w:hint="default"/>
      </w:rPr>
    </w:lvl>
    <w:lvl w:ilvl="1" w:tplc="7764A480" w:tentative="1">
      <w:start w:val="1"/>
      <w:numFmt w:val="bullet"/>
      <w:lvlText w:val="o"/>
      <w:lvlJc w:val="left"/>
      <w:pPr>
        <w:tabs>
          <w:tab w:val="num" w:pos="1496"/>
        </w:tabs>
        <w:ind w:left="1496" w:hanging="360"/>
      </w:pPr>
      <w:rPr>
        <w:rFonts w:ascii="Courier New" w:hAnsi="Courier New" w:hint="default"/>
      </w:rPr>
    </w:lvl>
    <w:lvl w:ilvl="2" w:tplc="673038E2" w:tentative="1">
      <w:start w:val="1"/>
      <w:numFmt w:val="bullet"/>
      <w:lvlText w:val=""/>
      <w:lvlJc w:val="left"/>
      <w:pPr>
        <w:tabs>
          <w:tab w:val="num" w:pos="2216"/>
        </w:tabs>
        <w:ind w:left="2216" w:hanging="360"/>
      </w:pPr>
      <w:rPr>
        <w:rFonts w:ascii="Wingdings" w:hAnsi="Wingdings" w:hint="default"/>
      </w:rPr>
    </w:lvl>
    <w:lvl w:ilvl="3" w:tplc="C9EE5602" w:tentative="1">
      <w:start w:val="1"/>
      <w:numFmt w:val="bullet"/>
      <w:lvlText w:val=""/>
      <w:lvlJc w:val="left"/>
      <w:pPr>
        <w:tabs>
          <w:tab w:val="num" w:pos="2936"/>
        </w:tabs>
        <w:ind w:left="2936" w:hanging="360"/>
      </w:pPr>
      <w:rPr>
        <w:rFonts w:ascii="Symbol" w:hAnsi="Symbol" w:hint="default"/>
      </w:rPr>
    </w:lvl>
    <w:lvl w:ilvl="4" w:tplc="E2C43D22" w:tentative="1">
      <w:start w:val="1"/>
      <w:numFmt w:val="bullet"/>
      <w:lvlText w:val="o"/>
      <w:lvlJc w:val="left"/>
      <w:pPr>
        <w:tabs>
          <w:tab w:val="num" w:pos="3656"/>
        </w:tabs>
        <w:ind w:left="3656" w:hanging="360"/>
      </w:pPr>
      <w:rPr>
        <w:rFonts w:ascii="Courier New" w:hAnsi="Courier New" w:hint="default"/>
      </w:rPr>
    </w:lvl>
    <w:lvl w:ilvl="5" w:tplc="A3766154" w:tentative="1">
      <w:start w:val="1"/>
      <w:numFmt w:val="bullet"/>
      <w:lvlText w:val=""/>
      <w:lvlJc w:val="left"/>
      <w:pPr>
        <w:tabs>
          <w:tab w:val="num" w:pos="4376"/>
        </w:tabs>
        <w:ind w:left="4376" w:hanging="360"/>
      </w:pPr>
      <w:rPr>
        <w:rFonts w:ascii="Wingdings" w:hAnsi="Wingdings" w:hint="default"/>
      </w:rPr>
    </w:lvl>
    <w:lvl w:ilvl="6" w:tplc="57F0F582" w:tentative="1">
      <w:start w:val="1"/>
      <w:numFmt w:val="bullet"/>
      <w:lvlText w:val=""/>
      <w:lvlJc w:val="left"/>
      <w:pPr>
        <w:tabs>
          <w:tab w:val="num" w:pos="5096"/>
        </w:tabs>
        <w:ind w:left="5096" w:hanging="360"/>
      </w:pPr>
      <w:rPr>
        <w:rFonts w:ascii="Symbol" w:hAnsi="Symbol" w:hint="default"/>
      </w:rPr>
    </w:lvl>
    <w:lvl w:ilvl="7" w:tplc="3802FB06" w:tentative="1">
      <w:start w:val="1"/>
      <w:numFmt w:val="bullet"/>
      <w:lvlText w:val="o"/>
      <w:lvlJc w:val="left"/>
      <w:pPr>
        <w:tabs>
          <w:tab w:val="num" w:pos="5816"/>
        </w:tabs>
        <w:ind w:left="5816" w:hanging="360"/>
      </w:pPr>
      <w:rPr>
        <w:rFonts w:ascii="Courier New" w:hAnsi="Courier New" w:hint="default"/>
      </w:rPr>
    </w:lvl>
    <w:lvl w:ilvl="8" w:tplc="B5609EFA"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42E492A4">
      <w:start w:val="1"/>
      <w:numFmt w:val="bullet"/>
      <w:lvlText w:val=""/>
      <w:lvlJc w:val="left"/>
      <w:pPr>
        <w:tabs>
          <w:tab w:val="num" w:pos="278"/>
        </w:tabs>
        <w:ind w:left="278" w:hanging="360"/>
      </w:pPr>
      <w:rPr>
        <w:rFonts w:ascii="Symbol" w:hAnsi="Symbol" w:hint="default"/>
      </w:rPr>
    </w:lvl>
    <w:lvl w:ilvl="1" w:tplc="1F7A14AA" w:tentative="1">
      <w:start w:val="1"/>
      <w:numFmt w:val="bullet"/>
      <w:lvlText w:val="o"/>
      <w:lvlJc w:val="left"/>
      <w:pPr>
        <w:tabs>
          <w:tab w:val="num" w:pos="1440"/>
        </w:tabs>
        <w:ind w:left="1440" w:hanging="360"/>
      </w:pPr>
      <w:rPr>
        <w:rFonts w:ascii="Courier New" w:hAnsi="Courier New" w:hint="default"/>
      </w:rPr>
    </w:lvl>
    <w:lvl w:ilvl="2" w:tplc="413E3BB2" w:tentative="1">
      <w:start w:val="1"/>
      <w:numFmt w:val="bullet"/>
      <w:lvlText w:val=""/>
      <w:lvlJc w:val="left"/>
      <w:pPr>
        <w:tabs>
          <w:tab w:val="num" w:pos="2160"/>
        </w:tabs>
        <w:ind w:left="2160" w:hanging="360"/>
      </w:pPr>
      <w:rPr>
        <w:rFonts w:ascii="Wingdings" w:hAnsi="Wingdings" w:hint="default"/>
      </w:rPr>
    </w:lvl>
    <w:lvl w:ilvl="3" w:tplc="7E169590" w:tentative="1">
      <w:start w:val="1"/>
      <w:numFmt w:val="bullet"/>
      <w:lvlText w:val=""/>
      <w:lvlJc w:val="left"/>
      <w:pPr>
        <w:tabs>
          <w:tab w:val="num" w:pos="2880"/>
        </w:tabs>
        <w:ind w:left="2880" w:hanging="360"/>
      </w:pPr>
      <w:rPr>
        <w:rFonts w:ascii="Symbol" w:hAnsi="Symbol" w:hint="default"/>
      </w:rPr>
    </w:lvl>
    <w:lvl w:ilvl="4" w:tplc="1F185D0E" w:tentative="1">
      <w:start w:val="1"/>
      <w:numFmt w:val="bullet"/>
      <w:lvlText w:val="o"/>
      <w:lvlJc w:val="left"/>
      <w:pPr>
        <w:tabs>
          <w:tab w:val="num" w:pos="3600"/>
        </w:tabs>
        <w:ind w:left="3600" w:hanging="360"/>
      </w:pPr>
      <w:rPr>
        <w:rFonts w:ascii="Courier New" w:hAnsi="Courier New" w:hint="default"/>
      </w:rPr>
    </w:lvl>
    <w:lvl w:ilvl="5" w:tplc="452C06AC" w:tentative="1">
      <w:start w:val="1"/>
      <w:numFmt w:val="bullet"/>
      <w:lvlText w:val=""/>
      <w:lvlJc w:val="left"/>
      <w:pPr>
        <w:tabs>
          <w:tab w:val="num" w:pos="4320"/>
        </w:tabs>
        <w:ind w:left="4320" w:hanging="360"/>
      </w:pPr>
      <w:rPr>
        <w:rFonts w:ascii="Wingdings" w:hAnsi="Wingdings" w:hint="default"/>
      </w:rPr>
    </w:lvl>
    <w:lvl w:ilvl="6" w:tplc="42DAFDB6" w:tentative="1">
      <w:start w:val="1"/>
      <w:numFmt w:val="bullet"/>
      <w:lvlText w:val=""/>
      <w:lvlJc w:val="left"/>
      <w:pPr>
        <w:tabs>
          <w:tab w:val="num" w:pos="5040"/>
        </w:tabs>
        <w:ind w:left="5040" w:hanging="360"/>
      </w:pPr>
      <w:rPr>
        <w:rFonts w:ascii="Symbol" w:hAnsi="Symbol" w:hint="default"/>
      </w:rPr>
    </w:lvl>
    <w:lvl w:ilvl="7" w:tplc="D9FC531C" w:tentative="1">
      <w:start w:val="1"/>
      <w:numFmt w:val="bullet"/>
      <w:lvlText w:val="o"/>
      <w:lvlJc w:val="left"/>
      <w:pPr>
        <w:tabs>
          <w:tab w:val="num" w:pos="5760"/>
        </w:tabs>
        <w:ind w:left="5760" w:hanging="360"/>
      </w:pPr>
      <w:rPr>
        <w:rFonts w:ascii="Courier New" w:hAnsi="Courier New" w:hint="default"/>
      </w:rPr>
    </w:lvl>
    <w:lvl w:ilvl="8" w:tplc="F19EEF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E0C3C1E"/>
    <w:multiLevelType w:val="hybridMultilevel"/>
    <w:tmpl w:val="BCC6941C"/>
    <w:lvl w:ilvl="0" w:tplc="544C619A">
      <w:start w:val="1"/>
      <w:numFmt w:val="upperLetter"/>
      <w:pStyle w:val="Style3"/>
      <w:suff w:val="space"/>
      <w:lvlText w:val="%1."/>
      <w:lvlJc w:val="left"/>
      <w:pPr>
        <w:ind w:left="0" w:firstLine="0"/>
      </w:pPr>
      <w:rPr>
        <w:rFonts w:hint="default"/>
      </w:rPr>
    </w:lvl>
    <w:lvl w:ilvl="1" w:tplc="CFB4A218" w:tentative="1">
      <w:start w:val="1"/>
      <w:numFmt w:val="lowerLetter"/>
      <w:lvlText w:val="%2."/>
      <w:lvlJc w:val="left"/>
      <w:pPr>
        <w:ind w:left="1440" w:hanging="360"/>
      </w:pPr>
    </w:lvl>
    <w:lvl w:ilvl="2" w:tplc="E63C2D90" w:tentative="1">
      <w:start w:val="1"/>
      <w:numFmt w:val="lowerRoman"/>
      <w:lvlText w:val="%3."/>
      <w:lvlJc w:val="right"/>
      <w:pPr>
        <w:ind w:left="2160" w:hanging="180"/>
      </w:pPr>
    </w:lvl>
    <w:lvl w:ilvl="3" w:tplc="37E0E5DE" w:tentative="1">
      <w:start w:val="1"/>
      <w:numFmt w:val="decimal"/>
      <w:lvlText w:val="%4."/>
      <w:lvlJc w:val="left"/>
      <w:pPr>
        <w:ind w:left="2880" w:hanging="360"/>
      </w:pPr>
    </w:lvl>
    <w:lvl w:ilvl="4" w:tplc="06A89F40" w:tentative="1">
      <w:start w:val="1"/>
      <w:numFmt w:val="lowerLetter"/>
      <w:lvlText w:val="%5."/>
      <w:lvlJc w:val="left"/>
      <w:pPr>
        <w:ind w:left="3600" w:hanging="360"/>
      </w:pPr>
    </w:lvl>
    <w:lvl w:ilvl="5" w:tplc="E5CED152" w:tentative="1">
      <w:start w:val="1"/>
      <w:numFmt w:val="lowerRoman"/>
      <w:lvlText w:val="%6."/>
      <w:lvlJc w:val="right"/>
      <w:pPr>
        <w:ind w:left="4320" w:hanging="180"/>
      </w:pPr>
    </w:lvl>
    <w:lvl w:ilvl="6" w:tplc="CD3293FA" w:tentative="1">
      <w:start w:val="1"/>
      <w:numFmt w:val="decimal"/>
      <w:lvlText w:val="%7."/>
      <w:lvlJc w:val="left"/>
      <w:pPr>
        <w:ind w:left="5040" w:hanging="360"/>
      </w:pPr>
    </w:lvl>
    <w:lvl w:ilvl="7" w:tplc="83C6A416" w:tentative="1">
      <w:start w:val="1"/>
      <w:numFmt w:val="lowerLetter"/>
      <w:lvlText w:val="%8."/>
      <w:lvlJc w:val="left"/>
      <w:pPr>
        <w:ind w:left="5760" w:hanging="360"/>
      </w:pPr>
    </w:lvl>
    <w:lvl w:ilvl="8" w:tplc="54F25374" w:tentative="1">
      <w:start w:val="1"/>
      <w:numFmt w:val="lowerRoman"/>
      <w:lvlText w:val="%9."/>
      <w:lvlJc w:val="right"/>
      <w:pPr>
        <w:ind w:left="6480" w:hanging="180"/>
      </w:pPr>
    </w:lvl>
  </w:abstractNum>
  <w:abstractNum w:abstractNumId="30" w15:restartNumberingAfterBreak="0">
    <w:nsid w:val="630E67BF"/>
    <w:multiLevelType w:val="hybridMultilevel"/>
    <w:tmpl w:val="B1D854E2"/>
    <w:lvl w:ilvl="0" w:tplc="B3B4AD84">
      <w:start w:val="1"/>
      <w:numFmt w:val="bullet"/>
      <w:lvlText w:val=""/>
      <w:lvlJc w:val="left"/>
      <w:pPr>
        <w:tabs>
          <w:tab w:val="num" w:pos="278"/>
        </w:tabs>
        <w:ind w:left="278" w:hanging="360"/>
      </w:pPr>
      <w:rPr>
        <w:rFonts w:ascii="Symbol" w:hAnsi="Symbol" w:hint="default"/>
      </w:rPr>
    </w:lvl>
    <w:lvl w:ilvl="1" w:tplc="3286B92C" w:tentative="1">
      <w:start w:val="1"/>
      <w:numFmt w:val="bullet"/>
      <w:lvlText w:val="o"/>
      <w:lvlJc w:val="left"/>
      <w:pPr>
        <w:tabs>
          <w:tab w:val="num" w:pos="1440"/>
        </w:tabs>
        <w:ind w:left="1440" w:hanging="360"/>
      </w:pPr>
      <w:rPr>
        <w:rFonts w:ascii="Courier New" w:hAnsi="Courier New" w:hint="default"/>
      </w:rPr>
    </w:lvl>
    <w:lvl w:ilvl="2" w:tplc="59186BEE" w:tentative="1">
      <w:start w:val="1"/>
      <w:numFmt w:val="bullet"/>
      <w:lvlText w:val=""/>
      <w:lvlJc w:val="left"/>
      <w:pPr>
        <w:tabs>
          <w:tab w:val="num" w:pos="2160"/>
        </w:tabs>
        <w:ind w:left="2160" w:hanging="360"/>
      </w:pPr>
      <w:rPr>
        <w:rFonts w:ascii="Wingdings" w:hAnsi="Wingdings" w:hint="default"/>
      </w:rPr>
    </w:lvl>
    <w:lvl w:ilvl="3" w:tplc="20166594" w:tentative="1">
      <w:start w:val="1"/>
      <w:numFmt w:val="bullet"/>
      <w:lvlText w:val=""/>
      <w:lvlJc w:val="left"/>
      <w:pPr>
        <w:tabs>
          <w:tab w:val="num" w:pos="2880"/>
        </w:tabs>
        <w:ind w:left="2880" w:hanging="360"/>
      </w:pPr>
      <w:rPr>
        <w:rFonts w:ascii="Symbol" w:hAnsi="Symbol" w:hint="default"/>
      </w:rPr>
    </w:lvl>
    <w:lvl w:ilvl="4" w:tplc="5BA42542" w:tentative="1">
      <w:start w:val="1"/>
      <w:numFmt w:val="bullet"/>
      <w:lvlText w:val="o"/>
      <w:lvlJc w:val="left"/>
      <w:pPr>
        <w:tabs>
          <w:tab w:val="num" w:pos="3600"/>
        </w:tabs>
        <w:ind w:left="3600" w:hanging="360"/>
      </w:pPr>
      <w:rPr>
        <w:rFonts w:ascii="Courier New" w:hAnsi="Courier New" w:hint="default"/>
      </w:rPr>
    </w:lvl>
    <w:lvl w:ilvl="5" w:tplc="A5D2D390" w:tentative="1">
      <w:start w:val="1"/>
      <w:numFmt w:val="bullet"/>
      <w:lvlText w:val=""/>
      <w:lvlJc w:val="left"/>
      <w:pPr>
        <w:tabs>
          <w:tab w:val="num" w:pos="4320"/>
        </w:tabs>
        <w:ind w:left="4320" w:hanging="360"/>
      </w:pPr>
      <w:rPr>
        <w:rFonts w:ascii="Wingdings" w:hAnsi="Wingdings" w:hint="default"/>
      </w:rPr>
    </w:lvl>
    <w:lvl w:ilvl="6" w:tplc="D986A220" w:tentative="1">
      <w:start w:val="1"/>
      <w:numFmt w:val="bullet"/>
      <w:lvlText w:val=""/>
      <w:lvlJc w:val="left"/>
      <w:pPr>
        <w:tabs>
          <w:tab w:val="num" w:pos="5040"/>
        </w:tabs>
        <w:ind w:left="5040" w:hanging="360"/>
      </w:pPr>
      <w:rPr>
        <w:rFonts w:ascii="Symbol" w:hAnsi="Symbol" w:hint="default"/>
      </w:rPr>
    </w:lvl>
    <w:lvl w:ilvl="7" w:tplc="1A68901E" w:tentative="1">
      <w:start w:val="1"/>
      <w:numFmt w:val="bullet"/>
      <w:lvlText w:val="o"/>
      <w:lvlJc w:val="left"/>
      <w:pPr>
        <w:tabs>
          <w:tab w:val="num" w:pos="5760"/>
        </w:tabs>
        <w:ind w:left="5760" w:hanging="360"/>
      </w:pPr>
      <w:rPr>
        <w:rFonts w:ascii="Courier New" w:hAnsi="Courier New" w:hint="default"/>
      </w:rPr>
    </w:lvl>
    <w:lvl w:ilvl="8" w:tplc="3338644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D9E1E82">
      <w:start w:val="1"/>
      <w:numFmt w:val="decimal"/>
      <w:lvlText w:val="%1."/>
      <w:lvlJc w:val="left"/>
      <w:pPr>
        <w:tabs>
          <w:tab w:val="num" w:pos="720"/>
        </w:tabs>
        <w:ind w:left="720" w:hanging="360"/>
      </w:pPr>
    </w:lvl>
    <w:lvl w:ilvl="1" w:tplc="E17E1B9A" w:tentative="1">
      <w:start w:val="1"/>
      <w:numFmt w:val="lowerLetter"/>
      <w:lvlText w:val="%2."/>
      <w:lvlJc w:val="left"/>
      <w:pPr>
        <w:tabs>
          <w:tab w:val="num" w:pos="1440"/>
        </w:tabs>
        <w:ind w:left="1440" w:hanging="360"/>
      </w:pPr>
    </w:lvl>
    <w:lvl w:ilvl="2" w:tplc="379A610A" w:tentative="1">
      <w:start w:val="1"/>
      <w:numFmt w:val="lowerRoman"/>
      <w:lvlText w:val="%3."/>
      <w:lvlJc w:val="right"/>
      <w:pPr>
        <w:tabs>
          <w:tab w:val="num" w:pos="2160"/>
        </w:tabs>
        <w:ind w:left="2160" w:hanging="180"/>
      </w:pPr>
    </w:lvl>
    <w:lvl w:ilvl="3" w:tplc="21F2BEB4" w:tentative="1">
      <w:start w:val="1"/>
      <w:numFmt w:val="decimal"/>
      <w:lvlText w:val="%4."/>
      <w:lvlJc w:val="left"/>
      <w:pPr>
        <w:tabs>
          <w:tab w:val="num" w:pos="2880"/>
        </w:tabs>
        <w:ind w:left="2880" w:hanging="360"/>
      </w:pPr>
    </w:lvl>
    <w:lvl w:ilvl="4" w:tplc="AD320518" w:tentative="1">
      <w:start w:val="1"/>
      <w:numFmt w:val="lowerLetter"/>
      <w:lvlText w:val="%5."/>
      <w:lvlJc w:val="left"/>
      <w:pPr>
        <w:tabs>
          <w:tab w:val="num" w:pos="3600"/>
        </w:tabs>
        <w:ind w:left="3600" w:hanging="360"/>
      </w:pPr>
    </w:lvl>
    <w:lvl w:ilvl="5" w:tplc="D6D2C740" w:tentative="1">
      <w:start w:val="1"/>
      <w:numFmt w:val="lowerRoman"/>
      <w:lvlText w:val="%6."/>
      <w:lvlJc w:val="right"/>
      <w:pPr>
        <w:tabs>
          <w:tab w:val="num" w:pos="4320"/>
        </w:tabs>
        <w:ind w:left="4320" w:hanging="180"/>
      </w:pPr>
    </w:lvl>
    <w:lvl w:ilvl="6" w:tplc="56A2FC44" w:tentative="1">
      <w:start w:val="1"/>
      <w:numFmt w:val="decimal"/>
      <w:lvlText w:val="%7."/>
      <w:lvlJc w:val="left"/>
      <w:pPr>
        <w:tabs>
          <w:tab w:val="num" w:pos="5040"/>
        </w:tabs>
        <w:ind w:left="5040" w:hanging="360"/>
      </w:pPr>
    </w:lvl>
    <w:lvl w:ilvl="7" w:tplc="403474D6" w:tentative="1">
      <w:start w:val="1"/>
      <w:numFmt w:val="lowerLetter"/>
      <w:lvlText w:val="%8."/>
      <w:lvlJc w:val="left"/>
      <w:pPr>
        <w:tabs>
          <w:tab w:val="num" w:pos="5760"/>
        </w:tabs>
        <w:ind w:left="5760" w:hanging="360"/>
      </w:pPr>
    </w:lvl>
    <w:lvl w:ilvl="8" w:tplc="CC988AF8"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8E4A53BE">
      <w:start w:val="4"/>
      <w:numFmt w:val="upperLetter"/>
      <w:lvlText w:val="%1."/>
      <w:lvlJc w:val="left"/>
      <w:pPr>
        <w:tabs>
          <w:tab w:val="num" w:pos="930"/>
        </w:tabs>
        <w:ind w:left="930" w:hanging="570"/>
      </w:pPr>
      <w:rPr>
        <w:rFonts w:hint="default"/>
      </w:rPr>
    </w:lvl>
    <w:lvl w:ilvl="1" w:tplc="1D2C7B76" w:tentative="1">
      <w:start w:val="1"/>
      <w:numFmt w:val="lowerLetter"/>
      <w:lvlText w:val="%2."/>
      <w:lvlJc w:val="left"/>
      <w:pPr>
        <w:tabs>
          <w:tab w:val="num" w:pos="1440"/>
        </w:tabs>
        <w:ind w:left="1440" w:hanging="360"/>
      </w:pPr>
    </w:lvl>
    <w:lvl w:ilvl="2" w:tplc="DE3C3692" w:tentative="1">
      <w:start w:val="1"/>
      <w:numFmt w:val="lowerRoman"/>
      <w:lvlText w:val="%3."/>
      <w:lvlJc w:val="right"/>
      <w:pPr>
        <w:tabs>
          <w:tab w:val="num" w:pos="2160"/>
        </w:tabs>
        <w:ind w:left="2160" w:hanging="180"/>
      </w:pPr>
    </w:lvl>
    <w:lvl w:ilvl="3" w:tplc="CF580D76" w:tentative="1">
      <w:start w:val="1"/>
      <w:numFmt w:val="decimal"/>
      <w:lvlText w:val="%4."/>
      <w:lvlJc w:val="left"/>
      <w:pPr>
        <w:tabs>
          <w:tab w:val="num" w:pos="2880"/>
        </w:tabs>
        <w:ind w:left="2880" w:hanging="360"/>
      </w:pPr>
    </w:lvl>
    <w:lvl w:ilvl="4" w:tplc="D7FA525E" w:tentative="1">
      <w:start w:val="1"/>
      <w:numFmt w:val="lowerLetter"/>
      <w:lvlText w:val="%5."/>
      <w:lvlJc w:val="left"/>
      <w:pPr>
        <w:tabs>
          <w:tab w:val="num" w:pos="3600"/>
        </w:tabs>
        <w:ind w:left="3600" w:hanging="360"/>
      </w:pPr>
    </w:lvl>
    <w:lvl w:ilvl="5" w:tplc="3B52186E" w:tentative="1">
      <w:start w:val="1"/>
      <w:numFmt w:val="lowerRoman"/>
      <w:lvlText w:val="%6."/>
      <w:lvlJc w:val="right"/>
      <w:pPr>
        <w:tabs>
          <w:tab w:val="num" w:pos="4320"/>
        </w:tabs>
        <w:ind w:left="4320" w:hanging="180"/>
      </w:pPr>
    </w:lvl>
    <w:lvl w:ilvl="6" w:tplc="A9C8C87C" w:tentative="1">
      <w:start w:val="1"/>
      <w:numFmt w:val="decimal"/>
      <w:lvlText w:val="%7."/>
      <w:lvlJc w:val="left"/>
      <w:pPr>
        <w:tabs>
          <w:tab w:val="num" w:pos="5040"/>
        </w:tabs>
        <w:ind w:left="5040" w:hanging="360"/>
      </w:pPr>
    </w:lvl>
    <w:lvl w:ilvl="7" w:tplc="BCB4F586" w:tentative="1">
      <w:start w:val="1"/>
      <w:numFmt w:val="lowerLetter"/>
      <w:lvlText w:val="%8."/>
      <w:lvlJc w:val="left"/>
      <w:pPr>
        <w:tabs>
          <w:tab w:val="num" w:pos="5760"/>
        </w:tabs>
        <w:ind w:left="5760" w:hanging="360"/>
      </w:pPr>
    </w:lvl>
    <w:lvl w:ilvl="8" w:tplc="A1D6FEC4" w:tentative="1">
      <w:start w:val="1"/>
      <w:numFmt w:val="lowerRoman"/>
      <w:lvlText w:val="%9."/>
      <w:lvlJc w:val="right"/>
      <w:pPr>
        <w:tabs>
          <w:tab w:val="num" w:pos="6480"/>
        </w:tabs>
        <w:ind w:left="6480" w:hanging="180"/>
      </w:pPr>
    </w:lvl>
  </w:abstractNum>
  <w:abstractNum w:abstractNumId="38" w15:restartNumberingAfterBreak="0">
    <w:nsid w:val="75E1091A"/>
    <w:multiLevelType w:val="hybridMultilevel"/>
    <w:tmpl w:val="9D5C3D80"/>
    <w:lvl w:ilvl="0" w:tplc="6CE29774">
      <w:start w:val="1"/>
      <w:numFmt w:val="decimal"/>
      <w:lvlText w:val="%1."/>
      <w:lvlJc w:val="left"/>
      <w:pPr>
        <w:ind w:left="720" w:hanging="360"/>
      </w:pPr>
    </w:lvl>
    <w:lvl w:ilvl="1" w:tplc="EB0CEEA4" w:tentative="1">
      <w:start w:val="1"/>
      <w:numFmt w:val="lowerLetter"/>
      <w:lvlText w:val="%2."/>
      <w:lvlJc w:val="left"/>
      <w:pPr>
        <w:ind w:left="1440" w:hanging="360"/>
      </w:pPr>
    </w:lvl>
    <w:lvl w:ilvl="2" w:tplc="D340EDB6" w:tentative="1">
      <w:start w:val="1"/>
      <w:numFmt w:val="lowerRoman"/>
      <w:lvlText w:val="%3."/>
      <w:lvlJc w:val="right"/>
      <w:pPr>
        <w:ind w:left="2160" w:hanging="180"/>
      </w:pPr>
    </w:lvl>
    <w:lvl w:ilvl="3" w:tplc="1FE287B4" w:tentative="1">
      <w:start w:val="1"/>
      <w:numFmt w:val="decimal"/>
      <w:lvlText w:val="%4."/>
      <w:lvlJc w:val="left"/>
      <w:pPr>
        <w:ind w:left="2880" w:hanging="360"/>
      </w:pPr>
    </w:lvl>
    <w:lvl w:ilvl="4" w:tplc="970061E0" w:tentative="1">
      <w:start w:val="1"/>
      <w:numFmt w:val="lowerLetter"/>
      <w:lvlText w:val="%5."/>
      <w:lvlJc w:val="left"/>
      <w:pPr>
        <w:ind w:left="3600" w:hanging="360"/>
      </w:pPr>
    </w:lvl>
    <w:lvl w:ilvl="5" w:tplc="23F28494" w:tentative="1">
      <w:start w:val="1"/>
      <w:numFmt w:val="lowerRoman"/>
      <w:lvlText w:val="%6."/>
      <w:lvlJc w:val="right"/>
      <w:pPr>
        <w:ind w:left="4320" w:hanging="180"/>
      </w:pPr>
    </w:lvl>
    <w:lvl w:ilvl="6" w:tplc="BB82F6A8" w:tentative="1">
      <w:start w:val="1"/>
      <w:numFmt w:val="decimal"/>
      <w:lvlText w:val="%7."/>
      <w:lvlJc w:val="left"/>
      <w:pPr>
        <w:ind w:left="5040" w:hanging="360"/>
      </w:pPr>
    </w:lvl>
    <w:lvl w:ilvl="7" w:tplc="56D80BDC" w:tentative="1">
      <w:start w:val="1"/>
      <w:numFmt w:val="lowerLetter"/>
      <w:lvlText w:val="%8."/>
      <w:lvlJc w:val="left"/>
      <w:pPr>
        <w:ind w:left="5760" w:hanging="360"/>
      </w:pPr>
    </w:lvl>
    <w:lvl w:ilvl="8" w:tplc="4F9C78A8" w:tentative="1">
      <w:start w:val="1"/>
      <w:numFmt w:val="lowerRoman"/>
      <w:lvlText w:val="%9."/>
      <w:lvlJc w:val="right"/>
      <w:pPr>
        <w:ind w:left="6480" w:hanging="180"/>
      </w:pPr>
    </w:lvl>
  </w:abstractNum>
  <w:abstractNum w:abstractNumId="39" w15:restartNumberingAfterBreak="0">
    <w:nsid w:val="77886615"/>
    <w:multiLevelType w:val="hybridMultilevel"/>
    <w:tmpl w:val="0246707C"/>
    <w:lvl w:ilvl="0" w:tplc="F872AF4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8A5987"/>
    <w:multiLevelType w:val="hybridMultilevel"/>
    <w:tmpl w:val="D73EEE10"/>
    <w:lvl w:ilvl="0" w:tplc="2634FED6">
      <w:start w:val="1"/>
      <w:numFmt w:val="bullet"/>
      <w:lvlText w:val=""/>
      <w:lvlJc w:val="left"/>
      <w:pPr>
        <w:tabs>
          <w:tab w:val="num" w:pos="278"/>
        </w:tabs>
        <w:ind w:left="278" w:hanging="360"/>
      </w:pPr>
      <w:rPr>
        <w:rFonts w:ascii="Symbol" w:hAnsi="Symbol" w:hint="default"/>
      </w:rPr>
    </w:lvl>
    <w:lvl w:ilvl="1" w:tplc="10804248">
      <w:start w:val="1"/>
      <w:numFmt w:val="bullet"/>
      <w:lvlText w:val="o"/>
      <w:lvlJc w:val="left"/>
      <w:pPr>
        <w:tabs>
          <w:tab w:val="num" w:pos="1440"/>
        </w:tabs>
        <w:ind w:left="1440" w:hanging="360"/>
      </w:pPr>
      <w:rPr>
        <w:rFonts w:ascii="Courier New" w:hAnsi="Courier New" w:hint="default"/>
      </w:rPr>
    </w:lvl>
    <w:lvl w:ilvl="2" w:tplc="3E26B07A" w:tentative="1">
      <w:start w:val="1"/>
      <w:numFmt w:val="bullet"/>
      <w:lvlText w:val=""/>
      <w:lvlJc w:val="left"/>
      <w:pPr>
        <w:tabs>
          <w:tab w:val="num" w:pos="2160"/>
        </w:tabs>
        <w:ind w:left="2160" w:hanging="360"/>
      </w:pPr>
      <w:rPr>
        <w:rFonts w:ascii="Wingdings" w:hAnsi="Wingdings" w:hint="default"/>
      </w:rPr>
    </w:lvl>
    <w:lvl w:ilvl="3" w:tplc="AEF09966" w:tentative="1">
      <w:start w:val="1"/>
      <w:numFmt w:val="bullet"/>
      <w:lvlText w:val=""/>
      <w:lvlJc w:val="left"/>
      <w:pPr>
        <w:tabs>
          <w:tab w:val="num" w:pos="2880"/>
        </w:tabs>
        <w:ind w:left="2880" w:hanging="360"/>
      </w:pPr>
      <w:rPr>
        <w:rFonts w:ascii="Symbol" w:hAnsi="Symbol" w:hint="default"/>
      </w:rPr>
    </w:lvl>
    <w:lvl w:ilvl="4" w:tplc="8752ECF8" w:tentative="1">
      <w:start w:val="1"/>
      <w:numFmt w:val="bullet"/>
      <w:lvlText w:val="o"/>
      <w:lvlJc w:val="left"/>
      <w:pPr>
        <w:tabs>
          <w:tab w:val="num" w:pos="3600"/>
        </w:tabs>
        <w:ind w:left="3600" w:hanging="360"/>
      </w:pPr>
      <w:rPr>
        <w:rFonts w:ascii="Courier New" w:hAnsi="Courier New" w:hint="default"/>
      </w:rPr>
    </w:lvl>
    <w:lvl w:ilvl="5" w:tplc="99968A66" w:tentative="1">
      <w:start w:val="1"/>
      <w:numFmt w:val="bullet"/>
      <w:lvlText w:val=""/>
      <w:lvlJc w:val="left"/>
      <w:pPr>
        <w:tabs>
          <w:tab w:val="num" w:pos="4320"/>
        </w:tabs>
        <w:ind w:left="4320" w:hanging="360"/>
      </w:pPr>
      <w:rPr>
        <w:rFonts w:ascii="Wingdings" w:hAnsi="Wingdings" w:hint="default"/>
      </w:rPr>
    </w:lvl>
    <w:lvl w:ilvl="6" w:tplc="D804BD88" w:tentative="1">
      <w:start w:val="1"/>
      <w:numFmt w:val="bullet"/>
      <w:lvlText w:val=""/>
      <w:lvlJc w:val="left"/>
      <w:pPr>
        <w:tabs>
          <w:tab w:val="num" w:pos="5040"/>
        </w:tabs>
        <w:ind w:left="5040" w:hanging="360"/>
      </w:pPr>
      <w:rPr>
        <w:rFonts w:ascii="Symbol" w:hAnsi="Symbol" w:hint="default"/>
      </w:rPr>
    </w:lvl>
    <w:lvl w:ilvl="7" w:tplc="BEAEB0B4" w:tentative="1">
      <w:start w:val="1"/>
      <w:numFmt w:val="bullet"/>
      <w:lvlText w:val="o"/>
      <w:lvlJc w:val="left"/>
      <w:pPr>
        <w:tabs>
          <w:tab w:val="num" w:pos="5760"/>
        </w:tabs>
        <w:ind w:left="5760" w:hanging="360"/>
      </w:pPr>
      <w:rPr>
        <w:rFonts w:ascii="Courier New" w:hAnsi="Courier New" w:hint="default"/>
      </w:rPr>
    </w:lvl>
    <w:lvl w:ilvl="8" w:tplc="608418E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4"/>
  </w:num>
  <w:num w:numId="6">
    <w:abstractNumId w:val="26"/>
  </w:num>
  <w:num w:numId="7">
    <w:abstractNumId w:val="21"/>
  </w:num>
  <w:num w:numId="8">
    <w:abstractNumId w:val="9"/>
  </w:num>
  <w:num w:numId="9">
    <w:abstractNumId w:val="32"/>
  </w:num>
  <w:num w:numId="10">
    <w:abstractNumId w:val="33"/>
  </w:num>
  <w:num w:numId="11">
    <w:abstractNumId w:val="16"/>
  </w:num>
  <w:num w:numId="12">
    <w:abstractNumId w:val="15"/>
  </w:num>
  <w:num w:numId="13">
    <w:abstractNumId w:val="3"/>
  </w:num>
  <w:num w:numId="14">
    <w:abstractNumId w:val="31"/>
  </w:num>
  <w:num w:numId="15">
    <w:abstractNumId w:val="19"/>
  </w:num>
  <w:num w:numId="16">
    <w:abstractNumId w:val="36"/>
  </w:num>
  <w:num w:numId="17">
    <w:abstractNumId w:val="10"/>
  </w:num>
  <w:num w:numId="18">
    <w:abstractNumId w:val="1"/>
  </w:num>
  <w:num w:numId="19">
    <w:abstractNumId w:val="17"/>
  </w:num>
  <w:num w:numId="20">
    <w:abstractNumId w:val="4"/>
  </w:num>
  <w:num w:numId="21">
    <w:abstractNumId w:val="8"/>
  </w:num>
  <w:num w:numId="22">
    <w:abstractNumId w:val="28"/>
  </w:num>
  <w:num w:numId="23">
    <w:abstractNumId w:val="37"/>
  </w:num>
  <w:num w:numId="24">
    <w:abstractNumId w:val="23"/>
  </w:num>
  <w:num w:numId="25">
    <w:abstractNumId w:val="11"/>
  </w:num>
  <w:num w:numId="26">
    <w:abstractNumId w:val="13"/>
  </w:num>
  <w:num w:numId="27">
    <w:abstractNumId w:val="6"/>
  </w:num>
  <w:num w:numId="28">
    <w:abstractNumId w:val="7"/>
  </w:num>
  <w:num w:numId="29">
    <w:abstractNumId w:val="24"/>
  </w:num>
  <w:num w:numId="30">
    <w:abstractNumId w:val="40"/>
  </w:num>
  <w:num w:numId="31">
    <w:abstractNumId w:val="41"/>
  </w:num>
  <w:num w:numId="32">
    <w:abstractNumId w:val="22"/>
  </w:num>
  <w:num w:numId="33">
    <w:abstractNumId w:val="30"/>
  </w:num>
  <w:num w:numId="34">
    <w:abstractNumId w:val="25"/>
  </w:num>
  <w:num w:numId="35">
    <w:abstractNumId w:val="2"/>
  </w:num>
  <w:num w:numId="36">
    <w:abstractNumId w:val="5"/>
  </w:num>
  <w:num w:numId="37">
    <w:abstractNumId w:val="27"/>
  </w:num>
  <w:num w:numId="38">
    <w:abstractNumId w:val="18"/>
  </w:num>
  <w:num w:numId="39">
    <w:abstractNumId w:val="38"/>
  </w:num>
  <w:num w:numId="40">
    <w:abstractNumId w:val="29"/>
  </w:num>
  <w:num w:numId="41">
    <w:abstractNumId w:val="20"/>
  </w:num>
  <w:num w:numId="42">
    <w:abstractNumId w:val="0"/>
    <w:lvlOverride w:ilvl="0">
      <w:lvl w:ilvl="0">
        <w:numFmt w:val="bullet"/>
        <w:lvlText w:val=""/>
        <w:legacy w:legacy="1" w:legacySpace="0" w:legacyIndent="360"/>
        <w:lvlJc w:val="left"/>
        <w:rPr>
          <w:rFonts w:ascii="Symbol" w:hAnsi="Symbol" w:cs="Symbol" w:hint="default"/>
        </w:rPr>
      </w:lvl>
    </w:lvlOverride>
  </w:num>
  <w:num w:numId="43">
    <w:abstractNumId w:val="1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52D2B"/>
    <w:rsid w:val="00054F55"/>
    <w:rsid w:val="00056EE7"/>
    <w:rsid w:val="00062945"/>
    <w:rsid w:val="00063946"/>
    <w:rsid w:val="00067023"/>
    <w:rsid w:val="00070291"/>
    <w:rsid w:val="000728D5"/>
    <w:rsid w:val="00080453"/>
    <w:rsid w:val="0008169A"/>
    <w:rsid w:val="00082200"/>
    <w:rsid w:val="000838BB"/>
    <w:rsid w:val="000860CE"/>
    <w:rsid w:val="00092A37"/>
    <w:rsid w:val="000938A6"/>
    <w:rsid w:val="00096E78"/>
    <w:rsid w:val="00097C1E"/>
    <w:rsid w:val="000A1DF5"/>
    <w:rsid w:val="000B2073"/>
    <w:rsid w:val="000B44FC"/>
    <w:rsid w:val="000B7873"/>
    <w:rsid w:val="000C02A1"/>
    <w:rsid w:val="000C1D4F"/>
    <w:rsid w:val="000C2646"/>
    <w:rsid w:val="000C3ED7"/>
    <w:rsid w:val="000C55E6"/>
    <w:rsid w:val="000C687A"/>
    <w:rsid w:val="000D57DD"/>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0AA1"/>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06DF"/>
    <w:rsid w:val="001B1C77"/>
    <w:rsid w:val="001B26EB"/>
    <w:rsid w:val="001B6F4A"/>
    <w:rsid w:val="001B7B38"/>
    <w:rsid w:val="001C5288"/>
    <w:rsid w:val="001C5B03"/>
    <w:rsid w:val="001D4CE4"/>
    <w:rsid w:val="001D6052"/>
    <w:rsid w:val="001D6D96"/>
    <w:rsid w:val="001D77F6"/>
    <w:rsid w:val="001E5621"/>
    <w:rsid w:val="001F04BB"/>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33B4"/>
    <w:rsid w:val="002446DC"/>
    <w:rsid w:val="00247A48"/>
    <w:rsid w:val="00250DD1"/>
    <w:rsid w:val="00251183"/>
    <w:rsid w:val="00251689"/>
    <w:rsid w:val="0025267C"/>
    <w:rsid w:val="00253B6B"/>
    <w:rsid w:val="00256705"/>
    <w:rsid w:val="00256A03"/>
    <w:rsid w:val="0025748D"/>
    <w:rsid w:val="00265656"/>
    <w:rsid w:val="00265E77"/>
    <w:rsid w:val="00266155"/>
    <w:rsid w:val="00266E7B"/>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5C88"/>
    <w:rsid w:val="002B6560"/>
    <w:rsid w:val="002B6599"/>
    <w:rsid w:val="002C1F27"/>
    <w:rsid w:val="002C532A"/>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200D"/>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2ED5"/>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C6CA1"/>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9DC"/>
    <w:rsid w:val="00414B20"/>
    <w:rsid w:val="0041628A"/>
    <w:rsid w:val="00417DE3"/>
    <w:rsid w:val="00420850"/>
    <w:rsid w:val="00421270"/>
    <w:rsid w:val="004236B5"/>
    <w:rsid w:val="00423968"/>
    <w:rsid w:val="00427054"/>
    <w:rsid w:val="004270DD"/>
    <w:rsid w:val="004304B1"/>
    <w:rsid w:val="00432DA8"/>
    <w:rsid w:val="0043316E"/>
    <w:rsid w:val="0043320A"/>
    <w:rsid w:val="004332E3"/>
    <w:rsid w:val="0043586F"/>
    <w:rsid w:val="004371A3"/>
    <w:rsid w:val="00446960"/>
    <w:rsid w:val="00446F37"/>
    <w:rsid w:val="004518A6"/>
    <w:rsid w:val="00453E1D"/>
    <w:rsid w:val="00454589"/>
    <w:rsid w:val="00454902"/>
    <w:rsid w:val="00456ED0"/>
    <w:rsid w:val="00457550"/>
    <w:rsid w:val="00457B74"/>
    <w:rsid w:val="00461B2A"/>
    <w:rsid w:val="004620A4"/>
    <w:rsid w:val="00474C50"/>
    <w:rsid w:val="00475BAF"/>
    <w:rsid w:val="004768DB"/>
    <w:rsid w:val="004771F9"/>
    <w:rsid w:val="00486006"/>
    <w:rsid w:val="00486BAD"/>
    <w:rsid w:val="00486BBE"/>
    <w:rsid w:val="00487123"/>
    <w:rsid w:val="00495A75"/>
    <w:rsid w:val="00495CAE"/>
    <w:rsid w:val="0049641F"/>
    <w:rsid w:val="00497DE6"/>
    <w:rsid w:val="004A005B"/>
    <w:rsid w:val="004A1BD5"/>
    <w:rsid w:val="004A61E1"/>
    <w:rsid w:val="004A62ED"/>
    <w:rsid w:val="004B1A75"/>
    <w:rsid w:val="004B2344"/>
    <w:rsid w:val="004B5797"/>
    <w:rsid w:val="004B5DDC"/>
    <w:rsid w:val="004B798E"/>
    <w:rsid w:val="004C0568"/>
    <w:rsid w:val="004C2ABD"/>
    <w:rsid w:val="004C5F62"/>
    <w:rsid w:val="004D2601"/>
    <w:rsid w:val="004D26EA"/>
    <w:rsid w:val="004D3E58"/>
    <w:rsid w:val="004D6746"/>
    <w:rsid w:val="004D767B"/>
    <w:rsid w:val="004E0D9E"/>
    <w:rsid w:val="004E0F32"/>
    <w:rsid w:val="004E23A1"/>
    <w:rsid w:val="004E493C"/>
    <w:rsid w:val="004E623E"/>
    <w:rsid w:val="004E7092"/>
    <w:rsid w:val="004E7ECE"/>
    <w:rsid w:val="004F449E"/>
    <w:rsid w:val="004F4DB1"/>
    <w:rsid w:val="004F6F64"/>
    <w:rsid w:val="005004EC"/>
    <w:rsid w:val="00501DF1"/>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1949"/>
    <w:rsid w:val="005A4CBE"/>
    <w:rsid w:val="005B04A8"/>
    <w:rsid w:val="005B1FD0"/>
    <w:rsid w:val="005B28AD"/>
    <w:rsid w:val="005B328D"/>
    <w:rsid w:val="005B3503"/>
    <w:rsid w:val="005B3EE7"/>
    <w:rsid w:val="005B4DCD"/>
    <w:rsid w:val="005B4FAD"/>
    <w:rsid w:val="005C276A"/>
    <w:rsid w:val="005C4E23"/>
    <w:rsid w:val="005C75DD"/>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0ABF"/>
    <w:rsid w:val="006128F0"/>
    <w:rsid w:val="00616F9E"/>
    <w:rsid w:val="0061726B"/>
    <w:rsid w:val="00617B81"/>
    <w:rsid w:val="00620FEF"/>
    <w:rsid w:val="0062387A"/>
    <w:rsid w:val="006326D8"/>
    <w:rsid w:val="0063377D"/>
    <w:rsid w:val="006344BE"/>
    <w:rsid w:val="00634A66"/>
    <w:rsid w:val="00635BF3"/>
    <w:rsid w:val="00640336"/>
    <w:rsid w:val="00640FC9"/>
    <w:rsid w:val="006414D3"/>
    <w:rsid w:val="006432F2"/>
    <w:rsid w:val="0065320F"/>
    <w:rsid w:val="00653D64"/>
    <w:rsid w:val="00654E13"/>
    <w:rsid w:val="0066356A"/>
    <w:rsid w:val="00667489"/>
    <w:rsid w:val="00667A57"/>
    <w:rsid w:val="00670D44"/>
    <w:rsid w:val="00673F4C"/>
    <w:rsid w:val="00676AFC"/>
    <w:rsid w:val="006807CD"/>
    <w:rsid w:val="00682D43"/>
    <w:rsid w:val="0068507D"/>
    <w:rsid w:val="00685BAF"/>
    <w:rsid w:val="00687332"/>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E3364"/>
    <w:rsid w:val="006F148B"/>
    <w:rsid w:val="006F4FBF"/>
    <w:rsid w:val="006F53D3"/>
    <w:rsid w:val="00705EAF"/>
    <w:rsid w:val="0070773E"/>
    <w:rsid w:val="007101CC"/>
    <w:rsid w:val="00715C55"/>
    <w:rsid w:val="00717CF0"/>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87F06"/>
    <w:rsid w:val="00792A66"/>
    <w:rsid w:val="007974D1"/>
    <w:rsid w:val="007A286D"/>
    <w:rsid w:val="007A2FBC"/>
    <w:rsid w:val="007A314D"/>
    <w:rsid w:val="007A38DF"/>
    <w:rsid w:val="007B00E5"/>
    <w:rsid w:val="007B20CF"/>
    <w:rsid w:val="007B2499"/>
    <w:rsid w:val="007B51D8"/>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0E92"/>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2F36"/>
    <w:rsid w:val="00874D4A"/>
    <w:rsid w:val="00875EC3"/>
    <w:rsid w:val="008763E7"/>
    <w:rsid w:val="008808C5"/>
    <w:rsid w:val="00881A7C"/>
    <w:rsid w:val="00883C78"/>
    <w:rsid w:val="00883F30"/>
    <w:rsid w:val="00884183"/>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B5219"/>
    <w:rsid w:val="008B5622"/>
    <w:rsid w:val="008C261B"/>
    <w:rsid w:val="008C2B29"/>
    <w:rsid w:val="008C4FCA"/>
    <w:rsid w:val="008C7882"/>
    <w:rsid w:val="008C7CE5"/>
    <w:rsid w:val="008D2261"/>
    <w:rsid w:val="008D4714"/>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16"/>
    <w:rsid w:val="00905CAB"/>
    <w:rsid w:val="009071BB"/>
    <w:rsid w:val="00911EB9"/>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24D1"/>
    <w:rsid w:val="00964F03"/>
    <w:rsid w:val="0096519D"/>
    <w:rsid w:val="00966F1F"/>
    <w:rsid w:val="00970088"/>
    <w:rsid w:val="00975676"/>
    <w:rsid w:val="00976467"/>
    <w:rsid w:val="00976D32"/>
    <w:rsid w:val="009844F7"/>
    <w:rsid w:val="00991FFB"/>
    <w:rsid w:val="009938F7"/>
    <w:rsid w:val="00995A7D"/>
    <w:rsid w:val="009A05AA"/>
    <w:rsid w:val="009A1800"/>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84E53"/>
    <w:rsid w:val="00A9226B"/>
    <w:rsid w:val="00A9575C"/>
    <w:rsid w:val="00A95B56"/>
    <w:rsid w:val="00A95E81"/>
    <w:rsid w:val="00A96656"/>
    <w:rsid w:val="00A969AF"/>
    <w:rsid w:val="00AA308A"/>
    <w:rsid w:val="00AA57A3"/>
    <w:rsid w:val="00AB1A2E"/>
    <w:rsid w:val="00AB328A"/>
    <w:rsid w:val="00AB4918"/>
    <w:rsid w:val="00AB4BC8"/>
    <w:rsid w:val="00AB6BA7"/>
    <w:rsid w:val="00AB7BE8"/>
    <w:rsid w:val="00AD0710"/>
    <w:rsid w:val="00AD4DB9"/>
    <w:rsid w:val="00AD56C7"/>
    <w:rsid w:val="00AD63C0"/>
    <w:rsid w:val="00AE35B2"/>
    <w:rsid w:val="00AE6AA0"/>
    <w:rsid w:val="00AF0D21"/>
    <w:rsid w:val="00AF34A6"/>
    <w:rsid w:val="00AF406C"/>
    <w:rsid w:val="00AF45ED"/>
    <w:rsid w:val="00B00CA4"/>
    <w:rsid w:val="00B02195"/>
    <w:rsid w:val="00B075D6"/>
    <w:rsid w:val="00B10790"/>
    <w:rsid w:val="00B113B9"/>
    <w:rsid w:val="00B119A2"/>
    <w:rsid w:val="00B13B6D"/>
    <w:rsid w:val="00B177F2"/>
    <w:rsid w:val="00B201F1"/>
    <w:rsid w:val="00B2603F"/>
    <w:rsid w:val="00B27884"/>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34DE"/>
    <w:rsid w:val="00BA5C89"/>
    <w:rsid w:val="00BA7198"/>
    <w:rsid w:val="00BB04EB"/>
    <w:rsid w:val="00BB2539"/>
    <w:rsid w:val="00BB4CE2"/>
    <w:rsid w:val="00BB5EF0"/>
    <w:rsid w:val="00BB6025"/>
    <w:rsid w:val="00BB6724"/>
    <w:rsid w:val="00BB6835"/>
    <w:rsid w:val="00BC0EFB"/>
    <w:rsid w:val="00BC2E39"/>
    <w:rsid w:val="00BD19FB"/>
    <w:rsid w:val="00BD2364"/>
    <w:rsid w:val="00BD28E3"/>
    <w:rsid w:val="00BD5DD3"/>
    <w:rsid w:val="00BE117E"/>
    <w:rsid w:val="00BE3261"/>
    <w:rsid w:val="00BF00EF"/>
    <w:rsid w:val="00BF23E1"/>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1700"/>
    <w:rsid w:val="00C42697"/>
    <w:rsid w:val="00C43F01"/>
    <w:rsid w:val="00C4587E"/>
    <w:rsid w:val="00C47552"/>
    <w:rsid w:val="00C56F31"/>
    <w:rsid w:val="00C57A81"/>
    <w:rsid w:val="00C60193"/>
    <w:rsid w:val="00C634D4"/>
    <w:rsid w:val="00C63AA5"/>
    <w:rsid w:val="00C65071"/>
    <w:rsid w:val="00C65FCC"/>
    <w:rsid w:val="00C6727C"/>
    <w:rsid w:val="00C6744C"/>
    <w:rsid w:val="00C72249"/>
    <w:rsid w:val="00C73134"/>
    <w:rsid w:val="00C73F6D"/>
    <w:rsid w:val="00C74F6E"/>
    <w:rsid w:val="00C77FA4"/>
    <w:rsid w:val="00C77FFA"/>
    <w:rsid w:val="00C80401"/>
    <w:rsid w:val="00C81C97"/>
    <w:rsid w:val="00C828CF"/>
    <w:rsid w:val="00C83A63"/>
    <w:rsid w:val="00C840C2"/>
    <w:rsid w:val="00C84101"/>
    <w:rsid w:val="00C8535F"/>
    <w:rsid w:val="00C90EDA"/>
    <w:rsid w:val="00C94327"/>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0557B"/>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55054"/>
    <w:rsid w:val="00D606B2"/>
    <w:rsid w:val="00D625A7"/>
    <w:rsid w:val="00D63575"/>
    <w:rsid w:val="00D64074"/>
    <w:rsid w:val="00D65777"/>
    <w:rsid w:val="00D728A0"/>
    <w:rsid w:val="00D74018"/>
    <w:rsid w:val="00D83661"/>
    <w:rsid w:val="00D84E15"/>
    <w:rsid w:val="00D9216A"/>
    <w:rsid w:val="00D95BBB"/>
    <w:rsid w:val="00D97E7D"/>
    <w:rsid w:val="00DA16B5"/>
    <w:rsid w:val="00DA2A06"/>
    <w:rsid w:val="00DB1C8C"/>
    <w:rsid w:val="00DB3439"/>
    <w:rsid w:val="00DB3618"/>
    <w:rsid w:val="00DB468A"/>
    <w:rsid w:val="00DC2946"/>
    <w:rsid w:val="00DC4340"/>
    <w:rsid w:val="00DC550F"/>
    <w:rsid w:val="00DC64FD"/>
    <w:rsid w:val="00DD0474"/>
    <w:rsid w:val="00DD2BE1"/>
    <w:rsid w:val="00DD53C3"/>
    <w:rsid w:val="00DD669D"/>
    <w:rsid w:val="00DD6E84"/>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1A72"/>
    <w:rsid w:val="00F42628"/>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18928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872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99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34D1-DEC3-4EED-A1B3-E9EB30E0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2106</Words>
  <Characters>12430</Characters>
  <Application>Microsoft Office Word</Application>
  <DocSecurity>0</DocSecurity>
  <Lines>103</Lines>
  <Paragraphs>29</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35</cp:revision>
  <cp:lastPrinted>2025-12-08T11:06:00Z</cp:lastPrinted>
  <dcterms:created xsi:type="dcterms:W3CDTF">2024-12-17T12:35:00Z</dcterms:created>
  <dcterms:modified xsi:type="dcterms:W3CDTF">2025-12-08T11:06:00Z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