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5C70BE" w14:textId="588AD74A" w:rsidR="00AA77B9" w:rsidRPr="00AA77B9" w:rsidRDefault="00AA77B9" w:rsidP="00AA77B9">
      <w:pPr>
        <w:tabs>
          <w:tab w:val="clear" w:pos="567"/>
        </w:tabs>
        <w:spacing w:line="240" w:lineRule="auto"/>
        <w:ind w:left="567" w:hanging="567"/>
      </w:pPr>
      <w:proofErr w:type="spellStart"/>
      <w:r w:rsidRPr="00AA77B9">
        <w:rPr>
          <w:color w:val="000000"/>
        </w:rPr>
        <w:t>Benakor</w:t>
      </w:r>
      <w:proofErr w:type="spellEnd"/>
      <w:r w:rsidRPr="00AA77B9">
        <w:rPr>
          <w:color w:val="000000"/>
        </w:rPr>
        <w:t xml:space="preserve"> </w:t>
      </w:r>
      <w:r w:rsidR="009C7925">
        <w:rPr>
          <w:color w:val="000000"/>
        </w:rPr>
        <w:t>20</w:t>
      </w:r>
      <w:r w:rsidRPr="00AA77B9">
        <w:rPr>
          <w:color w:val="000000"/>
        </w:rPr>
        <w:t xml:space="preserve"> mg, tablety pro psy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FAA9F3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745712" w14:textId="304DC2DB" w:rsidR="00AA77B9" w:rsidRPr="00AA77B9" w:rsidRDefault="00D0700D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>
        <w:rPr>
          <w:color w:val="000000"/>
        </w:rPr>
        <w:t>Každá</w:t>
      </w:r>
      <w:r w:rsidRPr="00AA77B9">
        <w:rPr>
          <w:color w:val="000000"/>
        </w:rPr>
        <w:t xml:space="preserve"> </w:t>
      </w:r>
      <w:r w:rsidR="00AA77B9" w:rsidRPr="00AA77B9">
        <w:rPr>
          <w:color w:val="000000"/>
        </w:rPr>
        <w:t>tableta obsahuje:</w:t>
      </w:r>
    </w:p>
    <w:p w14:paraId="513D3CCF" w14:textId="77777777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p w14:paraId="3552A100" w14:textId="28948F89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  <w:r w:rsidRPr="00AA77B9">
        <w:rPr>
          <w:b/>
          <w:color w:val="000000"/>
        </w:rPr>
        <w:t>Léčivá látka:</w:t>
      </w:r>
    </w:p>
    <w:p w14:paraId="3DF741A3" w14:textId="4B3F7C8F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 w:rsidRPr="00AA77B9">
        <w:rPr>
          <w:color w:val="000000"/>
        </w:rPr>
        <w:t xml:space="preserve">Benazeprili hydrochloridum </w:t>
      </w:r>
      <w:r w:rsidRPr="00AA77B9">
        <w:rPr>
          <w:color w:val="000000"/>
        </w:rPr>
        <w:tab/>
      </w:r>
      <w:r w:rsidR="009C7925">
        <w:rPr>
          <w:color w:val="000000"/>
        </w:rPr>
        <w:t>20</w:t>
      </w:r>
      <w:r w:rsidRPr="00AA77B9">
        <w:rPr>
          <w:color w:val="000000"/>
        </w:rPr>
        <w:t xml:space="preserve"> mg</w:t>
      </w:r>
    </w:p>
    <w:p w14:paraId="519DCC60" w14:textId="77777777" w:rsidR="00AA77B9" w:rsidRP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p w14:paraId="2DB667A0" w14:textId="77777777" w:rsidR="00AA77B9" w:rsidRDefault="00AA77B9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  <w:r w:rsidRPr="00AA77B9">
        <w:rPr>
          <w:b/>
          <w:color w:val="000000"/>
        </w:rPr>
        <w:t>Pomocné látky:</w:t>
      </w:r>
    </w:p>
    <w:p w14:paraId="7CDD1C33" w14:textId="77777777" w:rsidR="00447FF4" w:rsidRPr="00AA77B9" w:rsidRDefault="00447FF4" w:rsidP="00AA77B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E103CA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4F0982F3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5DD9328F" w:rsidR="00872C48" w:rsidRPr="00B41D57" w:rsidRDefault="00C605FD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103CA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60384225" w:rsidR="00872C48" w:rsidRPr="00B41D57" w:rsidRDefault="009C7925" w:rsidP="005F15F9">
            <w:pPr>
              <w:tabs>
                <w:tab w:val="clear" w:pos="567"/>
              </w:tabs>
              <w:spacing w:before="60" w:after="60"/>
              <w:ind w:left="26" w:hanging="26"/>
              <w:rPr>
                <w:iCs/>
                <w:szCs w:val="22"/>
              </w:rPr>
            </w:pPr>
            <w:r w:rsidRPr="008D711C">
              <w:rPr>
                <w:noProof/>
                <w:color w:val="000000"/>
              </w:rPr>
              <w:t>Oranžové barvivo Colorcon 23069 (oxidy železa, E172)</w:t>
            </w:r>
            <w:r w:rsidR="00E052E3" w:rsidRPr="00C95BA7">
              <w:rPr>
                <w:color w:val="000000"/>
                <w:kern w:val="14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44D770A9" w:rsidR="00872C48" w:rsidRPr="00B41D57" w:rsidRDefault="009C7925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8</w:t>
            </w:r>
            <w:r w:rsidR="00E052E3">
              <w:rPr>
                <w:iCs/>
                <w:szCs w:val="22"/>
              </w:rPr>
              <w:t> mg</w:t>
            </w:r>
          </w:p>
        </w:tc>
      </w:tr>
      <w:tr w:rsidR="00E103CA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1BA57CDE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 w:rsidRPr="00C95BA7">
              <w:rPr>
                <w:color w:val="000000"/>
                <w:kern w:val="14"/>
              </w:rPr>
              <w:t>Mikrokrystalická celulosa</w:t>
            </w:r>
            <w:r w:rsidRPr="00C95BA7">
              <w:rPr>
                <w:color w:val="000000"/>
              </w:rPr>
              <w:t xml:space="preserve"> (E460)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5C0D332B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  <w:noProof/>
                <w:color w:val="000000"/>
                <w:kern w:val="14"/>
                <w:lang w:eastAsia="nl-NL"/>
              </w:rPr>
              <w:t>Anhydr</w:t>
            </w:r>
            <w:r w:rsidRPr="008D711C">
              <w:rPr>
                <w:noProof/>
                <w:color w:val="000000"/>
                <w:kern w:val="14"/>
                <w:lang w:eastAsia="nl-NL"/>
              </w:rPr>
              <w:t>á</w:t>
            </w:r>
            <w:r>
              <w:rPr>
                <w:bCs/>
                <w:noProof/>
                <w:color w:val="000000"/>
                <w:kern w:val="14"/>
                <w:lang w:eastAsia="nl-NL"/>
              </w:rPr>
              <w:t>t</w:t>
            </w:r>
            <w:r w:rsidRPr="00C95BA7">
              <w:rPr>
                <w:color w:val="000000"/>
                <w:kern w:val="14"/>
              </w:rPr>
              <w:t xml:space="preserve"> laktosy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694E7994" w:rsidR="00872C48" w:rsidRPr="009C7925" w:rsidRDefault="00E052E3" w:rsidP="009C79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noProof/>
                <w:color w:val="000000"/>
              </w:rPr>
            </w:pPr>
            <w:r w:rsidRPr="00C95BA7">
              <w:rPr>
                <w:color w:val="000000"/>
                <w:kern w:val="14"/>
              </w:rPr>
              <w:t xml:space="preserve">Koloidní bezvodý oxid křemičitý </w:t>
            </w:r>
            <w:r w:rsidRPr="00C95BA7">
              <w:rPr>
                <w:color w:val="000000"/>
              </w:rPr>
              <w:t>(E551)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103CA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35914119" w:rsidR="00872C48" w:rsidRPr="00B41D57" w:rsidRDefault="00AA77B9" w:rsidP="00617B81">
            <w:pPr>
              <w:spacing w:before="60" w:after="60"/>
              <w:rPr>
                <w:iCs/>
                <w:szCs w:val="22"/>
              </w:rPr>
            </w:pPr>
            <w:r w:rsidRPr="00C95BA7">
              <w:rPr>
                <w:color w:val="000000"/>
              </w:rPr>
              <w:t>Natrium-cyklamát (E952)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A77B9" w14:paraId="15E338FD" w14:textId="77777777" w:rsidTr="00872C48">
        <w:tc>
          <w:tcPr>
            <w:tcW w:w="4643" w:type="dxa"/>
            <w:shd w:val="clear" w:color="auto" w:fill="auto"/>
            <w:vAlign w:val="center"/>
          </w:tcPr>
          <w:p w14:paraId="5DFE8418" w14:textId="077FF9A1" w:rsidR="00AA77B9" w:rsidRPr="00C95BA7" w:rsidRDefault="00AA77B9" w:rsidP="00617B81">
            <w:pPr>
              <w:spacing w:before="60" w:after="60"/>
              <w:rPr>
                <w:color w:val="000000"/>
              </w:rPr>
            </w:pPr>
            <w:r w:rsidRPr="00C95BA7">
              <w:rPr>
                <w:color w:val="000000"/>
              </w:rPr>
              <w:t>Sodná sůl karboxymethylškrobu, typ 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1E850F" w14:textId="77777777" w:rsidR="00AA77B9" w:rsidRPr="00B41D57" w:rsidRDefault="00AA77B9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AA77B9" w14:paraId="5DAD339E" w14:textId="77777777" w:rsidTr="00872C48">
        <w:tc>
          <w:tcPr>
            <w:tcW w:w="4643" w:type="dxa"/>
            <w:shd w:val="clear" w:color="auto" w:fill="auto"/>
            <w:vAlign w:val="center"/>
          </w:tcPr>
          <w:p w14:paraId="42061839" w14:textId="4D23FBA9" w:rsidR="00AA77B9" w:rsidRPr="00C95BA7" w:rsidRDefault="00AA77B9" w:rsidP="00617B81">
            <w:pPr>
              <w:spacing w:before="60" w:after="60"/>
              <w:rPr>
                <w:color w:val="000000"/>
              </w:rPr>
            </w:pPr>
            <w:r w:rsidRPr="00C95BA7">
              <w:rPr>
                <w:color w:val="000000"/>
              </w:rPr>
              <w:t>Magnesium-stearát (E470b)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DC1F64" w14:textId="77777777" w:rsidR="00AA77B9" w:rsidRPr="00B41D57" w:rsidRDefault="00AA77B9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096FD" w14:textId="77777777" w:rsidR="00E46806" w:rsidRPr="00E46806" w:rsidRDefault="00E46806" w:rsidP="00E46806">
      <w:pPr>
        <w:tabs>
          <w:tab w:val="clear" w:pos="567"/>
        </w:tabs>
        <w:spacing w:line="240" w:lineRule="auto"/>
        <w:rPr>
          <w:noProof/>
          <w:color w:val="000000"/>
        </w:rPr>
      </w:pPr>
      <w:r w:rsidRPr="00E46806">
        <w:rPr>
          <w:noProof/>
          <w:color w:val="000000"/>
        </w:rPr>
        <w:t>Oranžové podlouhlé dělitelné tablety s dělící rýhou na obou stranách.</w:t>
      </w:r>
    </w:p>
    <w:p w14:paraId="6863D878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1EA05B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 w:rsidRPr="00274736">
        <w:rPr>
          <w:color w:val="000000"/>
        </w:rPr>
        <w:t>Psi.</w:t>
      </w:r>
    </w:p>
    <w:p w14:paraId="6254B8BF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36067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>Léčba městnavého srdečního selhání.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920FFB" w14:textId="11F8B408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 xml:space="preserve">přecitlivělosti na léčivou látku nebo </w:t>
      </w:r>
      <w:r w:rsidR="00E052E3">
        <w:rPr>
          <w:color w:val="000000"/>
        </w:rPr>
        <w:t xml:space="preserve">na </w:t>
      </w:r>
      <w:r w:rsidRPr="00274736">
        <w:rPr>
          <w:color w:val="000000"/>
        </w:rPr>
        <w:t>některou z pomocných látek.</w:t>
      </w:r>
    </w:p>
    <w:p w14:paraId="097BC84F" w14:textId="0D1F4F2F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 xml:space="preserve">hypotenze, hypovolemie, </w:t>
      </w:r>
      <w:proofErr w:type="spellStart"/>
      <w:r w:rsidRPr="00274736">
        <w:rPr>
          <w:color w:val="000000"/>
        </w:rPr>
        <w:t>hyponatremie</w:t>
      </w:r>
      <w:proofErr w:type="spellEnd"/>
      <w:r w:rsidRPr="00274736">
        <w:rPr>
          <w:color w:val="000000"/>
        </w:rPr>
        <w:t xml:space="preserve"> nebo akutního selhání ledvin.</w:t>
      </w:r>
    </w:p>
    <w:p w14:paraId="6CC0340C" w14:textId="052D7201" w:rsidR="00274736" w:rsidRPr="00274736" w:rsidRDefault="00274736" w:rsidP="005F15F9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v </w:t>
      </w:r>
      <w:r w:rsidR="00E052E3" w:rsidRPr="00274736">
        <w:rPr>
          <w:color w:val="000000"/>
        </w:rPr>
        <w:t>případ</w:t>
      </w:r>
      <w:r w:rsidR="00E052E3">
        <w:rPr>
          <w:color w:val="000000"/>
        </w:rPr>
        <w:t>ech</w:t>
      </w:r>
      <w:r w:rsidR="00E052E3" w:rsidRPr="00274736">
        <w:rPr>
          <w:color w:val="000000"/>
        </w:rPr>
        <w:t xml:space="preserve"> </w:t>
      </w:r>
      <w:r w:rsidRPr="00274736">
        <w:rPr>
          <w:color w:val="000000"/>
        </w:rPr>
        <w:t>snížení srdečního výdeje v důsledku aortální nebo pulmonální stenózy.</w:t>
      </w:r>
    </w:p>
    <w:p w14:paraId="249996CA" w14:textId="3B7B3F1F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 xml:space="preserve">Nepoužívat během březosti nebo laktace (viz bod </w:t>
      </w:r>
      <w:r w:rsidR="00E052E3">
        <w:rPr>
          <w:color w:val="000000"/>
        </w:rPr>
        <w:t>3</w:t>
      </w:r>
      <w:r w:rsidRPr="00274736">
        <w:rPr>
          <w:color w:val="000000"/>
        </w:rPr>
        <w:t>.7).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EA95C0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</w:pPr>
      <w:r w:rsidRPr="00274736"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F36BFD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CA611B0" w14:textId="023148EE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průběhu klinických studií nebyly u psů pozorovány žádné známky renální toxicity </w:t>
      </w:r>
      <w:r w:rsidR="00E052E3">
        <w:rPr>
          <w:color w:val="000000"/>
        </w:rPr>
        <w:t xml:space="preserve">veterinárního léčivého </w:t>
      </w:r>
      <w:r w:rsidRPr="00274736">
        <w:rPr>
          <w:color w:val="000000"/>
        </w:rPr>
        <w:t>přípravku, avšak vzhledem k tomu, že se v případě chronického onemocnění ledvin jedná o rutinní postup, doporučuje se v průběhu léčby v takových případech provádět monitoring plasmatické koncentrace kreatininu a močoviny a počtu erytrocytů.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87A4" w14:textId="37C77C92" w:rsidR="00C114FF" w:rsidRPr="00B41D57" w:rsidRDefault="00C605FD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CBFF0BA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Po použití si umyjte ruce.</w:t>
      </w:r>
    </w:p>
    <w:p w14:paraId="2A82F699" w14:textId="350D48FB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případě náhodného </w:t>
      </w:r>
      <w:r w:rsidR="00961C9E" w:rsidRPr="001B7B38">
        <w:t>požití</w:t>
      </w:r>
      <w:r w:rsidR="00961C9E">
        <w:t>,</w:t>
      </w:r>
      <w:r w:rsidRPr="00274736">
        <w:rPr>
          <w:color w:val="000000"/>
        </w:rPr>
        <w:t xml:space="preserve"> vyhledejte ihned lékařskou pomoc a ukažte </w:t>
      </w:r>
      <w:r w:rsidR="00961C9E" w:rsidRPr="00812CD8">
        <w:t>příbalovou informaci nebo</w:t>
      </w:r>
      <w:r w:rsidR="00961C9E" w:rsidRPr="00274736">
        <w:rPr>
          <w:color w:val="000000"/>
        </w:rPr>
        <w:t xml:space="preserve"> </w:t>
      </w:r>
      <w:r w:rsidRPr="00274736">
        <w:rPr>
          <w:color w:val="000000"/>
        </w:rPr>
        <w:t>etiketu praktickému lékaři.</w:t>
      </w:r>
    </w:p>
    <w:p w14:paraId="7D3B1C0D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FB02212" w14:textId="59B5A850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t>Těhotné ženy by měly dbát zvýšené opatrnosti, aby se vyhnuly náhodnému po</w:t>
      </w:r>
      <w:r w:rsidR="00A41039">
        <w:t>žití</w:t>
      </w:r>
      <w:r w:rsidRPr="00274736">
        <w:t xml:space="preserve"> přípravku, protože bylo zjištěno, že inhibitory angiotenzin konvertujícího enzymu (ACE) mají vliv na lidský plod v průběhu těhotenství</w:t>
      </w:r>
      <w:r w:rsidRPr="00274736">
        <w:rPr>
          <w:color w:val="000000"/>
        </w:rPr>
        <w:t>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790C05" w14:textId="4B2DBD4A" w:rsidR="0091648F" w:rsidRPr="005F15F9" w:rsidRDefault="0091648F" w:rsidP="00F36BF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3CF26F6" w14:textId="77777777" w:rsidR="0091648F" w:rsidRDefault="0091648F" w:rsidP="0091648F">
      <w:pPr>
        <w:tabs>
          <w:tab w:val="clear" w:pos="567"/>
        </w:tabs>
        <w:spacing w:line="240" w:lineRule="auto"/>
      </w:pPr>
      <w:r w:rsidRPr="00B41D57">
        <w:t>Neuplatňuje se.</w:t>
      </w:r>
    </w:p>
    <w:p w14:paraId="26759B32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501CC9D" w14:textId="26C5F77B" w:rsidR="00324D99" w:rsidRPr="006414D3" w:rsidRDefault="00324D99" w:rsidP="005F15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</w:t>
      </w:r>
      <w:r w:rsidRPr="006414D3">
        <w:rPr>
          <w:szCs w:val="22"/>
        </w:rPr>
        <w:t>:</w:t>
      </w:r>
    </w:p>
    <w:p w14:paraId="14043D1A" w14:textId="77777777" w:rsidR="00274736" w:rsidRPr="00B41D57" w:rsidRDefault="00274736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1648F" w14:paraId="4FCFB1D9" w14:textId="77777777" w:rsidTr="0091648F">
        <w:tc>
          <w:tcPr>
            <w:tcW w:w="1957" w:type="pct"/>
          </w:tcPr>
          <w:p w14:paraId="4F1FF6CF" w14:textId="77777777" w:rsidR="0091648F" w:rsidRPr="00B41D57" w:rsidRDefault="0091648F" w:rsidP="00A228B8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84C38D8" w14:textId="77777777" w:rsidR="0091648F" w:rsidRPr="00B41D57" w:rsidRDefault="0091648F" w:rsidP="00A228B8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504B3FE9" w14:textId="71C11637" w:rsidR="00E052E3" w:rsidRDefault="00E052E3" w:rsidP="00E052E3">
            <w:pPr>
              <w:spacing w:before="60" w:after="60"/>
              <w:rPr>
                <w:vertAlign w:val="superscript"/>
              </w:rPr>
            </w:pPr>
            <w:r>
              <w:rPr>
                <w:iCs/>
                <w:szCs w:val="22"/>
              </w:rPr>
              <w:t>Zvracení</w:t>
            </w:r>
            <w:r w:rsidRPr="00976EE2">
              <w:rPr>
                <w:vertAlign w:val="superscript"/>
              </w:rPr>
              <w:t>a</w:t>
            </w:r>
          </w:p>
          <w:p w14:paraId="5F46DCD2" w14:textId="22878CCF" w:rsidR="002F4C6B" w:rsidRDefault="002F4C6B" w:rsidP="00E052E3">
            <w:pPr>
              <w:spacing w:before="60" w:after="60"/>
            </w:pPr>
            <w:r w:rsidRPr="002F4C6B">
              <w:t>Únava</w:t>
            </w:r>
          </w:p>
          <w:p w14:paraId="3F2D818C" w14:textId="4714F7AF" w:rsidR="0091648F" w:rsidRPr="00B41D57" w:rsidRDefault="00E052E3" w:rsidP="00E052E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Inkoordinace</w:t>
            </w:r>
          </w:p>
        </w:tc>
      </w:tr>
      <w:tr w:rsidR="00274736" w14:paraId="7E034B6C" w14:textId="77777777" w:rsidTr="0091648F">
        <w:tc>
          <w:tcPr>
            <w:tcW w:w="1957" w:type="pct"/>
          </w:tcPr>
          <w:p w14:paraId="3577B57B" w14:textId="6CF9DCC5" w:rsidR="00274736" w:rsidRPr="00B41D57" w:rsidRDefault="00E052E3" w:rsidP="00A228B8">
            <w:pPr>
              <w:spacing w:before="60" w:after="60"/>
            </w:pPr>
            <w:r>
              <w:rPr>
                <w:szCs w:val="22"/>
              </w:rPr>
              <w:t>Není známo (z dostupných údajů nelze určit)</w:t>
            </w:r>
          </w:p>
        </w:tc>
        <w:tc>
          <w:tcPr>
            <w:tcW w:w="3043" w:type="pct"/>
          </w:tcPr>
          <w:p w14:paraId="4C79F6F1" w14:textId="4D4D922C" w:rsidR="00274736" w:rsidRPr="00B41D57" w:rsidRDefault="00E052E3" w:rsidP="00A228B8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Zvýšení koncentrace kreatininu</w:t>
            </w:r>
            <w:r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3C7613F8" w14:textId="531225FA" w:rsidR="00E052E3" w:rsidRDefault="00E052E3" w:rsidP="00E052E3">
      <w:pPr>
        <w:tabs>
          <w:tab w:val="clear" w:pos="567"/>
        </w:tabs>
        <w:spacing w:line="240" w:lineRule="auto"/>
        <w:ind w:left="567" w:hanging="567"/>
      </w:pPr>
      <w:bookmarkStart w:id="0" w:name="_Hlk163738914"/>
      <w:r w:rsidRPr="00976EE2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Přechodné</w:t>
      </w:r>
    </w:p>
    <w:p w14:paraId="18E8D31C" w14:textId="03F262DC" w:rsidR="00E052E3" w:rsidRDefault="00E052E3" w:rsidP="00E052E3">
      <w:pPr>
        <w:tabs>
          <w:tab w:val="clear" w:pos="567"/>
        </w:tabs>
        <w:spacing w:line="240" w:lineRule="auto"/>
      </w:pPr>
      <w:r>
        <w:rPr>
          <w:vertAlign w:val="superscript"/>
        </w:rPr>
        <w:t>b</w:t>
      </w:r>
      <w:r>
        <w:t xml:space="preserve"> </w:t>
      </w:r>
      <w:r w:rsidRPr="00274736">
        <w:rPr>
          <w:color w:val="000000"/>
        </w:rPr>
        <w:t>U</w:t>
      </w:r>
      <w:r>
        <w:rPr>
          <w:color w:val="000000"/>
        </w:rPr>
        <w:t> </w:t>
      </w:r>
      <w:r w:rsidRPr="00274736">
        <w:rPr>
          <w:color w:val="000000"/>
        </w:rPr>
        <w:t>psů s</w:t>
      </w:r>
      <w:r>
        <w:rPr>
          <w:color w:val="000000"/>
        </w:rPr>
        <w:t> </w:t>
      </w:r>
      <w:r w:rsidRPr="00274736">
        <w:rPr>
          <w:color w:val="000000"/>
        </w:rPr>
        <w:t>chronickým onemocněním ledvin</w:t>
      </w:r>
      <w:r w:rsidRPr="00D9156E">
        <w:t xml:space="preserve">. </w:t>
      </w:r>
      <w:r w:rsidRPr="00274736">
        <w:rPr>
          <w:color w:val="000000"/>
        </w:rPr>
        <w:t xml:space="preserve">Mírné zvýšení koncentrací kreatininu v plazmě </w:t>
      </w:r>
      <w:r>
        <w:rPr>
          <w:color w:val="000000"/>
        </w:rPr>
        <w:t xml:space="preserve">na začátku léčby </w:t>
      </w:r>
      <w:r w:rsidRPr="00274736">
        <w:rPr>
          <w:color w:val="000000"/>
        </w:rPr>
        <w:t>po podání inhibitorů ACE je kompatibilní se snížením glomerulární hypertenze vyvolan</w:t>
      </w:r>
      <w:r w:rsidR="007D53CF">
        <w:rPr>
          <w:color w:val="000000"/>
        </w:rPr>
        <w:t>é</w:t>
      </w:r>
      <w:r w:rsidRPr="00274736">
        <w:rPr>
          <w:color w:val="000000"/>
        </w:rPr>
        <w:t xml:space="preserve"> těmito látkami, a proto není v případě absence dalších příznaků nezbytným důvodem k zastavení léčby</w:t>
      </w:r>
      <w:r>
        <w:rPr>
          <w:color w:val="000000"/>
        </w:rPr>
        <w:t>.</w:t>
      </w:r>
    </w:p>
    <w:bookmarkEnd w:id="0"/>
    <w:p w14:paraId="36F78D9F" w14:textId="77777777" w:rsidR="00E052E3" w:rsidRDefault="00E052E3" w:rsidP="00E052E3">
      <w:pPr>
        <w:tabs>
          <w:tab w:val="clear" w:pos="567"/>
        </w:tabs>
        <w:spacing w:line="240" w:lineRule="auto"/>
        <w:rPr>
          <w:szCs w:val="22"/>
        </w:rPr>
      </w:pPr>
    </w:p>
    <w:p w14:paraId="6DE6B170" w14:textId="3529F5D3" w:rsidR="0091648F" w:rsidRPr="00B41D57" w:rsidRDefault="00E052E3" w:rsidP="0091648F">
      <w:pPr>
        <w:tabs>
          <w:tab w:val="clear" w:pos="567"/>
        </w:tabs>
        <w:spacing w:line="240" w:lineRule="auto"/>
        <w:rPr>
          <w:szCs w:val="22"/>
        </w:rPr>
      </w:pPr>
      <w:r w:rsidRPr="00274736">
        <w:rPr>
          <w:color w:val="000000"/>
        </w:rPr>
        <w:t>Ve dvojitě zaslepených klinických studiích na psech s městnavým srdečním selháním byl benazepril hydrochlorid dobře tolerován s nižším výskytem nežádoucích účinků, než bylo pozorováno u psů léčených placebem</w:t>
      </w:r>
      <w:r>
        <w:rPr>
          <w:color w:val="000000"/>
        </w:rPr>
        <w:t>.</w:t>
      </w:r>
    </w:p>
    <w:p w14:paraId="6DA4FB65" w14:textId="77777777" w:rsidR="00470747" w:rsidRDefault="00470747" w:rsidP="0091648F">
      <w:bookmarkStart w:id="1" w:name="_Hlk66891708"/>
    </w:p>
    <w:p w14:paraId="430CF708" w14:textId="66A54716" w:rsidR="0091648F" w:rsidRDefault="0091648F" w:rsidP="0091648F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Pr="00B41D57">
        <w:t xml:space="preserve"> nebo jeho místnímu zástupci, nebo příslušnému vnitrostátnímu orgánu prostřednictvím národního systému hlášení. Podrobné kontaktní údaje naleznete v</w:t>
      </w:r>
      <w:r>
        <w:t> </w:t>
      </w:r>
      <w:r w:rsidRPr="00B41D57">
        <w:t>příbalové informac</w:t>
      </w:r>
      <w:r w:rsidR="00E052E3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0591F805" w:rsidR="00C114FF" w:rsidRPr="00B41D57" w:rsidRDefault="00C605FD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274736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7A19388" w14:textId="6E79F30D" w:rsidR="00103E48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Nepoužívat během březosti nebo laktace. </w:t>
      </w:r>
      <w:r w:rsidR="00103E48">
        <w:rPr>
          <w:color w:val="000000"/>
        </w:rPr>
        <w:t>Nebyla stanovena b</w:t>
      </w:r>
      <w:r w:rsidRPr="00274736">
        <w:rPr>
          <w:color w:val="000000"/>
        </w:rPr>
        <w:t xml:space="preserve">ezpečnost </w:t>
      </w:r>
      <w:r w:rsidR="00103E48">
        <w:rPr>
          <w:color w:val="000000"/>
        </w:rPr>
        <w:t xml:space="preserve">veterinárního léčivého </w:t>
      </w:r>
      <w:r w:rsidRPr="00274736">
        <w:rPr>
          <w:color w:val="000000"/>
        </w:rPr>
        <w:t xml:space="preserve">přípravku </w:t>
      </w:r>
      <w:r w:rsidR="00103E48">
        <w:rPr>
          <w:color w:val="000000"/>
        </w:rPr>
        <w:t>pro použití během březosti nebo laktace</w:t>
      </w:r>
      <w:r w:rsidRPr="00274736">
        <w:rPr>
          <w:color w:val="000000"/>
        </w:rPr>
        <w:t>.</w:t>
      </w:r>
    </w:p>
    <w:p w14:paraId="1AC9BC7C" w14:textId="5AA42D8E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41D57">
        <w:t xml:space="preserve">Laboratorní studie </w:t>
      </w:r>
      <w:r>
        <w:t>u potkanů</w:t>
      </w:r>
      <w:r w:rsidRPr="00B41D57">
        <w:t xml:space="preserve"> prokázaly fetotoxický účinek</w:t>
      </w:r>
      <w:r>
        <w:t xml:space="preserve"> (malformace močových cest u plodu) při dávkách, při nichž ještě nebyla pozorována </w:t>
      </w:r>
      <w:proofErr w:type="spellStart"/>
      <w:r>
        <w:t>maternální</w:t>
      </w:r>
      <w:proofErr w:type="spellEnd"/>
      <w:r>
        <w:t xml:space="preserve"> toxicita</w:t>
      </w:r>
      <w:r w:rsidR="00274736" w:rsidRPr="00274736">
        <w:rPr>
          <w:color w:val="000000"/>
        </w:rPr>
        <w:t>.</w:t>
      </w:r>
    </w:p>
    <w:p w14:paraId="3A811BA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BDDA7" w14:textId="14512DC6" w:rsidR="00103E48" w:rsidRPr="005F15F9" w:rsidRDefault="00103E48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F15F9">
        <w:rPr>
          <w:szCs w:val="22"/>
          <w:u w:val="single"/>
        </w:rPr>
        <w:t>Plodnost:</w:t>
      </w:r>
    </w:p>
    <w:p w14:paraId="2FC403AF" w14:textId="1909EF6B" w:rsidR="00103E48" w:rsidRDefault="00103E48" w:rsidP="00A9226B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</w:t>
      </w:r>
      <w:r>
        <w:t xml:space="preserve"> u plemenných zvířat.</w:t>
      </w:r>
    </w:p>
    <w:p w14:paraId="5A25B2BB" w14:textId="77777777" w:rsidR="00103E48" w:rsidRPr="00B41D57" w:rsidRDefault="00103E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lastRenderedPageBreak/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59932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U psů s městnavým srdečním selháním byl benazepril hydrochlorid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podáván v kombinaci s digoxinem, </w:t>
      </w:r>
    </w:p>
    <w:p w14:paraId="296E4D5B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 xml:space="preserve">diuretiky, pimobendanem a antiarytmickými veterinárními léčivými přípravky bez prokazatelných </w:t>
      </w:r>
    </w:p>
    <w:p w14:paraId="079A52E9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>nežádoucích interakcí.</w:t>
      </w:r>
    </w:p>
    <w:p w14:paraId="466B669F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</w:p>
    <w:p w14:paraId="214CC186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 xml:space="preserve">U lidí může vést kombinace ACE inhibitorů s nesteroidními antiflogistiky (NSAID) ke snížené </w:t>
      </w:r>
    </w:p>
    <w:p w14:paraId="18A8EA67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antihypertenzní účinnosti či k narušení funkce ledvin. Kombinace benazepril hydrochloridu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a dalších </w:t>
      </w:r>
    </w:p>
    <w:p w14:paraId="23353827" w14:textId="67748D28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antihypertenzních l</w:t>
      </w:r>
      <w:r w:rsidR="00D513EA">
        <w:rPr>
          <w:color w:val="000000"/>
        </w:rPr>
        <w:t>átek</w:t>
      </w:r>
      <w:r w:rsidRPr="00274736">
        <w:rPr>
          <w:color w:val="000000"/>
        </w:rPr>
        <w:t xml:space="preserve"> (např. blokátorů kalciového kanálu, </w:t>
      </w:r>
      <w:r w:rsidRPr="00274736">
        <w:rPr>
          <w:color w:val="000000"/>
        </w:rPr>
        <w:sym w:font="Symbol" w:char="F062"/>
      </w:r>
      <w:r w:rsidRPr="00274736">
        <w:rPr>
          <w:color w:val="000000"/>
        </w:rPr>
        <w:t xml:space="preserve">-blokátorů nebo diuretik), anestetik nebo </w:t>
      </w:r>
    </w:p>
    <w:p w14:paraId="4BB7F5A0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 xml:space="preserve">sedativ může vést ke zvýšeným hypotenzním účinkům. Proto je zapotřebí pečlivě zvážit současné </w:t>
      </w:r>
    </w:p>
    <w:p w14:paraId="6B56E39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 xml:space="preserve">podávání NSAID nebo jiných léčiv s hypotenzním účinkem. Renální funkce a příznaky hypotenze </w:t>
      </w:r>
    </w:p>
    <w:p w14:paraId="7F65602E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>(letargii, slabost, atd.) je třeba pečlivě sledovat a léčit podle potřeby.</w:t>
      </w:r>
    </w:p>
    <w:p w14:paraId="6F27C68F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 w:rsidRPr="00274736">
        <w:rPr>
          <w:color w:val="000000"/>
        </w:rPr>
        <w:t xml:space="preserve">Nelze vyloučit interakce s draslík šetřícími diuretiky jako je spironolakton, triamteren nebo amilorid. </w:t>
      </w:r>
    </w:p>
    <w:p w14:paraId="63F953E8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  <w:lang w:eastAsia="cs-CZ"/>
        </w:rPr>
      </w:pPr>
      <w:r w:rsidRPr="00274736">
        <w:rPr>
          <w:color w:val="000000"/>
        </w:rPr>
        <w:t>Při užívání benazepril hydrochloridu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v kombinaci s draslík šetřícími diuretiky se vzhledem k riziku </w:t>
      </w:r>
    </w:p>
    <w:p w14:paraId="6F14E42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noProof/>
          <w:color w:val="000000"/>
        </w:rPr>
      </w:pPr>
      <w:r w:rsidRPr="00274736">
        <w:rPr>
          <w:color w:val="000000"/>
        </w:rPr>
        <w:t xml:space="preserve">hyperkalemie doporučuje sledovat plasmatické koncentrace draslíku. 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DBDFC7C" w14:textId="77777777" w:rsidR="00103E48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Perorální podání.</w:t>
      </w:r>
    </w:p>
    <w:p w14:paraId="4C7226B8" w14:textId="37C18E1F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Veterinární léčivý p</w:t>
      </w:r>
      <w:r w:rsidR="00274736" w:rsidRPr="00274736">
        <w:rPr>
          <w:color w:val="000000"/>
        </w:rPr>
        <w:t xml:space="preserve">řípravek se podává perorálně jednou denně s </w:t>
      </w:r>
      <w:r w:rsidR="00D31944">
        <w:rPr>
          <w:color w:val="000000"/>
        </w:rPr>
        <w:t>krmivem</w:t>
      </w:r>
      <w:r w:rsidR="00274736" w:rsidRPr="00274736">
        <w:rPr>
          <w:color w:val="000000"/>
        </w:rPr>
        <w:t xml:space="preserve"> nebo nalačno. Délka léčby je neomezená.</w:t>
      </w:r>
    </w:p>
    <w:p w14:paraId="52444FF6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21BC7885" w14:textId="15DC83B6" w:rsidR="00274736" w:rsidRPr="00274736" w:rsidRDefault="00103E48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 xml:space="preserve">se podává perorálně v minimální dávce 0,25 mg (rozmezí 0,25-0,5) </w:t>
      </w:r>
      <w:proofErr w:type="spellStart"/>
      <w:r w:rsidR="00274736" w:rsidRPr="00274736">
        <w:rPr>
          <w:color w:val="000000"/>
        </w:rPr>
        <w:t>benazepril</w:t>
      </w:r>
      <w:proofErr w:type="spellEnd"/>
      <w:r w:rsidR="00274736" w:rsidRPr="00274736">
        <w:rPr>
          <w:color w:val="000000"/>
        </w:rPr>
        <w:t xml:space="preserve"> </w:t>
      </w:r>
      <w:proofErr w:type="spellStart"/>
      <w:r w:rsidR="00274736" w:rsidRPr="00274736">
        <w:rPr>
          <w:color w:val="000000"/>
        </w:rPr>
        <w:t>hydrochloridu</w:t>
      </w:r>
      <w:proofErr w:type="spellEnd"/>
      <w:r w:rsidR="00274736" w:rsidRPr="00274736">
        <w:rPr>
          <w:color w:val="000000"/>
        </w:rPr>
        <w:t xml:space="preserve">/kg </w:t>
      </w:r>
      <w:r w:rsidR="0058391B">
        <w:rPr>
          <w:color w:val="000000"/>
        </w:rPr>
        <w:t>živé hmotnosti</w:t>
      </w:r>
      <w:r w:rsidR="00274736" w:rsidRPr="00274736">
        <w:rPr>
          <w:color w:val="000000"/>
        </w:rPr>
        <w:t xml:space="preserve"> jedenkrát denně podle následující tabulky: </w:t>
      </w:r>
    </w:p>
    <w:p w14:paraId="56684C39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tbl>
      <w:tblPr>
        <w:tblW w:w="358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191"/>
        <w:gridCol w:w="2192"/>
      </w:tblGrid>
      <w:tr w:rsidR="00274736" w:rsidRPr="00274736" w14:paraId="45030685" w14:textId="77777777" w:rsidTr="008C57A8"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129A" w14:textId="47B5917E" w:rsidR="00274736" w:rsidRPr="00274736" w:rsidRDefault="0058391B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274736" w:rsidRPr="00274736">
              <w:rPr>
                <w:color w:val="000000"/>
              </w:rPr>
              <w:t>motnost psa (kg)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D5D" w14:textId="1B9B6757" w:rsidR="00274736" w:rsidRPr="00274736" w:rsidRDefault="00103E48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Tablety</w:t>
            </w:r>
            <w:r w:rsidRPr="00274736">
              <w:rPr>
                <w:color w:val="000000"/>
              </w:rPr>
              <w:t xml:space="preserve"> </w:t>
            </w:r>
            <w:r w:rsidR="009C7925">
              <w:rPr>
                <w:color w:val="000000"/>
              </w:rPr>
              <w:t>20</w:t>
            </w:r>
            <w:r w:rsidR="00274736" w:rsidRPr="00274736">
              <w:rPr>
                <w:color w:val="000000"/>
              </w:rPr>
              <w:t xml:space="preserve"> mg</w:t>
            </w:r>
          </w:p>
        </w:tc>
      </w:tr>
      <w:tr w:rsidR="00274736" w:rsidRPr="00274736" w14:paraId="2A839283" w14:textId="77777777" w:rsidTr="008C5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FF13" w14:textId="77777777" w:rsidR="00274736" w:rsidRPr="00274736" w:rsidRDefault="00274736" w:rsidP="00274736">
            <w:pPr>
              <w:tabs>
                <w:tab w:val="clear" w:pos="567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ED0" w14:textId="33D842E8" w:rsidR="00274736" w:rsidRPr="00274736" w:rsidRDefault="0058391B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274736" w:rsidRPr="00274736">
              <w:rPr>
                <w:color w:val="000000"/>
              </w:rPr>
              <w:t>tandardní dávka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344" w14:textId="0A8B9101" w:rsidR="00274736" w:rsidRPr="00274736" w:rsidRDefault="0058391B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274736" w:rsidRPr="00274736">
              <w:rPr>
                <w:color w:val="000000"/>
              </w:rPr>
              <w:t>vojnásobná dávka</w:t>
            </w:r>
          </w:p>
        </w:tc>
      </w:tr>
      <w:tr w:rsidR="00274736" w:rsidRPr="00274736" w14:paraId="1BA5188A" w14:textId="77777777" w:rsidTr="008C57A8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7A44" w14:textId="0EA0D078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&gt;</w:t>
            </w:r>
            <w:r w:rsidR="009C7925">
              <w:rPr>
                <w:color w:val="000000"/>
              </w:rPr>
              <w:t>20</w:t>
            </w:r>
            <w:r w:rsidRPr="00274736">
              <w:rPr>
                <w:color w:val="000000"/>
              </w:rPr>
              <w:t>-</w:t>
            </w:r>
            <w:r w:rsidR="009C7925">
              <w:rPr>
                <w:color w:val="000000"/>
              </w:rPr>
              <w:t>40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51E7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0,5 tablety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489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1 tableta</w:t>
            </w:r>
          </w:p>
        </w:tc>
      </w:tr>
      <w:tr w:rsidR="00274736" w:rsidRPr="00274736" w14:paraId="40806BE3" w14:textId="77777777" w:rsidTr="008C57A8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586" w14:textId="41FC5A80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&gt;</w:t>
            </w:r>
            <w:r w:rsidR="009C7925">
              <w:rPr>
                <w:color w:val="000000"/>
              </w:rPr>
              <w:t>40</w:t>
            </w:r>
            <w:r w:rsidRPr="00274736">
              <w:rPr>
                <w:color w:val="000000"/>
              </w:rPr>
              <w:t>-</w:t>
            </w:r>
            <w:r w:rsidR="009C7925">
              <w:rPr>
                <w:color w:val="000000"/>
              </w:rPr>
              <w:t>8</w:t>
            </w:r>
            <w:r w:rsidRPr="00274736">
              <w:rPr>
                <w:color w:val="000000"/>
              </w:rPr>
              <w:t>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52C7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1 tableta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98F9" w14:textId="77777777" w:rsidR="00274736" w:rsidRPr="00274736" w:rsidRDefault="00274736" w:rsidP="00274736">
            <w:pPr>
              <w:widowControl w:val="0"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274736">
              <w:rPr>
                <w:color w:val="000000"/>
              </w:rPr>
              <w:t>2 tablety</w:t>
            </w:r>
          </w:p>
        </w:tc>
      </w:tr>
    </w:tbl>
    <w:p w14:paraId="19B7BECE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14:paraId="391FA86C" w14:textId="35FAA8F2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Dávku lze zdvojnásobit při zachování frekvence podávání jedenkrát denně na minimální dávku 0,5 mg/kg </w:t>
      </w:r>
      <w:r w:rsidR="00710D3A">
        <w:rPr>
          <w:color w:val="000000"/>
        </w:rPr>
        <w:t xml:space="preserve">živé hmotnosti </w:t>
      </w:r>
      <w:r w:rsidRPr="00274736">
        <w:rPr>
          <w:color w:val="000000"/>
        </w:rPr>
        <w:t xml:space="preserve">(rozmezí 0,5-1,0), pokud je tento krok posouzen jako klinicky nezbytný a doporučí ho veterinární lékař. </w:t>
      </w:r>
    </w:p>
    <w:p w14:paraId="0E8D0AEF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3E9222E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  <w:rPr>
          <w:color w:val="000000"/>
        </w:rPr>
      </w:pPr>
      <w:r w:rsidRPr="00274736">
        <w:rPr>
          <w:color w:val="000000"/>
        </w:rPr>
        <w:t xml:space="preserve">V případě použití rozpůlených tablet: Vložte zbývající polovinu tablety zpět do blistru a skladujte na </w:t>
      </w:r>
    </w:p>
    <w:p w14:paraId="31D110C2" w14:textId="312F420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274736">
        <w:rPr>
          <w:color w:val="000000"/>
        </w:rPr>
        <w:t>suchém místě při teplotě do 25</w:t>
      </w:r>
      <w:r w:rsidR="00D0700D">
        <w:rPr>
          <w:color w:val="000000"/>
        </w:rPr>
        <w:t xml:space="preserve"> </w:t>
      </w:r>
      <w:r w:rsidRPr="00274736">
        <w:rPr>
          <w:color w:val="000000"/>
        </w:rPr>
        <w:t>ºC. Zbývající polovinu tablety použijte při následujícím podání.</w:t>
      </w:r>
    </w:p>
    <w:p w14:paraId="0E5D489B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6349B1" w14:textId="6C300CF3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Benazepril hydrochlorid snižoval počet erytrocytů u normálních psů při dávkování 150 mg/kg </w:t>
      </w:r>
      <w:r w:rsidR="00710D3A">
        <w:rPr>
          <w:color w:val="000000"/>
        </w:rPr>
        <w:t>živé hmotnosti</w:t>
      </w:r>
      <w:r w:rsidRPr="00274736">
        <w:rPr>
          <w:color w:val="000000"/>
        </w:rPr>
        <w:t xml:space="preserve"> jedenkrát denně po dobu 12 měsíců, tento účinek však nebyl pozorován při doporučeném dávkování během klinických hodnoceních na psech.</w:t>
      </w:r>
    </w:p>
    <w:p w14:paraId="450EF4F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 xml:space="preserve">V případech náhodného předávkování může dojít k přechodné vratné hypotenzi. Léčba by měla spočívat v podání intravenózní infuze teplého fyziologického roztoku. 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6A4FC9" w14:textId="0D872112" w:rsidR="003A49FF" w:rsidRPr="003A49FF" w:rsidRDefault="003A49FF" w:rsidP="003A49FF">
      <w:pPr>
        <w:tabs>
          <w:tab w:val="clear" w:pos="567"/>
        </w:tabs>
        <w:spacing w:line="240" w:lineRule="auto"/>
        <w:rPr>
          <w:szCs w:val="22"/>
        </w:rPr>
      </w:pPr>
      <w:r w:rsidRPr="003A49FF">
        <w:rPr>
          <w:szCs w:val="22"/>
        </w:rPr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E6D1C6" w14:textId="2E75C4AD" w:rsidR="00274736" w:rsidRPr="00274736" w:rsidRDefault="0081646C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color w:val="000000"/>
        </w:rPr>
      </w:pPr>
      <w:r>
        <w:rPr>
          <w:color w:val="000000"/>
          <w:kern w:val="14"/>
        </w:rPr>
        <w:t>Neuplatňuje se.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CBEFE1D" w:rsidR="00C114FF" w:rsidRPr="00B41D57" w:rsidRDefault="00C605FD" w:rsidP="00F36BFD">
      <w:pPr>
        <w:pStyle w:val="Style1"/>
        <w:keepNext/>
      </w:pPr>
      <w:r w:rsidRPr="00B41D57">
        <w:lastRenderedPageBreak/>
        <w:t>4.</w:t>
      </w:r>
      <w:r w:rsidRPr="00B41D57">
        <w:tab/>
        <w:t>FARMAKOLOGICKÉ INFORMACE</w:t>
      </w:r>
    </w:p>
    <w:p w14:paraId="080848FA" w14:textId="77777777" w:rsidR="00274736" w:rsidRDefault="00274736" w:rsidP="00F36BFD">
      <w:pPr>
        <w:pStyle w:val="Style1"/>
        <w:keepNext/>
      </w:pPr>
    </w:p>
    <w:p w14:paraId="6DBE6E8E" w14:textId="72EA72EC" w:rsidR="005B04A8" w:rsidRPr="00B41D57" w:rsidRDefault="00C605FD" w:rsidP="00F36BFD">
      <w:pPr>
        <w:pStyle w:val="Style1"/>
        <w:keepNext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74736">
        <w:t xml:space="preserve"> </w:t>
      </w:r>
      <w:r w:rsidR="00274736" w:rsidRPr="00274736">
        <w:rPr>
          <w:b w:val="0"/>
          <w:bCs/>
          <w:color w:val="000000"/>
          <w:kern w:val="14"/>
        </w:rPr>
        <w:t>QC09AA07</w:t>
      </w:r>
    </w:p>
    <w:p w14:paraId="31D49A70" w14:textId="77777777" w:rsidR="0091648F" w:rsidRPr="00B41D57" w:rsidRDefault="0091648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8199E4D" w:rsidR="00C114FF" w:rsidRPr="00B41D57" w:rsidRDefault="00C605FD" w:rsidP="00F36BFD">
      <w:pPr>
        <w:pStyle w:val="Style1"/>
        <w:keepNext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9F33AA4" w14:textId="75957ED8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proofErr w:type="spellStart"/>
      <w:r w:rsidRPr="00274736">
        <w:rPr>
          <w:color w:val="000000"/>
        </w:rPr>
        <w:t>Benazepril</w:t>
      </w:r>
      <w:proofErr w:type="spellEnd"/>
      <w:r w:rsidRPr="00274736">
        <w:rPr>
          <w:color w:val="000000"/>
        </w:rPr>
        <w:t xml:space="preserve"> </w:t>
      </w:r>
      <w:proofErr w:type="spellStart"/>
      <w:r w:rsidRPr="00274736">
        <w:rPr>
          <w:color w:val="000000"/>
        </w:rPr>
        <w:t>hydrochlorid</w:t>
      </w:r>
      <w:proofErr w:type="spellEnd"/>
      <w:r w:rsidRPr="00274736">
        <w:rPr>
          <w:color w:val="000000"/>
        </w:rPr>
        <w:t xml:space="preserve"> je </w:t>
      </w:r>
      <w:proofErr w:type="spellStart"/>
      <w:r w:rsidRPr="00274736">
        <w:rPr>
          <w:color w:val="000000"/>
        </w:rPr>
        <w:t>proléčivo</w:t>
      </w:r>
      <w:proofErr w:type="spellEnd"/>
      <w:r w:rsidRPr="00274736">
        <w:rPr>
          <w:color w:val="000000"/>
        </w:rPr>
        <w:t xml:space="preserve"> hydrolyzované </w:t>
      </w:r>
      <w:r w:rsidRPr="00274736">
        <w:rPr>
          <w:i/>
          <w:color w:val="000000"/>
        </w:rPr>
        <w:t xml:space="preserve">in </w:t>
      </w:r>
      <w:proofErr w:type="spellStart"/>
      <w:r w:rsidRPr="00274736">
        <w:rPr>
          <w:i/>
          <w:color w:val="000000"/>
        </w:rPr>
        <w:t>vivo</w:t>
      </w:r>
      <w:proofErr w:type="spellEnd"/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 xml:space="preserve">na vlastní aktivní metabolit </w:t>
      </w:r>
      <w:proofErr w:type="spellStart"/>
      <w:r w:rsidRPr="00274736">
        <w:rPr>
          <w:color w:val="000000"/>
        </w:rPr>
        <w:t>benazeprilát</w:t>
      </w:r>
      <w:proofErr w:type="spellEnd"/>
      <w:r w:rsidRPr="00274736">
        <w:rPr>
          <w:color w:val="000000"/>
        </w:rPr>
        <w:t>. Benazeprilát je vysoce potentní a selektivní inhibitor ACE a brání tak konverzi neaktivního angiotensinu </w:t>
      </w:r>
      <w:proofErr w:type="gramStart"/>
      <w:r w:rsidRPr="00274736">
        <w:rPr>
          <w:color w:val="000000"/>
        </w:rPr>
        <w:t>I</w:t>
      </w:r>
      <w:proofErr w:type="gramEnd"/>
      <w:r w:rsidRPr="00274736">
        <w:rPr>
          <w:color w:val="000000"/>
        </w:rPr>
        <w:t xml:space="preserve"> na aktivní angiotensin II a tím také snižuje syntézu aldosteronu. Blokuje tak účinky zprostředkované angiotenzinem II a aldosteronem včetně vazokonstrikce tepen i žil, retence sodíku a vody ledvinami a remodelačních účinků (včetně patologické srdeční hypertrofie a degenerativních změn ledvin).</w:t>
      </w:r>
    </w:p>
    <w:p w14:paraId="331D97D8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i/>
          <w:color w:val="000000"/>
        </w:rPr>
      </w:pPr>
    </w:p>
    <w:p w14:paraId="11571363" w14:textId="03300DAC" w:rsidR="00274736" w:rsidRPr="00274736" w:rsidRDefault="00473C67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>způsobuje dlouhotrvající inhibici aktivity ACE v plazmě u psů s více než 95 % inhibicí při maximálním účinku a významnou účinností (&gt; 80 % u psů) přetrvávající 24 hodin po dávce.</w:t>
      </w:r>
    </w:p>
    <w:p w14:paraId="548F6F3E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DAB72CB" w14:textId="658933DB" w:rsidR="00274736" w:rsidRPr="00274736" w:rsidRDefault="00473C67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Veterinární léčivý p</w:t>
      </w:r>
      <w:r w:rsidRPr="00274736">
        <w:rPr>
          <w:color w:val="000000"/>
        </w:rPr>
        <w:t xml:space="preserve">řípravek </w:t>
      </w:r>
      <w:r w:rsidR="00274736" w:rsidRPr="00274736">
        <w:rPr>
          <w:color w:val="000000"/>
        </w:rPr>
        <w:t>snižuje krevní tlak a objemovou zátěž srdečního svalu u psů s městnavým srdečním selháním.</w:t>
      </w:r>
    </w:p>
    <w:p w14:paraId="52400260" w14:textId="77777777" w:rsidR="0091648F" w:rsidRPr="00B41D57" w:rsidRDefault="009164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787DAB18" w:rsidR="00C114FF" w:rsidRPr="00B41D57" w:rsidRDefault="00C605FD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D30EC" w14:textId="58043BB6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Po perorálním podáním benazepril hydrochloridu je rychle dosaženo maximální plazmatické koncentrace benazeprilu (T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1,1 hodiny u psů), která  rychle klesá, protože léčivá látka je částečně metabolizována jaterními enzymy na benazeprilát. Systémová biologická dostupnost je neúplná (~ </w:t>
      </w:r>
      <w:proofErr w:type="gramStart"/>
      <w:r w:rsidRPr="00274736">
        <w:rPr>
          <w:color w:val="000000"/>
        </w:rPr>
        <w:t>13%</w:t>
      </w:r>
      <w:proofErr w:type="gramEnd"/>
      <w:r w:rsidRPr="00274736">
        <w:rPr>
          <w:color w:val="000000"/>
        </w:rPr>
        <w:t xml:space="preserve"> u psů) z důvodu neúplné absorpce (38% u psů) a metabolismu prvního průchodu játry. U psů byly maximální plazmatické koncentrace benazeprilátu (C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384,16 ng/ml po dávce 1,6 mg/kg benazepril hydrochloridu) dosaženy v čase T</w:t>
      </w:r>
      <w:r w:rsidRPr="00274736">
        <w:rPr>
          <w:color w:val="000000"/>
          <w:vertAlign w:val="subscript"/>
        </w:rPr>
        <w:t>max</w:t>
      </w:r>
      <w:r w:rsidRPr="00274736">
        <w:rPr>
          <w:color w:val="000000"/>
        </w:rPr>
        <w:t xml:space="preserve"> 1,1 hodiny.</w:t>
      </w:r>
    </w:p>
    <w:p w14:paraId="67CA99B6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277BBFF" w14:textId="6634374C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Koncentrace benazeprilátu se snižovaly dvoufázově: počáteční rychlá fáze (t</w:t>
      </w:r>
      <w:r w:rsidRPr="00CC462B">
        <w:rPr>
          <w:color w:val="000000"/>
          <w:vertAlign w:val="subscript"/>
        </w:rPr>
        <w:t>1/2</w:t>
      </w:r>
      <w:r w:rsidRPr="00274736">
        <w:rPr>
          <w:color w:val="000000"/>
        </w:rPr>
        <w:t xml:space="preserve"> = 1,7 hodiny u psů) představuje eliminaci volného léčiva, zatímco konečná fáze (t</w:t>
      </w:r>
      <w:r w:rsidRPr="00CC462B">
        <w:rPr>
          <w:color w:val="000000"/>
          <w:vertAlign w:val="subscript"/>
        </w:rPr>
        <w:t>1/2</w:t>
      </w:r>
      <w:r w:rsidRPr="00274736">
        <w:rPr>
          <w:color w:val="000000"/>
        </w:rPr>
        <w:t xml:space="preserve"> = 19 hodin u psů) odráží uvolňování benazeprilátu, který byl vázán na ACE, zejména ve tkáních.</w:t>
      </w:r>
    </w:p>
    <w:p w14:paraId="26742085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01063F5" w14:textId="11501BE0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Benazepril a benazeprilát jsou ve velké míře vázány na plazmatické proteiny (85-</w:t>
      </w:r>
      <w:proofErr w:type="gramStart"/>
      <w:r w:rsidRPr="00274736">
        <w:rPr>
          <w:color w:val="000000"/>
        </w:rPr>
        <w:t>90%</w:t>
      </w:r>
      <w:proofErr w:type="gramEnd"/>
      <w:r w:rsidRPr="00274736">
        <w:rPr>
          <w:color w:val="000000"/>
        </w:rPr>
        <w:t>) a ve tkáních jsou zjišťovány zejména v játrech a v ledvinách.</w:t>
      </w:r>
    </w:p>
    <w:p w14:paraId="1FD79F73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E0CB268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74736">
        <w:rPr>
          <w:color w:val="000000"/>
        </w:rPr>
        <w:t>Ve farmakokinetice benazeprilátu není žádný významný rozdíl, je-li benazepril podán psům po jídle nebo nalačno. Opakované podání benazepril hydrochloridu</w:t>
      </w:r>
      <w:r w:rsidRPr="00274736">
        <w:rPr>
          <w:i/>
          <w:color w:val="000000"/>
        </w:rPr>
        <w:t xml:space="preserve"> </w:t>
      </w:r>
      <w:r w:rsidRPr="00274736">
        <w:rPr>
          <w:color w:val="000000"/>
        </w:rPr>
        <w:t>vede k mírné bioakumulaci benazeprilátu (R = 1,47 u psů při 0,5 mg/kg), rovnovážného stavu je dosaženo během několika dní (4 dny u psů).</w:t>
      </w:r>
    </w:p>
    <w:p w14:paraId="3824F907" w14:textId="77777777" w:rsidR="00274736" w:rsidRPr="00274736" w:rsidRDefault="00274736" w:rsidP="00274736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D7252B0" w14:textId="3D499CF1" w:rsidR="00274736" w:rsidRPr="00274736" w:rsidRDefault="00274736" w:rsidP="00274736">
      <w:pPr>
        <w:tabs>
          <w:tab w:val="clear" w:pos="567"/>
        </w:tabs>
        <w:spacing w:line="240" w:lineRule="auto"/>
        <w:rPr>
          <w:color w:val="000000"/>
        </w:rPr>
      </w:pPr>
      <w:r w:rsidRPr="00274736">
        <w:rPr>
          <w:color w:val="000000"/>
        </w:rPr>
        <w:t xml:space="preserve">Benazeprilát je u psů vylučován z </w:t>
      </w:r>
      <w:proofErr w:type="gramStart"/>
      <w:r w:rsidRPr="00274736">
        <w:rPr>
          <w:color w:val="000000"/>
        </w:rPr>
        <w:t>54%</w:t>
      </w:r>
      <w:proofErr w:type="gramEnd"/>
      <w:r w:rsidRPr="00274736">
        <w:rPr>
          <w:color w:val="000000"/>
        </w:rPr>
        <w:t xml:space="preserve"> žlučí a z 46% močí. Clearance benazeprilátu není u psů s poškozenou renální funkcí ovlivněna, a proto není zapotřebí v případě renální nedostatečnosti upravovat dávku benazepril hydrochloridu.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F36BFD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F36BFD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DF23215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hanging="567"/>
      </w:pPr>
      <w:r w:rsidRPr="00274736"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83B976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>Doba použitelnosti veterinárního léčivého přípravku v neporušeném obalu:</w:t>
      </w:r>
    </w:p>
    <w:p w14:paraId="576E9445" w14:textId="07C4311C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</w:rPr>
        <w:t>Blistr PVC/PE/PVDC/hliník:</w:t>
      </w:r>
      <w:r w:rsidRPr="00274736">
        <w:rPr>
          <w:color w:val="000000"/>
          <w:kern w:val="14"/>
        </w:rPr>
        <w:t xml:space="preserve"> </w:t>
      </w:r>
      <w:r w:rsidR="009C7925" w:rsidRPr="009C7925">
        <w:rPr>
          <w:color w:val="000000"/>
          <w:kern w:val="14"/>
        </w:rPr>
        <w:t>15 měsíců</w:t>
      </w:r>
      <w:r w:rsidRPr="00274736">
        <w:rPr>
          <w:color w:val="000000"/>
          <w:kern w:val="14"/>
        </w:rPr>
        <w:t>.</w:t>
      </w:r>
    </w:p>
    <w:p w14:paraId="483B01F1" w14:textId="150D35DB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 xml:space="preserve">Blistr hliník/hliník: </w:t>
      </w:r>
      <w:r w:rsidR="009C7925">
        <w:rPr>
          <w:color w:val="000000"/>
          <w:kern w:val="14"/>
        </w:rPr>
        <w:t>3</w:t>
      </w:r>
      <w:r w:rsidRPr="00274736">
        <w:rPr>
          <w:color w:val="000000"/>
          <w:kern w:val="14"/>
        </w:rPr>
        <w:t xml:space="preserve"> roky.</w:t>
      </w:r>
    </w:p>
    <w:p w14:paraId="1AC66374" w14:textId="77777777" w:rsidR="00274736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  <w:kern w:val="14"/>
        </w:rPr>
      </w:pPr>
      <w:r w:rsidRPr="00274736">
        <w:rPr>
          <w:color w:val="000000"/>
          <w:kern w:val="14"/>
        </w:rPr>
        <w:t>Doba použitelnosti zbylé poloviny tablety: 1 den.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F3F311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 xml:space="preserve">Uchovávejte při teplotě do 25 </w:t>
      </w:r>
      <w:r w:rsidRPr="00274736">
        <w:rPr>
          <w:color w:val="000000"/>
          <w:kern w:val="14"/>
        </w:rPr>
        <w:sym w:font="Symbol" w:char="F0B0"/>
      </w:r>
      <w:r w:rsidRPr="00274736">
        <w:rPr>
          <w:color w:val="000000"/>
          <w:kern w:val="14"/>
        </w:rPr>
        <w:t>C.</w:t>
      </w:r>
    </w:p>
    <w:p w14:paraId="18C0B26A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left="567" w:right="-318" w:hanging="567"/>
        <w:jc w:val="both"/>
        <w:rPr>
          <w:color w:val="000000"/>
          <w:kern w:val="14"/>
        </w:rPr>
      </w:pPr>
      <w:r w:rsidRPr="00274736">
        <w:rPr>
          <w:color w:val="000000"/>
          <w:kern w:val="14"/>
        </w:rPr>
        <w:t>Uchovávejte v původním obalu.</w:t>
      </w:r>
    </w:p>
    <w:p w14:paraId="33893AD1" w14:textId="77777777" w:rsidR="00274736" w:rsidRPr="00274736" w:rsidRDefault="00274736" w:rsidP="00274736">
      <w:pPr>
        <w:tabs>
          <w:tab w:val="clear" w:pos="567"/>
        </w:tabs>
        <w:spacing w:line="240" w:lineRule="auto"/>
        <w:ind w:right="-318"/>
        <w:rPr>
          <w:color w:val="000000"/>
          <w:kern w:val="14"/>
        </w:rPr>
      </w:pPr>
      <w:r w:rsidRPr="00274736">
        <w:rPr>
          <w:color w:val="000000"/>
          <w:kern w:val="14"/>
        </w:rPr>
        <w:t>Zbylé nepoužité poloviny tablet vraťte zpět do blistru a uchovávejte v původním obalu.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B8EB43A" w14:textId="786561AB" w:rsidR="00470747" w:rsidRDefault="00470747" w:rsidP="00470747">
      <w:pPr>
        <w:tabs>
          <w:tab w:val="clear" w:pos="567"/>
        </w:tabs>
        <w:spacing w:line="240" w:lineRule="auto"/>
        <w:rPr>
          <w:szCs w:val="22"/>
        </w:rPr>
      </w:pPr>
      <w:bookmarkStart w:id="2" w:name="_Hlk165025427"/>
      <w:r>
        <w:t>Blistr z </w:t>
      </w:r>
      <w:r w:rsidRPr="00E42549">
        <w:t>PVC/PE/PVDC/</w:t>
      </w:r>
      <w:r>
        <w:t>hliníkové fólie</w:t>
      </w:r>
    </w:p>
    <w:p w14:paraId="3CA4F8E0" w14:textId="0161B37C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FEC811E" w14:textId="1991D72D" w:rsidR="00470747" w:rsidRDefault="00470747" w:rsidP="00470747">
      <w:pPr>
        <w:tabs>
          <w:tab w:val="clear" w:pos="567"/>
        </w:tabs>
        <w:spacing w:line="240" w:lineRule="auto"/>
      </w:pPr>
      <w:r>
        <w:t>nebo</w:t>
      </w:r>
    </w:p>
    <w:p w14:paraId="4F222A46" w14:textId="73ADED39" w:rsidR="00470747" w:rsidRPr="00E42549" w:rsidRDefault="00470747" w:rsidP="00470747">
      <w:pPr>
        <w:tabs>
          <w:tab w:val="clear" w:pos="567"/>
        </w:tabs>
        <w:spacing w:line="240" w:lineRule="auto"/>
      </w:pPr>
      <w:r>
        <w:t>Blistr z hliníku/hliníkové fólie</w:t>
      </w:r>
    </w:p>
    <w:bookmarkEnd w:id="2"/>
    <w:p w14:paraId="294F5F54" w14:textId="77777777" w:rsidR="00470747" w:rsidRPr="00E42549" w:rsidRDefault="00470747" w:rsidP="00470747">
      <w:pPr>
        <w:tabs>
          <w:tab w:val="clear" w:pos="567"/>
        </w:tabs>
        <w:spacing w:line="240" w:lineRule="auto"/>
      </w:pPr>
      <w:r>
        <w:t>Papírová krabička s </w:t>
      </w:r>
      <w:r w:rsidRPr="00E42549">
        <w:t xml:space="preserve">1, 2, 3, 4, 5, 6 </w:t>
      </w:r>
      <w:r>
        <w:t>nebo 7 blistry po 14 tabletách</w:t>
      </w:r>
      <w:r w:rsidRPr="00E42549">
        <w:t>.</w:t>
      </w:r>
    </w:p>
    <w:p w14:paraId="149E82F5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right="-318"/>
        <w:jc w:val="both"/>
        <w:rPr>
          <w:color w:val="000000"/>
          <w:kern w:val="14"/>
        </w:rPr>
      </w:pPr>
    </w:p>
    <w:p w14:paraId="2012A528" w14:textId="77777777" w:rsidR="00274736" w:rsidRPr="00274736" w:rsidRDefault="00274736" w:rsidP="00274736">
      <w:pPr>
        <w:widowControl w:val="0"/>
        <w:tabs>
          <w:tab w:val="clear" w:pos="567"/>
        </w:tabs>
        <w:spacing w:line="240" w:lineRule="auto"/>
        <w:ind w:right="-318"/>
        <w:rPr>
          <w:color w:val="000000"/>
          <w:kern w:val="14"/>
        </w:rPr>
      </w:pPr>
      <w:r w:rsidRPr="00274736">
        <w:rPr>
          <w:color w:val="000000"/>
          <w:kern w:val="14"/>
        </w:rPr>
        <w:t>Na trhu nemusí být všechny velikosti balení.</w:t>
      </w:r>
    </w:p>
    <w:p w14:paraId="227DFA06" w14:textId="77777777" w:rsidR="0091648F" w:rsidRDefault="0091648F" w:rsidP="00A9226B">
      <w:pPr>
        <w:tabs>
          <w:tab w:val="clear" w:pos="567"/>
        </w:tabs>
        <w:spacing w:line="240" w:lineRule="auto"/>
      </w:pPr>
    </w:p>
    <w:p w14:paraId="580835CC" w14:textId="74323501" w:rsidR="00C114FF" w:rsidRPr="00B41D57" w:rsidRDefault="00C605FD" w:rsidP="00F36BFD">
      <w:pPr>
        <w:pStyle w:val="Style1"/>
        <w:keepNext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F36BF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2F45B46" w14:textId="6DEFF893" w:rsidR="001B146F" w:rsidRPr="00B41D57" w:rsidRDefault="001B146F" w:rsidP="001B146F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1E7B059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206517C8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14E1824" w14:textId="77777777" w:rsidR="001B146F" w:rsidRPr="00B41D57" w:rsidRDefault="001B146F" w:rsidP="001B146F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787F8C99" w14:textId="77777777" w:rsidR="0081646C" w:rsidRDefault="0081646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DD078" w14:textId="4E2A2975" w:rsidR="00274736" w:rsidRDefault="00274736" w:rsidP="00274736">
      <w:pPr>
        <w:tabs>
          <w:tab w:val="clear" w:pos="567"/>
          <w:tab w:val="left" w:pos="708"/>
        </w:tabs>
        <w:spacing w:line="240" w:lineRule="auto"/>
        <w:ind w:left="567" w:right="-318" w:hanging="567"/>
      </w:pPr>
      <w:r w:rsidRPr="00274736">
        <w:t>Dechra Regulatory B.V.</w:t>
      </w:r>
    </w:p>
    <w:p w14:paraId="34A9FD8A" w14:textId="77777777" w:rsidR="00B33768" w:rsidRDefault="00B33768" w:rsidP="00274736">
      <w:pPr>
        <w:tabs>
          <w:tab w:val="clear" w:pos="567"/>
          <w:tab w:val="left" w:pos="708"/>
        </w:tabs>
        <w:spacing w:line="240" w:lineRule="auto"/>
        <w:ind w:left="567" w:right="-318" w:hanging="567"/>
      </w:pPr>
    </w:p>
    <w:p w14:paraId="116E7E04" w14:textId="77777777" w:rsidR="00B33768" w:rsidRPr="00274736" w:rsidRDefault="00B33768" w:rsidP="00274736">
      <w:pPr>
        <w:tabs>
          <w:tab w:val="clear" w:pos="567"/>
          <w:tab w:val="left" w:pos="708"/>
        </w:tabs>
        <w:spacing w:line="240" w:lineRule="auto"/>
        <w:ind w:left="567" w:right="-318" w:hanging="567"/>
        <w:rPr>
          <w:lang w:val="pl-PL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8C9DA" w14:textId="1749DDD9" w:rsidR="00B33768" w:rsidRPr="00274736" w:rsidRDefault="00274736" w:rsidP="00274736">
      <w:pPr>
        <w:tabs>
          <w:tab w:val="clear" w:pos="567"/>
        </w:tabs>
        <w:spacing w:line="240" w:lineRule="auto"/>
        <w:ind w:left="567" w:right="-318" w:hanging="567"/>
        <w:rPr>
          <w:color w:val="000000"/>
        </w:rPr>
      </w:pPr>
      <w:r w:rsidRPr="00274736">
        <w:rPr>
          <w:color w:val="000000"/>
        </w:rPr>
        <w:t>96/05</w:t>
      </w:r>
      <w:r w:rsidR="00E46806">
        <w:rPr>
          <w:color w:val="000000"/>
        </w:rPr>
        <w:t>6</w:t>
      </w:r>
      <w:r w:rsidRPr="00274736">
        <w:rPr>
          <w:color w:val="000000"/>
        </w:rPr>
        <w:t>/</w:t>
      </w:r>
      <w:proofErr w:type="gramStart"/>
      <w:r w:rsidRPr="00274736">
        <w:rPr>
          <w:color w:val="000000"/>
        </w:rPr>
        <w:t>08-C</w:t>
      </w:r>
      <w:proofErr w:type="gramEnd"/>
    </w:p>
    <w:p w14:paraId="427D05E5" w14:textId="77777777" w:rsidR="00C114FF" w:rsidRDefault="00C114FF" w:rsidP="005F15F9">
      <w:pPr>
        <w:tabs>
          <w:tab w:val="clear" w:pos="567"/>
        </w:tabs>
        <w:spacing w:line="240" w:lineRule="auto"/>
        <w:ind w:left="567" w:right="-318" w:hanging="567"/>
        <w:rPr>
          <w:szCs w:val="22"/>
        </w:rPr>
      </w:pPr>
    </w:p>
    <w:p w14:paraId="1B5410AB" w14:textId="77777777" w:rsidR="0081646C" w:rsidRPr="00B41D57" w:rsidRDefault="0081646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C5BC81" w14:textId="183D384F" w:rsidR="0091648F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274736">
        <w:t xml:space="preserve"> </w:t>
      </w:r>
      <w:r w:rsidR="00274736" w:rsidRPr="00C95BA7">
        <w:rPr>
          <w:color w:val="000000"/>
          <w:kern w:val="14"/>
        </w:rPr>
        <w:t>29. 10. 2008</w:t>
      </w:r>
    </w:p>
    <w:p w14:paraId="669AE9C0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5AE9E" w14:textId="77777777" w:rsidR="00613DA8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2708C466" w14:textId="77777777" w:rsidR="00B33768" w:rsidRPr="00B41D57" w:rsidRDefault="00B33768" w:rsidP="00274736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7A7B9A7D" w:rsidR="00C114FF" w:rsidRDefault="00710D3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CC462B">
        <w:rPr>
          <w:szCs w:val="22"/>
        </w:rPr>
        <w:t>9</w:t>
      </w:r>
      <w:bookmarkStart w:id="3" w:name="_GoBack"/>
      <w:bookmarkEnd w:id="3"/>
      <w:r>
        <w:rPr>
          <w:szCs w:val="22"/>
        </w:rPr>
        <w:t>/2025</w:t>
      </w:r>
    </w:p>
    <w:p w14:paraId="5DD5A808" w14:textId="77777777" w:rsidR="009B24BF" w:rsidRPr="00B41D57" w:rsidRDefault="009B24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DB9FB" w14:textId="056B361D" w:rsidR="0091648F" w:rsidRDefault="00613DA8" w:rsidP="00A9226B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06E80E8A" w14:textId="77777777" w:rsidR="00613DA8" w:rsidRDefault="00613DA8" w:rsidP="00A9226B">
      <w:pPr>
        <w:tabs>
          <w:tab w:val="clear" w:pos="567"/>
        </w:tabs>
        <w:spacing w:line="240" w:lineRule="auto"/>
      </w:pPr>
    </w:p>
    <w:p w14:paraId="7B901385" w14:textId="77777777" w:rsidR="00613DA8" w:rsidRPr="00B41D57" w:rsidRDefault="00613DA8" w:rsidP="00613DA8">
      <w:pPr>
        <w:ind w:right="-318"/>
        <w:rPr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4"/>
    <w:p w14:paraId="2873BFC1" w14:textId="77777777" w:rsidR="00613DA8" w:rsidRPr="00B41D57" w:rsidRDefault="00613D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A84775" w14:textId="77777777" w:rsidR="00710D3A" w:rsidRPr="00C672C7" w:rsidRDefault="00710D3A" w:rsidP="00710D3A">
      <w:pPr>
        <w:spacing w:line="240" w:lineRule="auto"/>
      </w:pPr>
      <w:bookmarkStart w:id="5" w:name="_Hlk148432335"/>
      <w:r w:rsidRPr="00C672C7">
        <w:t>Podrobné informace o tomto veterinárním léčivém přípravku naleznete také v národní databázi (</w:t>
      </w:r>
      <w:hyperlink r:id="rId9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5"/>
    <w:p w14:paraId="72BBFD3F" w14:textId="13C2580C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B1070" w14:textId="77777777" w:rsidR="00761922" w:rsidRDefault="00761922">
      <w:pPr>
        <w:spacing w:line="240" w:lineRule="auto"/>
      </w:pPr>
      <w:r>
        <w:separator/>
      </w:r>
    </w:p>
  </w:endnote>
  <w:endnote w:type="continuationSeparator" w:id="0">
    <w:p w14:paraId="51F39EF4" w14:textId="77777777" w:rsidR="00761922" w:rsidRDefault="00761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CEBC" w14:textId="77777777" w:rsidR="00761922" w:rsidRDefault="00761922">
      <w:pPr>
        <w:spacing w:line="240" w:lineRule="auto"/>
      </w:pPr>
      <w:r>
        <w:separator/>
      </w:r>
    </w:p>
  </w:footnote>
  <w:footnote w:type="continuationSeparator" w:id="0">
    <w:p w14:paraId="44143364" w14:textId="77777777" w:rsidR="00761922" w:rsidRDefault="00761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EC20" w14:textId="50648AAA" w:rsidR="00B642E7" w:rsidRDefault="00AC4DBE" w:rsidP="00B642E7">
    <w:r w:rsidDel="00AC4DBE">
      <w:t xml:space="preserve"> </w:t>
    </w:r>
  </w:p>
  <w:p w14:paraId="2A47A985" w14:textId="77777777" w:rsidR="00B642E7" w:rsidRDefault="00B64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152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5DB3"/>
    <w:rsid w:val="000D67D0"/>
    <w:rsid w:val="000E115E"/>
    <w:rsid w:val="000E195C"/>
    <w:rsid w:val="000E3602"/>
    <w:rsid w:val="000E705A"/>
    <w:rsid w:val="000F21E9"/>
    <w:rsid w:val="000F38DA"/>
    <w:rsid w:val="000F5822"/>
    <w:rsid w:val="000F796B"/>
    <w:rsid w:val="0010031E"/>
    <w:rsid w:val="001012EB"/>
    <w:rsid w:val="00102F3C"/>
    <w:rsid w:val="00103E4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46F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12F5"/>
    <w:rsid w:val="001E5621"/>
    <w:rsid w:val="001E6DD4"/>
    <w:rsid w:val="001F1C7E"/>
    <w:rsid w:val="001F3239"/>
    <w:rsid w:val="001F3EF9"/>
    <w:rsid w:val="001F627D"/>
    <w:rsid w:val="001F6622"/>
    <w:rsid w:val="001F6F38"/>
    <w:rsid w:val="00200987"/>
    <w:rsid w:val="00200EFE"/>
    <w:rsid w:val="0020126C"/>
    <w:rsid w:val="00202A85"/>
    <w:rsid w:val="00202EA3"/>
    <w:rsid w:val="002062D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7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C6B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4D99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9F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47FF4"/>
    <w:rsid w:val="004518A6"/>
    <w:rsid w:val="00453E1D"/>
    <w:rsid w:val="00454589"/>
    <w:rsid w:val="00456ED0"/>
    <w:rsid w:val="00457550"/>
    <w:rsid w:val="00457B74"/>
    <w:rsid w:val="00461B2A"/>
    <w:rsid w:val="004620A4"/>
    <w:rsid w:val="00470747"/>
    <w:rsid w:val="00473C67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40AE"/>
    <w:rsid w:val="004A61E1"/>
    <w:rsid w:val="004B1A75"/>
    <w:rsid w:val="004B2344"/>
    <w:rsid w:val="004B5797"/>
    <w:rsid w:val="004B5DDC"/>
    <w:rsid w:val="004B798E"/>
    <w:rsid w:val="004C0568"/>
    <w:rsid w:val="004C0E04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6E21"/>
    <w:rsid w:val="00517756"/>
    <w:rsid w:val="005202C6"/>
    <w:rsid w:val="00523C53"/>
    <w:rsid w:val="005272F4"/>
    <w:rsid w:val="00527B8F"/>
    <w:rsid w:val="005328A8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2A"/>
    <w:rsid w:val="0058391B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0FC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5F9"/>
    <w:rsid w:val="005F1C1F"/>
    <w:rsid w:val="005F2FAD"/>
    <w:rsid w:val="005F346D"/>
    <w:rsid w:val="005F38FB"/>
    <w:rsid w:val="00602D3B"/>
    <w:rsid w:val="0060326F"/>
    <w:rsid w:val="00606EA1"/>
    <w:rsid w:val="006128F0"/>
    <w:rsid w:val="00612BAE"/>
    <w:rsid w:val="00613DA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657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0D3A"/>
    <w:rsid w:val="00711704"/>
    <w:rsid w:val="00715C55"/>
    <w:rsid w:val="00724E3B"/>
    <w:rsid w:val="00725EEA"/>
    <w:rsid w:val="007276B6"/>
    <w:rsid w:val="00730908"/>
    <w:rsid w:val="00730CE9"/>
    <w:rsid w:val="0073373D"/>
    <w:rsid w:val="00735807"/>
    <w:rsid w:val="007368DB"/>
    <w:rsid w:val="00736B1E"/>
    <w:rsid w:val="007439DB"/>
    <w:rsid w:val="007464DA"/>
    <w:rsid w:val="00752686"/>
    <w:rsid w:val="007568D8"/>
    <w:rsid w:val="007616B4"/>
    <w:rsid w:val="00761922"/>
    <w:rsid w:val="00765316"/>
    <w:rsid w:val="007665F1"/>
    <w:rsid w:val="007708C8"/>
    <w:rsid w:val="0077719D"/>
    <w:rsid w:val="00780DF0"/>
    <w:rsid w:val="007810B7"/>
    <w:rsid w:val="00782F0F"/>
    <w:rsid w:val="0078538F"/>
    <w:rsid w:val="00786E4A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53CF"/>
    <w:rsid w:val="007D73FB"/>
    <w:rsid w:val="007D7608"/>
    <w:rsid w:val="007E2F2D"/>
    <w:rsid w:val="007E7C5A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69"/>
    <w:rsid w:val="008145D9"/>
    <w:rsid w:val="00814AF1"/>
    <w:rsid w:val="0081517F"/>
    <w:rsid w:val="00815370"/>
    <w:rsid w:val="008161AE"/>
    <w:rsid w:val="0081646C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B4FAC"/>
    <w:rsid w:val="008C261B"/>
    <w:rsid w:val="008C2B29"/>
    <w:rsid w:val="008C3B9F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48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1C9E"/>
    <w:rsid w:val="00964F03"/>
    <w:rsid w:val="00966F1F"/>
    <w:rsid w:val="00975676"/>
    <w:rsid w:val="00976467"/>
    <w:rsid w:val="00976D32"/>
    <w:rsid w:val="0098220E"/>
    <w:rsid w:val="009844F7"/>
    <w:rsid w:val="009938F7"/>
    <w:rsid w:val="00995A7D"/>
    <w:rsid w:val="009A05AA"/>
    <w:rsid w:val="009A2D5A"/>
    <w:rsid w:val="009A6509"/>
    <w:rsid w:val="009A6E2F"/>
    <w:rsid w:val="009B24BF"/>
    <w:rsid w:val="009B2969"/>
    <w:rsid w:val="009B2C7E"/>
    <w:rsid w:val="009B6DBD"/>
    <w:rsid w:val="009C108A"/>
    <w:rsid w:val="009C2E47"/>
    <w:rsid w:val="009C6BFB"/>
    <w:rsid w:val="009C7925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2125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87A"/>
    <w:rsid w:val="00A34FAB"/>
    <w:rsid w:val="00A4075D"/>
    <w:rsid w:val="00A41039"/>
    <w:rsid w:val="00A4113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B5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7B9"/>
    <w:rsid w:val="00AB1A2E"/>
    <w:rsid w:val="00AB328A"/>
    <w:rsid w:val="00AB4918"/>
    <w:rsid w:val="00AB4BC8"/>
    <w:rsid w:val="00AB6BA7"/>
    <w:rsid w:val="00AB7BE8"/>
    <w:rsid w:val="00AC4DBE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768"/>
    <w:rsid w:val="00B3499B"/>
    <w:rsid w:val="00B36E65"/>
    <w:rsid w:val="00B41D57"/>
    <w:rsid w:val="00B41F47"/>
    <w:rsid w:val="00B44468"/>
    <w:rsid w:val="00B60AC9"/>
    <w:rsid w:val="00B642E7"/>
    <w:rsid w:val="00B660D6"/>
    <w:rsid w:val="00B67323"/>
    <w:rsid w:val="00B715F2"/>
    <w:rsid w:val="00B74071"/>
    <w:rsid w:val="00B7428E"/>
    <w:rsid w:val="00B74B67"/>
    <w:rsid w:val="00B75580"/>
    <w:rsid w:val="00B76744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49C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5B93"/>
    <w:rsid w:val="00C36883"/>
    <w:rsid w:val="00C40928"/>
    <w:rsid w:val="00C40CFF"/>
    <w:rsid w:val="00C42697"/>
    <w:rsid w:val="00C42FFB"/>
    <w:rsid w:val="00C43F01"/>
    <w:rsid w:val="00C46EF1"/>
    <w:rsid w:val="00C47552"/>
    <w:rsid w:val="00C56F31"/>
    <w:rsid w:val="00C576BD"/>
    <w:rsid w:val="00C57A81"/>
    <w:rsid w:val="00C60193"/>
    <w:rsid w:val="00C603BD"/>
    <w:rsid w:val="00C605FD"/>
    <w:rsid w:val="00C634D4"/>
    <w:rsid w:val="00C63AA5"/>
    <w:rsid w:val="00C64767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462B"/>
    <w:rsid w:val="00CC4C84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00D"/>
    <w:rsid w:val="00D1089A"/>
    <w:rsid w:val="00D116BD"/>
    <w:rsid w:val="00D16FE0"/>
    <w:rsid w:val="00D2001A"/>
    <w:rsid w:val="00D20684"/>
    <w:rsid w:val="00D26B62"/>
    <w:rsid w:val="00D31944"/>
    <w:rsid w:val="00D32624"/>
    <w:rsid w:val="00D3691A"/>
    <w:rsid w:val="00D377E2"/>
    <w:rsid w:val="00D403E9"/>
    <w:rsid w:val="00D42DCB"/>
    <w:rsid w:val="00D45482"/>
    <w:rsid w:val="00D46DF2"/>
    <w:rsid w:val="00D47674"/>
    <w:rsid w:val="00D513EA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2E3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6806"/>
    <w:rsid w:val="00E5210A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609"/>
    <w:rsid w:val="00E82496"/>
    <w:rsid w:val="00E834CD"/>
    <w:rsid w:val="00E846DC"/>
    <w:rsid w:val="00E84E9D"/>
    <w:rsid w:val="00E86CEE"/>
    <w:rsid w:val="00E935AF"/>
    <w:rsid w:val="00EA567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535"/>
    <w:rsid w:val="00F12214"/>
    <w:rsid w:val="00F12565"/>
    <w:rsid w:val="00F144BE"/>
    <w:rsid w:val="00F14ACA"/>
    <w:rsid w:val="00F16146"/>
    <w:rsid w:val="00F165BD"/>
    <w:rsid w:val="00F17A0C"/>
    <w:rsid w:val="00F23927"/>
    <w:rsid w:val="00F26644"/>
    <w:rsid w:val="00F26A05"/>
    <w:rsid w:val="00F307CE"/>
    <w:rsid w:val="00F343C8"/>
    <w:rsid w:val="00F345A8"/>
    <w:rsid w:val="00F354C5"/>
    <w:rsid w:val="00F36BFD"/>
    <w:rsid w:val="00F37108"/>
    <w:rsid w:val="00F377D5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1BD8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CFD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24DB-4495-4B58-BF21-FF5EE93D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1585</Words>
  <Characters>9358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29</cp:revision>
  <cp:lastPrinted>2025-09-12T08:13:00Z</cp:lastPrinted>
  <dcterms:created xsi:type="dcterms:W3CDTF">2024-11-08T09:47:00Z</dcterms:created>
  <dcterms:modified xsi:type="dcterms:W3CDTF">2025-09-12T08:13:00Z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