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53B838" w14:textId="235DF8C7" w:rsidR="00AD6B2F" w:rsidRPr="00545B22" w:rsidRDefault="00AD6B2F" w:rsidP="000767F8">
      <w:pPr>
        <w:pStyle w:val="Normlnweb"/>
        <w:jc w:val="both"/>
        <w:rPr>
          <w:rFonts w:asciiTheme="minorHAnsi" w:hAnsiTheme="minorHAnsi" w:cstheme="minorHAnsi"/>
          <w:sz w:val="28"/>
          <w:szCs w:val="28"/>
          <w:lang w:val="en-GB"/>
        </w:rPr>
      </w:pPr>
      <w:bookmarkStart w:id="0" w:name="_GoBack"/>
      <w:bookmarkEnd w:id="0"/>
      <w:r w:rsidRPr="00545B22">
        <w:rPr>
          <w:rFonts w:asciiTheme="minorHAnsi" w:hAnsiTheme="minorHAnsi" w:cstheme="minorHAnsi"/>
          <w:b/>
          <w:bCs/>
          <w:sz w:val="28"/>
          <w:szCs w:val="28"/>
          <w:lang w:val="en-GB"/>
        </w:rPr>
        <w:t>Criteria for fee waivers for veterinary medicinal products authorised by</w:t>
      </w:r>
      <w:r w:rsidR="000767F8">
        <w:rPr>
          <w:rFonts w:asciiTheme="minorHAnsi" w:hAnsiTheme="minorHAnsi" w:cstheme="minorHAnsi"/>
          <w:b/>
          <w:bCs/>
          <w:sz w:val="28"/>
          <w:szCs w:val="28"/>
          <w:lang w:val="en-GB"/>
        </w:rPr>
        <w:t> </w:t>
      </w:r>
      <w:r w:rsidRPr="00545B22">
        <w:rPr>
          <w:rFonts w:asciiTheme="minorHAnsi" w:hAnsiTheme="minorHAnsi" w:cstheme="minorHAnsi"/>
          <w:b/>
          <w:bCs/>
          <w:sz w:val="28"/>
          <w:szCs w:val="28"/>
          <w:lang w:val="en-GB"/>
        </w:rPr>
        <w:t>the</w:t>
      </w:r>
      <w:r w:rsidR="000767F8">
        <w:rPr>
          <w:rFonts w:asciiTheme="minorHAnsi" w:hAnsiTheme="minorHAnsi" w:cstheme="minorHAnsi"/>
          <w:b/>
          <w:bCs/>
          <w:sz w:val="28"/>
          <w:szCs w:val="28"/>
          <w:lang w:val="en-GB"/>
        </w:rPr>
        <w:t> </w:t>
      </w:r>
      <w:r w:rsidRPr="00545B22">
        <w:rPr>
          <w:rFonts w:asciiTheme="minorHAnsi" w:hAnsiTheme="minorHAnsi" w:cstheme="minorHAnsi"/>
          <w:b/>
          <w:bCs/>
          <w:sz w:val="28"/>
          <w:szCs w:val="28"/>
          <w:lang w:val="en-GB"/>
        </w:rPr>
        <w:t>European Commission (centrally authorised VMPs)</w:t>
      </w:r>
    </w:p>
    <w:p w14:paraId="28CF3AAD" w14:textId="78AC2399" w:rsidR="00AD6B2F" w:rsidRPr="00AD6B2F" w:rsidRDefault="00AD6B2F" w:rsidP="000F2588">
      <w:pPr>
        <w:pStyle w:val="Normlnweb"/>
        <w:jc w:val="both"/>
        <w:rPr>
          <w:rFonts w:asciiTheme="minorHAnsi" w:hAnsiTheme="minorHAnsi" w:cstheme="minorHAnsi"/>
          <w:sz w:val="22"/>
          <w:szCs w:val="22"/>
          <w:lang w:val="en-GB"/>
        </w:rPr>
      </w:pPr>
      <w:r w:rsidRPr="00AD6B2F">
        <w:rPr>
          <w:rFonts w:asciiTheme="minorHAnsi" w:hAnsiTheme="minorHAnsi" w:cstheme="minorHAnsi"/>
          <w:sz w:val="22"/>
          <w:szCs w:val="22"/>
          <w:lang w:val="en-GB"/>
        </w:rPr>
        <w:t>In connection with Decree No. 501/2025 Coll., amending Decree No. 427/2008 Coll., on determining the amount of expense reimbursements for expert activities performed within the remit of the State Institute for Drug Control and the Institute for State Control of Veterinary Biologicals and Medic</w:t>
      </w:r>
      <w:r w:rsidR="006B7999">
        <w:rPr>
          <w:rFonts w:asciiTheme="minorHAnsi" w:hAnsiTheme="minorHAnsi" w:cstheme="minorHAnsi"/>
          <w:sz w:val="22"/>
          <w:szCs w:val="22"/>
          <w:lang w:val="en-GB"/>
        </w:rPr>
        <w:t>ines</w:t>
      </w:r>
      <w:r w:rsidRPr="00AD6B2F">
        <w:rPr>
          <w:rFonts w:asciiTheme="minorHAnsi" w:hAnsiTheme="minorHAnsi" w:cstheme="minorHAnsi"/>
          <w:sz w:val="22"/>
          <w:szCs w:val="22"/>
          <w:lang w:val="en-GB"/>
        </w:rPr>
        <w:t xml:space="preserve">, as amended, the schedule of expense reimbursements for expert activities is adjusted with </w:t>
      </w:r>
      <w:r w:rsidRPr="00AD6B2F">
        <w:rPr>
          <w:rFonts w:asciiTheme="minorHAnsi" w:hAnsiTheme="minorHAnsi" w:cstheme="minorHAnsi"/>
          <w:b/>
          <w:bCs/>
          <w:sz w:val="22"/>
          <w:szCs w:val="22"/>
          <w:lang w:val="en-GB"/>
        </w:rPr>
        <w:t>effect from January 2026</w:t>
      </w:r>
      <w:r w:rsidRPr="00AD6B2F">
        <w:rPr>
          <w:rFonts w:asciiTheme="minorHAnsi" w:hAnsiTheme="minorHAnsi" w:cstheme="minorHAnsi"/>
          <w:sz w:val="22"/>
          <w:szCs w:val="22"/>
          <w:lang w:val="en-GB"/>
        </w:rPr>
        <w:t>.</w:t>
      </w:r>
    </w:p>
    <w:p w14:paraId="310ABBC4" w14:textId="57747673" w:rsidR="00AD6B2F" w:rsidRPr="006B7999" w:rsidRDefault="00AD6B2F" w:rsidP="000F2588">
      <w:pPr>
        <w:pStyle w:val="Normlnweb"/>
        <w:jc w:val="both"/>
        <w:rPr>
          <w:rFonts w:asciiTheme="minorHAnsi" w:hAnsiTheme="minorHAnsi" w:cstheme="minorHAnsi"/>
          <w:b/>
          <w:sz w:val="22"/>
          <w:szCs w:val="22"/>
          <w:lang w:val="en-GB"/>
        </w:rPr>
      </w:pPr>
      <w:r w:rsidRPr="006B7999">
        <w:rPr>
          <w:rFonts w:asciiTheme="minorHAnsi" w:hAnsiTheme="minorHAnsi" w:cstheme="minorHAnsi"/>
          <w:b/>
          <w:sz w:val="22"/>
          <w:szCs w:val="22"/>
          <w:lang w:val="en-GB"/>
        </w:rPr>
        <w:t>For centrally authorised VMPs</w:t>
      </w:r>
      <w:r w:rsidRPr="00AD6B2F">
        <w:rPr>
          <w:rFonts w:asciiTheme="minorHAnsi" w:hAnsiTheme="minorHAnsi" w:cstheme="minorHAnsi"/>
          <w:sz w:val="22"/>
          <w:szCs w:val="22"/>
          <w:lang w:val="en-GB"/>
        </w:rPr>
        <w:t>, in the framework of the adjustment of the schedule of expense reimbursements for expert activities performed within the remit of the Institute for State Control of</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Veterinary Biologicals and Medic</w:t>
      </w:r>
      <w:r w:rsidR="006B7999">
        <w:rPr>
          <w:rFonts w:asciiTheme="minorHAnsi" w:hAnsiTheme="minorHAnsi" w:cstheme="minorHAnsi"/>
          <w:sz w:val="22"/>
          <w:szCs w:val="22"/>
          <w:lang w:val="en-GB"/>
        </w:rPr>
        <w:t>ines</w:t>
      </w:r>
      <w:r w:rsidRPr="00AD6B2F">
        <w:rPr>
          <w:rFonts w:asciiTheme="minorHAnsi" w:hAnsiTheme="minorHAnsi" w:cstheme="minorHAnsi"/>
          <w:sz w:val="22"/>
          <w:szCs w:val="22"/>
          <w:lang w:val="en-GB"/>
        </w:rPr>
        <w:t xml:space="preserve">, the following criteria are set </w:t>
      </w:r>
      <w:r w:rsidRPr="006B7999">
        <w:rPr>
          <w:rFonts w:asciiTheme="minorHAnsi" w:hAnsiTheme="minorHAnsi" w:cstheme="minorHAnsi"/>
          <w:b/>
          <w:sz w:val="22"/>
          <w:szCs w:val="22"/>
          <w:lang w:val="en-GB"/>
        </w:rPr>
        <w:t>for the annual flat-rate payment with code U-002</w:t>
      </w:r>
      <w:r w:rsidRPr="00AD6B2F">
        <w:rPr>
          <w:rFonts w:asciiTheme="minorHAnsi" w:hAnsiTheme="minorHAnsi" w:cstheme="minorHAnsi"/>
          <w:sz w:val="22"/>
          <w:szCs w:val="22"/>
          <w:lang w:val="en-GB"/>
        </w:rPr>
        <w:t xml:space="preserve"> "Annual maintenance fee for pharmacovigilance activities and other tasks associated with the lifecycle of veterinary medicinal products authorised by the European Commission, performed by the Institute for State Control of Veterinary Biologicals and </w:t>
      </w:r>
      <w:r w:rsidR="006B7999" w:rsidRPr="00AD6B2F">
        <w:rPr>
          <w:rFonts w:asciiTheme="minorHAnsi" w:hAnsiTheme="minorHAnsi" w:cstheme="minorHAnsi"/>
          <w:sz w:val="22"/>
          <w:szCs w:val="22"/>
          <w:lang w:val="en-GB"/>
        </w:rPr>
        <w:t>Medic</w:t>
      </w:r>
      <w:r w:rsidR="006B7999">
        <w:rPr>
          <w:rFonts w:asciiTheme="minorHAnsi" w:hAnsiTheme="minorHAnsi" w:cstheme="minorHAnsi"/>
          <w:sz w:val="22"/>
          <w:szCs w:val="22"/>
          <w:lang w:val="en-GB"/>
        </w:rPr>
        <w:t>ines</w:t>
      </w:r>
      <w:r w:rsidR="006B7999" w:rsidRPr="00AD6B2F">
        <w:rPr>
          <w:rFonts w:asciiTheme="minorHAnsi" w:hAnsiTheme="minorHAnsi" w:cstheme="minorHAnsi"/>
          <w:sz w:val="22"/>
          <w:szCs w:val="22"/>
          <w:lang w:val="en-GB"/>
        </w:rPr>
        <w:t xml:space="preserve"> </w:t>
      </w:r>
      <w:r w:rsidRPr="00AD6B2F">
        <w:rPr>
          <w:rFonts w:asciiTheme="minorHAnsi" w:hAnsiTheme="minorHAnsi" w:cstheme="minorHAnsi"/>
          <w:sz w:val="22"/>
          <w:szCs w:val="22"/>
          <w:lang w:val="en-GB"/>
        </w:rPr>
        <w:t>in accordance with</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the</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 xml:space="preserve">Regulation on veterinary medicinal products", </w:t>
      </w:r>
      <w:r w:rsidRPr="006B7999">
        <w:rPr>
          <w:rFonts w:asciiTheme="minorHAnsi" w:hAnsiTheme="minorHAnsi" w:cstheme="minorHAnsi"/>
          <w:b/>
          <w:sz w:val="22"/>
          <w:szCs w:val="22"/>
          <w:lang w:val="en-GB"/>
        </w:rPr>
        <w:t>upon fulfilment of which the payment is not charged:</w:t>
      </w:r>
    </w:p>
    <w:p w14:paraId="03D21B88" w14:textId="77777777" w:rsidR="00AD6B2F" w:rsidRPr="00AD6B2F" w:rsidRDefault="00AD6B2F" w:rsidP="00AD6B2F">
      <w:pPr>
        <w:pStyle w:val="Normlnweb"/>
        <w:rPr>
          <w:rFonts w:asciiTheme="minorHAnsi" w:hAnsiTheme="minorHAnsi" w:cstheme="minorHAnsi"/>
          <w:sz w:val="22"/>
          <w:szCs w:val="22"/>
          <w:lang w:val="en-GB"/>
        </w:rPr>
      </w:pPr>
      <w:r w:rsidRPr="00AD6B2F">
        <w:rPr>
          <w:rFonts w:asciiTheme="minorHAnsi" w:hAnsiTheme="minorHAnsi" w:cstheme="minorHAnsi"/>
          <w:b/>
          <w:bCs/>
          <w:sz w:val="22"/>
          <w:szCs w:val="22"/>
          <w:lang w:val="en-GB"/>
        </w:rPr>
        <w:t>1. Criteria set pursuant to Section 4, paragraph 10 of Decree No. 427/2008 Coll., as amended</w:t>
      </w:r>
    </w:p>
    <w:p w14:paraId="2E76F544" w14:textId="77777777" w:rsidR="00AD6B2F" w:rsidRPr="00AD6B2F" w:rsidRDefault="00AD6B2F" w:rsidP="000F2588">
      <w:pPr>
        <w:pStyle w:val="Normlnweb"/>
        <w:numPr>
          <w:ilvl w:val="0"/>
          <w:numId w:val="5"/>
        </w:numPr>
        <w:jc w:val="both"/>
        <w:rPr>
          <w:rFonts w:asciiTheme="minorHAnsi" w:hAnsiTheme="minorHAnsi" w:cstheme="minorHAnsi"/>
          <w:sz w:val="22"/>
          <w:szCs w:val="22"/>
          <w:lang w:val="en-GB"/>
        </w:rPr>
      </w:pPr>
      <w:r w:rsidRPr="006B7999">
        <w:rPr>
          <w:rFonts w:asciiTheme="minorHAnsi" w:hAnsiTheme="minorHAnsi" w:cstheme="minorHAnsi"/>
          <w:b/>
          <w:sz w:val="22"/>
          <w:szCs w:val="22"/>
          <w:lang w:val="en-GB"/>
        </w:rPr>
        <w:t>IVMPs against category A or category B diseases listed in Annex I</w:t>
      </w:r>
      <w:r w:rsidRPr="00AD6B2F">
        <w:rPr>
          <w:rFonts w:asciiTheme="minorHAnsi" w:hAnsiTheme="minorHAnsi" w:cstheme="minorHAnsi"/>
          <w:sz w:val="22"/>
          <w:szCs w:val="22"/>
          <w:lang w:val="en-GB"/>
        </w:rPr>
        <w:t xml:space="preserve"> (including the listed IVMPs intended for the diagnosis of immunity status) and </w:t>
      </w:r>
      <w:r w:rsidRPr="00B57A7A">
        <w:rPr>
          <w:rFonts w:asciiTheme="minorHAnsi" w:hAnsiTheme="minorHAnsi" w:cstheme="minorHAnsi"/>
          <w:b/>
          <w:sz w:val="22"/>
          <w:szCs w:val="22"/>
          <w:lang w:val="en-GB"/>
        </w:rPr>
        <w:t>in Annexes VII – XVIII of Commission Delegated Regulation (EU) 2023/361</w:t>
      </w:r>
      <w:r w:rsidRPr="00AD6B2F">
        <w:rPr>
          <w:rFonts w:asciiTheme="minorHAnsi" w:hAnsiTheme="minorHAnsi" w:cstheme="minorHAnsi"/>
          <w:sz w:val="22"/>
          <w:szCs w:val="22"/>
          <w:lang w:val="en-GB"/>
        </w:rPr>
        <w:t xml:space="preserve">, as amended, </w:t>
      </w:r>
      <w:r w:rsidRPr="00AD6B2F">
        <w:rPr>
          <w:rStyle w:val="citation-179"/>
          <w:rFonts w:asciiTheme="minorHAnsi" w:hAnsiTheme="minorHAnsi" w:cstheme="minorHAnsi"/>
          <w:sz w:val="22"/>
          <w:szCs w:val="22"/>
          <w:lang w:val="en-GB"/>
        </w:rPr>
        <w:t>supplementing Regulation (EU) 2016/429 of the European Parliament and of the Council as regards rules for the use of certain veterinary medicinal products for the prevention and control of certain listed dise</w:t>
      </w:r>
      <w:r w:rsidRPr="00AD6B2F">
        <w:rPr>
          <w:rFonts w:asciiTheme="minorHAnsi" w:hAnsiTheme="minorHAnsi" w:cstheme="minorHAnsi"/>
          <w:sz w:val="22"/>
          <w:szCs w:val="22"/>
          <w:lang w:val="en-GB"/>
        </w:rPr>
        <w:t xml:space="preserve">ases. </w:t>
      </w:r>
    </w:p>
    <w:p w14:paraId="24AC08C6" w14:textId="49513F96" w:rsidR="00AD6B2F" w:rsidRPr="00AD6B2F" w:rsidRDefault="00AD6B2F" w:rsidP="000F2588">
      <w:pPr>
        <w:pStyle w:val="Normlnweb"/>
        <w:numPr>
          <w:ilvl w:val="0"/>
          <w:numId w:val="5"/>
        </w:numPr>
        <w:jc w:val="both"/>
        <w:rPr>
          <w:rFonts w:asciiTheme="minorHAnsi" w:hAnsiTheme="minorHAnsi" w:cstheme="minorHAnsi"/>
          <w:sz w:val="22"/>
          <w:szCs w:val="22"/>
          <w:lang w:val="en-GB"/>
        </w:rPr>
      </w:pPr>
      <w:r w:rsidRPr="00D95C91">
        <w:rPr>
          <w:rFonts w:asciiTheme="minorHAnsi" w:hAnsiTheme="minorHAnsi" w:cstheme="minorHAnsi"/>
          <w:b/>
          <w:sz w:val="22"/>
          <w:szCs w:val="22"/>
          <w:lang w:val="en-GB"/>
        </w:rPr>
        <w:t>IVMPs against other category A or category B diseases</w:t>
      </w:r>
      <w:r w:rsidRPr="00AD6B2F">
        <w:rPr>
          <w:rFonts w:asciiTheme="minorHAnsi" w:hAnsiTheme="minorHAnsi" w:cstheme="minorHAnsi"/>
          <w:sz w:val="22"/>
          <w:szCs w:val="22"/>
          <w:lang w:val="en-GB"/>
        </w:rPr>
        <w:t xml:space="preserve"> (excluding </w:t>
      </w:r>
      <w:r w:rsidR="00D95C91">
        <w:rPr>
          <w:rFonts w:asciiTheme="minorHAnsi" w:hAnsiTheme="minorHAnsi" w:cstheme="minorHAnsi"/>
          <w:sz w:val="22"/>
          <w:szCs w:val="22"/>
          <w:lang w:val="en-GB"/>
        </w:rPr>
        <w:t>authorised</w:t>
      </w:r>
      <w:r w:rsidRPr="00AD6B2F">
        <w:rPr>
          <w:rFonts w:asciiTheme="minorHAnsi" w:hAnsiTheme="minorHAnsi" w:cstheme="minorHAnsi"/>
          <w:sz w:val="22"/>
          <w:szCs w:val="22"/>
          <w:lang w:val="en-GB"/>
        </w:rPr>
        <w:t xml:space="preserve"> inactivated IVMPs against rabies) </w:t>
      </w:r>
      <w:r w:rsidRPr="00D95C91">
        <w:rPr>
          <w:rFonts w:asciiTheme="minorHAnsi" w:hAnsiTheme="minorHAnsi" w:cstheme="minorHAnsi"/>
          <w:b/>
          <w:sz w:val="22"/>
          <w:szCs w:val="22"/>
          <w:lang w:val="en-GB"/>
        </w:rPr>
        <w:t>and further against category</w:t>
      </w:r>
      <w:r w:rsidRPr="00AD6B2F">
        <w:rPr>
          <w:rFonts w:asciiTheme="minorHAnsi" w:hAnsiTheme="minorHAnsi" w:cstheme="minorHAnsi"/>
          <w:sz w:val="22"/>
          <w:szCs w:val="22"/>
          <w:lang w:val="en-GB"/>
        </w:rPr>
        <w:t xml:space="preserve"> C–E diseases listed </w:t>
      </w:r>
      <w:r w:rsidRPr="00D95C91">
        <w:rPr>
          <w:rFonts w:asciiTheme="minorHAnsi" w:hAnsiTheme="minorHAnsi" w:cstheme="minorHAnsi"/>
          <w:b/>
          <w:sz w:val="22"/>
          <w:szCs w:val="22"/>
          <w:lang w:val="en-GB"/>
        </w:rPr>
        <w:t>in the annex, in</w:t>
      </w:r>
      <w:r w:rsidR="000767F8">
        <w:rPr>
          <w:rFonts w:asciiTheme="minorHAnsi" w:hAnsiTheme="minorHAnsi" w:cstheme="minorHAnsi"/>
          <w:b/>
          <w:sz w:val="22"/>
          <w:szCs w:val="22"/>
          <w:lang w:val="en-GB"/>
        </w:rPr>
        <w:t> </w:t>
      </w:r>
      <w:r w:rsidRPr="00D95C91">
        <w:rPr>
          <w:rFonts w:asciiTheme="minorHAnsi" w:hAnsiTheme="minorHAnsi" w:cstheme="minorHAnsi"/>
          <w:b/>
          <w:sz w:val="22"/>
          <w:szCs w:val="22"/>
          <w:lang w:val="en-GB"/>
        </w:rPr>
        <w:t>the</w:t>
      </w:r>
      <w:r w:rsidR="000767F8">
        <w:rPr>
          <w:rFonts w:asciiTheme="minorHAnsi" w:hAnsiTheme="minorHAnsi" w:cstheme="minorHAnsi"/>
          <w:b/>
          <w:sz w:val="22"/>
          <w:szCs w:val="22"/>
          <w:lang w:val="en-GB"/>
        </w:rPr>
        <w:t> </w:t>
      </w:r>
      <w:r w:rsidRPr="00D95C91">
        <w:rPr>
          <w:rFonts w:asciiTheme="minorHAnsi" w:hAnsiTheme="minorHAnsi" w:cstheme="minorHAnsi"/>
          <w:b/>
          <w:sz w:val="22"/>
          <w:szCs w:val="22"/>
          <w:lang w:val="en-GB"/>
        </w:rPr>
        <w:t>table pursuant to Article 2 of Commission Implementing Regulation (EU) 2018/1882</w:t>
      </w:r>
      <w:r w:rsidRPr="00AD6B2F">
        <w:rPr>
          <w:rFonts w:asciiTheme="minorHAnsi" w:hAnsiTheme="minorHAnsi" w:cstheme="minorHAnsi"/>
          <w:sz w:val="22"/>
          <w:szCs w:val="22"/>
          <w:lang w:val="en-GB"/>
        </w:rPr>
        <w:t>, as amended.</w:t>
      </w:r>
    </w:p>
    <w:p w14:paraId="76D949F3" w14:textId="1461362F" w:rsidR="00AD6B2F" w:rsidRPr="00AD6B2F" w:rsidRDefault="00AD6B2F" w:rsidP="000F2588">
      <w:pPr>
        <w:pStyle w:val="Normlnweb"/>
        <w:ind w:left="708"/>
        <w:jc w:val="both"/>
        <w:rPr>
          <w:rFonts w:asciiTheme="minorHAnsi" w:hAnsiTheme="minorHAnsi" w:cstheme="minorHAnsi"/>
          <w:sz w:val="22"/>
          <w:szCs w:val="22"/>
          <w:lang w:val="en-GB"/>
        </w:rPr>
      </w:pPr>
      <w:r w:rsidRPr="00AD6B2F">
        <w:rPr>
          <w:rFonts w:asciiTheme="minorHAnsi" w:hAnsiTheme="minorHAnsi" w:cstheme="minorHAnsi"/>
          <w:sz w:val="22"/>
          <w:szCs w:val="22"/>
          <w:lang w:val="en-GB"/>
        </w:rPr>
        <w:t>These disease categories also include diseases for which an eradication program or</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 xml:space="preserve">subsequently a disease-free status can be established pursuant to </w:t>
      </w:r>
      <w:r w:rsidRPr="000F2588">
        <w:rPr>
          <w:rFonts w:asciiTheme="minorHAnsi" w:hAnsiTheme="minorHAnsi" w:cstheme="minorHAnsi"/>
          <w:b/>
          <w:sz w:val="22"/>
          <w:szCs w:val="22"/>
          <w:lang w:val="en-GB"/>
        </w:rPr>
        <w:t>Commission Delegated Regulation (EU) 2020/689</w:t>
      </w:r>
      <w:r w:rsidRPr="00AD6B2F">
        <w:rPr>
          <w:rFonts w:asciiTheme="minorHAnsi" w:hAnsiTheme="minorHAnsi" w:cstheme="minorHAnsi"/>
          <w:sz w:val="22"/>
          <w:szCs w:val="22"/>
          <w:lang w:val="en-GB"/>
        </w:rPr>
        <w:t xml:space="preserve">, as amended, </w:t>
      </w:r>
      <w:r w:rsidRPr="00AD6B2F">
        <w:rPr>
          <w:rStyle w:val="citation-178"/>
          <w:rFonts w:asciiTheme="minorHAnsi" w:hAnsiTheme="minorHAnsi" w:cstheme="minorHAnsi"/>
          <w:sz w:val="22"/>
          <w:szCs w:val="22"/>
          <w:lang w:val="en-GB"/>
        </w:rPr>
        <w:t>supplementing Regulation (EU) 2016/429 of</w:t>
      </w:r>
      <w:r w:rsidR="000767F8">
        <w:rPr>
          <w:rStyle w:val="citation-178"/>
          <w:rFonts w:asciiTheme="minorHAnsi" w:hAnsiTheme="minorHAnsi" w:cstheme="minorHAnsi"/>
          <w:sz w:val="22"/>
          <w:szCs w:val="22"/>
          <w:lang w:val="en-GB"/>
        </w:rPr>
        <w:t> </w:t>
      </w:r>
      <w:r w:rsidRPr="00AD6B2F">
        <w:rPr>
          <w:rStyle w:val="citation-178"/>
          <w:rFonts w:asciiTheme="minorHAnsi" w:hAnsiTheme="minorHAnsi" w:cstheme="minorHAnsi"/>
          <w:sz w:val="22"/>
          <w:szCs w:val="22"/>
          <w:lang w:val="en-GB"/>
        </w:rPr>
        <w:t>the</w:t>
      </w:r>
      <w:r w:rsidR="000767F8">
        <w:rPr>
          <w:rStyle w:val="citation-178"/>
          <w:rFonts w:asciiTheme="minorHAnsi" w:hAnsiTheme="minorHAnsi" w:cstheme="minorHAnsi"/>
          <w:sz w:val="22"/>
          <w:szCs w:val="22"/>
          <w:lang w:val="en-GB"/>
        </w:rPr>
        <w:t> </w:t>
      </w:r>
      <w:r w:rsidRPr="00AD6B2F">
        <w:rPr>
          <w:rStyle w:val="citation-178"/>
          <w:rFonts w:asciiTheme="minorHAnsi" w:hAnsiTheme="minorHAnsi" w:cstheme="minorHAnsi"/>
          <w:sz w:val="22"/>
          <w:szCs w:val="22"/>
          <w:lang w:val="en-GB"/>
        </w:rPr>
        <w:t>European Parliament and of the Council as regards rules for surveillance, eradication programmes, and disease-free status for certain listed and emerging disease</w:t>
      </w:r>
      <w:r w:rsidRPr="00AD6B2F">
        <w:rPr>
          <w:rFonts w:asciiTheme="minorHAnsi" w:hAnsiTheme="minorHAnsi" w:cstheme="minorHAnsi"/>
          <w:sz w:val="22"/>
          <w:szCs w:val="22"/>
          <w:lang w:val="en-GB"/>
        </w:rPr>
        <w:t xml:space="preserve">s, i.e., category B or C diseases for which the Czech Republic has disease-free status. Also included are diseases whose use may be restricted, e.g., within the framework of emergency veterinary measures. </w:t>
      </w:r>
    </w:p>
    <w:p w14:paraId="08F6EE0F" w14:textId="2637C558" w:rsidR="00AD6B2F" w:rsidRDefault="00AD6B2F" w:rsidP="000F2588">
      <w:pPr>
        <w:pStyle w:val="Normlnweb"/>
        <w:ind w:left="708"/>
        <w:jc w:val="both"/>
        <w:rPr>
          <w:rFonts w:asciiTheme="minorHAnsi" w:hAnsiTheme="minorHAnsi" w:cstheme="minorHAnsi"/>
          <w:sz w:val="22"/>
          <w:szCs w:val="22"/>
          <w:lang w:val="en-GB"/>
        </w:rPr>
      </w:pPr>
      <w:r w:rsidRPr="00AD6B2F">
        <w:rPr>
          <w:rFonts w:asciiTheme="minorHAnsi" w:hAnsiTheme="minorHAnsi" w:cstheme="minorHAnsi"/>
          <w:sz w:val="22"/>
          <w:szCs w:val="22"/>
          <w:lang w:val="en-GB"/>
        </w:rPr>
        <w:t>The use of IVMPs against the aforementioned diseases may be legally restricted or prohibited by the State Veterinary Administration. For these reasons, such IVMPs may then be traded irregularly or with limitations in the Czech Republic. However, these are IVMPs against dangerous diseases that require compliance with established rules for their prevention and</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control, and therefore, to preserve the availability of products against these diseases, the</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annual flat-rate payment is not charged for such IVMPs.</w:t>
      </w:r>
    </w:p>
    <w:p w14:paraId="2FE77C8C" w14:textId="77777777" w:rsidR="000F2588" w:rsidRPr="00AD6B2F" w:rsidRDefault="000F2588" w:rsidP="00D95C91">
      <w:pPr>
        <w:pStyle w:val="Normlnweb"/>
        <w:ind w:left="708"/>
        <w:rPr>
          <w:rFonts w:asciiTheme="minorHAnsi" w:hAnsiTheme="minorHAnsi" w:cstheme="minorHAnsi"/>
          <w:sz w:val="22"/>
          <w:szCs w:val="22"/>
          <w:lang w:val="en-GB"/>
        </w:rPr>
      </w:pPr>
    </w:p>
    <w:p w14:paraId="041775D1" w14:textId="77777777" w:rsidR="00AD6B2F" w:rsidRPr="00AD6B2F" w:rsidRDefault="00AD6B2F" w:rsidP="00AD6B2F">
      <w:pPr>
        <w:pStyle w:val="Normlnweb"/>
        <w:rPr>
          <w:rFonts w:asciiTheme="minorHAnsi" w:hAnsiTheme="minorHAnsi" w:cstheme="minorHAnsi"/>
          <w:sz w:val="22"/>
          <w:szCs w:val="22"/>
          <w:lang w:val="en-GB"/>
        </w:rPr>
      </w:pPr>
      <w:r w:rsidRPr="00AD6B2F">
        <w:rPr>
          <w:rFonts w:asciiTheme="minorHAnsi" w:hAnsiTheme="minorHAnsi" w:cstheme="minorHAnsi"/>
          <w:b/>
          <w:bCs/>
          <w:sz w:val="22"/>
          <w:szCs w:val="22"/>
          <w:lang w:val="en-GB"/>
        </w:rPr>
        <w:t>2. Criteria set pursuant to Section 112 of Act No. 378/2007 Coll., on Pharmaceuticals</w:t>
      </w:r>
    </w:p>
    <w:p w14:paraId="130F8787" w14:textId="77777777" w:rsidR="00AD6B2F" w:rsidRPr="00AD6B2F" w:rsidRDefault="00AD6B2F" w:rsidP="000767F8">
      <w:pPr>
        <w:pStyle w:val="Normlnweb"/>
        <w:ind w:left="708"/>
        <w:rPr>
          <w:rFonts w:asciiTheme="minorHAnsi" w:hAnsiTheme="minorHAnsi" w:cstheme="minorHAnsi"/>
          <w:sz w:val="22"/>
          <w:szCs w:val="22"/>
          <w:lang w:val="en-GB"/>
        </w:rPr>
      </w:pPr>
      <w:r w:rsidRPr="00AD6B2F">
        <w:rPr>
          <w:rFonts w:asciiTheme="minorHAnsi" w:hAnsiTheme="minorHAnsi" w:cstheme="minorHAnsi"/>
          <w:b/>
          <w:bCs/>
          <w:sz w:val="22"/>
          <w:szCs w:val="22"/>
          <w:lang w:val="en-GB"/>
        </w:rPr>
        <w:t>a) Marketability</w:t>
      </w:r>
    </w:p>
    <w:p w14:paraId="55CF0D26" w14:textId="3A25BF80" w:rsidR="00AD6B2F" w:rsidRPr="00AD6B2F" w:rsidRDefault="00AD6B2F" w:rsidP="000767F8">
      <w:pPr>
        <w:pStyle w:val="Normlnweb"/>
        <w:ind w:left="708"/>
        <w:jc w:val="both"/>
        <w:rPr>
          <w:rFonts w:asciiTheme="minorHAnsi" w:hAnsiTheme="minorHAnsi" w:cstheme="minorHAnsi"/>
          <w:sz w:val="22"/>
          <w:szCs w:val="22"/>
          <w:lang w:val="en-GB"/>
        </w:rPr>
      </w:pPr>
      <w:r w:rsidRPr="00AD6B2F">
        <w:rPr>
          <w:rFonts w:asciiTheme="minorHAnsi" w:hAnsiTheme="minorHAnsi" w:cstheme="minorHAnsi"/>
          <w:sz w:val="22"/>
          <w:szCs w:val="22"/>
          <w:lang w:val="en-GB"/>
        </w:rPr>
        <w:lastRenderedPageBreak/>
        <w:t>Centrally authorised in the Czech Republic are VMPs intended for target animal species that</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are not commonly bred or economically utilised in the territory of the Czech Republic, and</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the disease or its causative agent does not commonly occur here. For this reason, there is no relevant demand for these veterinary medicinal products in the Czech Republic, there is no</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relevant market, and these products are thus not commonly traded in the Czech Republic (e.g., VMPs for the target species Atlantic salmon). For such VMPs, the Veterinary Institute does not actually perform any activities, and therefore the annual flat-rate payment is not</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required for such VMPs.</w:t>
      </w:r>
    </w:p>
    <w:p w14:paraId="0338531C" w14:textId="77777777" w:rsidR="00AD6B2F" w:rsidRPr="00AD6B2F" w:rsidRDefault="00AD6B2F" w:rsidP="000767F8">
      <w:pPr>
        <w:pStyle w:val="Normlnweb"/>
        <w:ind w:left="708"/>
        <w:jc w:val="both"/>
        <w:rPr>
          <w:rFonts w:asciiTheme="minorHAnsi" w:hAnsiTheme="minorHAnsi" w:cstheme="minorHAnsi"/>
          <w:sz w:val="22"/>
          <w:szCs w:val="22"/>
          <w:lang w:val="en-GB"/>
        </w:rPr>
      </w:pPr>
      <w:r w:rsidRPr="00AD6B2F">
        <w:rPr>
          <w:rFonts w:asciiTheme="minorHAnsi" w:hAnsiTheme="minorHAnsi" w:cstheme="minorHAnsi"/>
          <w:b/>
          <w:bCs/>
          <w:sz w:val="22"/>
          <w:szCs w:val="22"/>
          <w:lang w:val="en-GB"/>
        </w:rPr>
        <w:t>b) Availability</w:t>
      </w:r>
    </w:p>
    <w:p w14:paraId="366C1A4C" w14:textId="364F6CA6" w:rsidR="00AD6B2F" w:rsidRPr="00AD6B2F" w:rsidRDefault="00AD6B2F" w:rsidP="000767F8">
      <w:pPr>
        <w:pStyle w:val="Normlnweb"/>
        <w:ind w:left="708"/>
        <w:jc w:val="both"/>
        <w:rPr>
          <w:rFonts w:asciiTheme="minorHAnsi" w:hAnsiTheme="minorHAnsi" w:cstheme="minorHAnsi"/>
          <w:lang w:val="en-GB"/>
        </w:rPr>
      </w:pPr>
      <w:r w:rsidRPr="00AD6B2F">
        <w:rPr>
          <w:rFonts w:asciiTheme="minorHAnsi" w:hAnsiTheme="minorHAnsi" w:cstheme="minorHAnsi"/>
          <w:sz w:val="22"/>
          <w:szCs w:val="22"/>
          <w:lang w:val="en-GB"/>
        </w:rPr>
        <w:t>Centrally authorised in the Czech Republic are VMPs whose very limited market results from</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the very nature of their use. These are veterinary medicinal products intended primarily for the individual treatment of individual animals, which are not used on a wide scale in</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the</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conditions of the Czech Republic, and are often chosen for therapy as a last resort. Relief from fee payment is thus based on the criteria set out in Section 112, paragraph 3, letter b) of</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Act No. 378/2007 Coll., where the need to preserve the availability of these products for</w:t>
      </w:r>
      <w:r w:rsidR="000767F8">
        <w:rPr>
          <w:rFonts w:asciiTheme="minorHAnsi" w:hAnsiTheme="minorHAnsi" w:cstheme="minorHAnsi"/>
          <w:sz w:val="22"/>
          <w:szCs w:val="22"/>
          <w:lang w:val="en-GB"/>
        </w:rPr>
        <w:t> </w:t>
      </w:r>
      <w:r w:rsidRPr="00AD6B2F">
        <w:rPr>
          <w:rFonts w:asciiTheme="minorHAnsi" w:hAnsiTheme="minorHAnsi" w:cstheme="minorHAnsi"/>
          <w:sz w:val="22"/>
          <w:szCs w:val="22"/>
          <w:lang w:val="en-GB"/>
        </w:rPr>
        <w:t>specific and individual cases for which their use may be necessary (e.g., stem cell-based immunological VMPs, rare diseases, VMPs authorised for minor animal species) is considered one of the main objectives of VMP regulation and can thus be considered a public interest.</w:t>
      </w:r>
    </w:p>
    <w:sectPr w:rsidR="00AD6B2F" w:rsidRPr="00AD6B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00C59"/>
    <w:multiLevelType w:val="hybridMultilevel"/>
    <w:tmpl w:val="B8786F7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677F3327"/>
    <w:multiLevelType w:val="multilevel"/>
    <w:tmpl w:val="1A44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991EF4"/>
    <w:multiLevelType w:val="hybridMultilevel"/>
    <w:tmpl w:val="6A8627F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7399106B"/>
    <w:multiLevelType w:val="hybridMultilevel"/>
    <w:tmpl w:val="0A9431E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7C6748BC"/>
    <w:multiLevelType w:val="hybridMultilevel"/>
    <w:tmpl w:val="9DB83772"/>
    <w:lvl w:ilvl="0" w:tplc="B398830C">
      <w:start w:val="1"/>
      <w:numFmt w:val="decimal"/>
      <w:lvlText w:val="%1."/>
      <w:lvlJc w:val="left"/>
      <w:pPr>
        <w:ind w:left="720"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FB9"/>
    <w:rsid w:val="00007672"/>
    <w:rsid w:val="00012067"/>
    <w:rsid w:val="000767F8"/>
    <w:rsid w:val="0008762C"/>
    <w:rsid w:val="000F2588"/>
    <w:rsid w:val="000F6A24"/>
    <w:rsid w:val="001267FB"/>
    <w:rsid w:val="0013585F"/>
    <w:rsid w:val="00165143"/>
    <w:rsid w:val="00197D6A"/>
    <w:rsid w:val="001A431A"/>
    <w:rsid w:val="001A7877"/>
    <w:rsid w:val="00211E86"/>
    <w:rsid w:val="00220884"/>
    <w:rsid w:val="00227A3A"/>
    <w:rsid w:val="002E7DA2"/>
    <w:rsid w:val="002F51AB"/>
    <w:rsid w:val="00305F8E"/>
    <w:rsid w:val="00330556"/>
    <w:rsid w:val="0033390D"/>
    <w:rsid w:val="00370B43"/>
    <w:rsid w:val="00391889"/>
    <w:rsid w:val="003B14DA"/>
    <w:rsid w:val="00411BEC"/>
    <w:rsid w:val="004A5EAF"/>
    <w:rsid w:val="00542ED9"/>
    <w:rsid w:val="00545B22"/>
    <w:rsid w:val="005742E0"/>
    <w:rsid w:val="005D2FFC"/>
    <w:rsid w:val="00606742"/>
    <w:rsid w:val="00623099"/>
    <w:rsid w:val="00636643"/>
    <w:rsid w:val="006446CF"/>
    <w:rsid w:val="00645822"/>
    <w:rsid w:val="006B7999"/>
    <w:rsid w:val="006D3CF3"/>
    <w:rsid w:val="006F0F0F"/>
    <w:rsid w:val="006F7922"/>
    <w:rsid w:val="0071512B"/>
    <w:rsid w:val="00720148"/>
    <w:rsid w:val="007B393B"/>
    <w:rsid w:val="007C5456"/>
    <w:rsid w:val="00812D73"/>
    <w:rsid w:val="008414CE"/>
    <w:rsid w:val="008615F6"/>
    <w:rsid w:val="008705AB"/>
    <w:rsid w:val="00904917"/>
    <w:rsid w:val="009D49F5"/>
    <w:rsid w:val="009E1217"/>
    <w:rsid w:val="00A472E8"/>
    <w:rsid w:val="00A47D17"/>
    <w:rsid w:val="00A53E59"/>
    <w:rsid w:val="00A62275"/>
    <w:rsid w:val="00A84F1D"/>
    <w:rsid w:val="00AC41E9"/>
    <w:rsid w:val="00AD6B2F"/>
    <w:rsid w:val="00AF7368"/>
    <w:rsid w:val="00B03979"/>
    <w:rsid w:val="00B14534"/>
    <w:rsid w:val="00B14F9F"/>
    <w:rsid w:val="00B57A7A"/>
    <w:rsid w:val="00B8506D"/>
    <w:rsid w:val="00C1121A"/>
    <w:rsid w:val="00C33BA0"/>
    <w:rsid w:val="00C63D40"/>
    <w:rsid w:val="00CA65FF"/>
    <w:rsid w:val="00CA7E57"/>
    <w:rsid w:val="00CB0482"/>
    <w:rsid w:val="00D01FB9"/>
    <w:rsid w:val="00D066BD"/>
    <w:rsid w:val="00D95C91"/>
    <w:rsid w:val="00DC6FFD"/>
    <w:rsid w:val="00DF5BBD"/>
    <w:rsid w:val="00E40402"/>
    <w:rsid w:val="00E55ECB"/>
    <w:rsid w:val="00E66109"/>
    <w:rsid w:val="00E84EBA"/>
    <w:rsid w:val="00EC62D8"/>
    <w:rsid w:val="00EE3DBF"/>
    <w:rsid w:val="00EE7BF5"/>
    <w:rsid w:val="00F34A02"/>
    <w:rsid w:val="00F543B2"/>
    <w:rsid w:val="00F85E2E"/>
    <w:rsid w:val="00FC7F59"/>
    <w:rsid w:val="00FE114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09D2B"/>
  <w15:docId w15:val="{996ED040-6154-4CA3-9CCC-4D860CDFE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47D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markedcontent">
    <w:name w:val="markedcontent"/>
    <w:basedOn w:val="Standardnpsmoodstavce"/>
    <w:rsid w:val="00A84F1D"/>
  </w:style>
  <w:style w:type="paragraph" w:customStyle="1" w:styleId="paragraph">
    <w:name w:val="paragraph"/>
    <w:basedOn w:val="Normln"/>
    <w:rsid w:val="00FE114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FE114C"/>
  </w:style>
  <w:style w:type="character" w:customStyle="1" w:styleId="eop">
    <w:name w:val="eop"/>
    <w:basedOn w:val="Standardnpsmoodstavce"/>
    <w:rsid w:val="00FE114C"/>
  </w:style>
  <w:style w:type="table" w:styleId="Mkatabulky">
    <w:name w:val="Table Grid"/>
    <w:basedOn w:val="Normlntabulka"/>
    <w:uiPriority w:val="59"/>
    <w:rsid w:val="00CB0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DF5BBD"/>
    <w:pPr>
      <w:spacing w:after="0" w:line="240" w:lineRule="auto"/>
      <w:ind w:left="720"/>
    </w:pPr>
    <w:rPr>
      <w:rFonts w:ascii="Calibri" w:hAnsi="Calibri" w:cs="Calibri"/>
      <w:lang w:eastAsia="cs-CZ"/>
    </w:rPr>
  </w:style>
  <w:style w:type="character" w:customStyle="1" w:styleId="hwtze">
    <w:name w:val="hwtze"/>
    <w:basedOn w:val="Standardnpsmoodstavce"/>
    <w:rsid w:val="00AC41E9"/>
  </w:style>
  <w:style w:type="character" w:customStyle="1" w:styleId="rynqvb">
    <w:name w:val="rynqvb"/>
    <w:basedOn w:val="Standardnpsmoodstavce"/>
    <w:rsid w:val="00AC41E9"/>
  </w:style>
  <w:style w:type="character" w:styleId="Hypertextovodkaz">
    <w:name w:val="Hyperlink"/>
    <w:basedOn w:val="Standardnpsmoodstavce"/>
    <w:uiPriority w:val="99"/>
    <w:unhideWhenUsed/>
    <w:rsid w:val="00A47D17"/>
    <w:rPr>
      <w:color w:val="0000FF" w:themeColor="hyperlink"/>
      <w:u w:val="single"/>
    </w:rPr>
  </w:style>
  <w:style w:type="character" w:styleId="Nevyeenzmnka">
    <w:name w:val="Unresolved Mention"/>
    <w:basedOn w:val="Standardnpsmoodstavce"/>
    <w:uiPriority w:val="99"/>
    <w:semiHidden/>
    <w:unhideWhenUsed/>
    <w:rsid w:val="00A47D17"/>
    <w:rPr>
      <w:color w:val="605E5C"/>
      <w:shd w:val="clear" w:color="auto" w:fill="E1DFDD"/>
    </w:rPr>
  </w:style>
  <w:style w:type="character" w:customStyle="1" w:styleId="Nadpis1Char">
    <w:name w:val="Nadpis 1 Char"/>
    <w:basedOn w:val="Standardnpsmoodstavce"/>
    <w:link w:val="Nadpis1"/>
    <w:uiPriority w:val="9"/>
    <w:rsid w:val="00A47D17"/>
    <w:rPr>
      <w:rFonts w:asciiTheme="majorHAnsi" w:eastAsiaTheme="majorEastAsia" w:hAnsiTheme="majorHAnsi" w:cstheme="majorBidi"/>
      <w:color w:val="365F91" w:themeColor="accent1" w:themeShade="BF"/>
      <w:sz w:val="32"/>
      <w:szCs w:val="32"/>
    </w:rPr>
  </w:style>
  <w:style w:type="paragraph" w:styleId="Textbubliny">
    <w:name w:val="Balloon Text"/>
    <w:basedOn w:val="Normln"/>
    <w:link w:val="TextbublinyChar"/>
    <w:uiPriority w:val="99"/>
    <w:semiHidden/>
    <w:unhideWhenUsed/>
    <w:rsid w:val="00227A3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27A3A"/>
    <w:rPr>
      <w:rFonts w:ascii="Segoe UI" w:hAnsi="Segoe UI" w:cs="Segoe UI"/>
      <w:sz w:val="18"/>
      <w:szCs w:val="18"/>
    </w:rPr>
  </w:style>
  <w:style w:type="character" w:styleId="Odkaznakoment">
    <w:name w:val="annotation reference"/>
    <w:basedOn w:val="Standardnpsmoodstavce"/>
    <w:uiPriority w:val="99"/>
    <w:semiHidden/>
    <w:unhideWhenUsed/>
    <w:rsid w:val="00227A3A"/>
    <w:rPr>
      <w:sz w:val="16"/>
      <w:szCs w:val="16"/>
    </w:rPr>
  </w:style>
  <w:style w:type="paragraph" w:styleId="Textkomente">
    <w:name w:val="annotation text"/>
    <w:basedOn w:val="Normln"/>
    <w:link w:val="TextkomenteChar"/>
    <w:uiPriority w:val="99"/>
    <w:semiHidden/>
    <w:unhideWhenUsed/>
    <w:rsid w:val="00227A3A"/>
    <w:pPr>
      <w:spacing w:line="240" w:lineRule="auto"/>
    </w:pPr>
    <w:rPr>
      <w:sz w:val="20"/>
      <w:szCs w:val="20"/>
    </w:rPr>
  </w:style>
  <w:style w:type="character" w:customStyle="1" w:styleId="TextkomenteChar">
    <w:name w:val="Text komentáře Char"/>
    <w:basedOn w:val="Standardnpsmoodstavce"/>
    <w:link w:val="Textkomente"/>
    <w:uiPriority w:val="99"/>
    <w:semiHidden/>
    <w:rsid w:val="00227A3A"/>
    <w:rPr>
      <w:sz w:val="20"/>
      <w:szCs w:val="20"/>
    </w:rPr>
  </w:style>
  <w:style w:type="paragraph" w:styleId="Pedmtkomente">
    <w:name w:val="annotation subject"/>
    <w:basedOn w:val="Textkomente"/>
    <w:next w:val="Textkomente"/>
    <w:link w:val="PedmtkomenteChar"/>
    <w:uiPriority w:val="99"/>
    <w:semiHidden/>
    <w:unhideWhenUsed/>
    <w:rsid w:val="00227A3A"/>
    <w:rPr>
      <w:b/>
      <w:bCs/>
    </w:rPr>
  </w:style>
  <w:style w:type="character" w:customStyle="1" w:styleId="PedmtkomenteChar">
    <w:name w:val="Předmět komentáře Char"/>
    <w:basedOn w:val="TextkomenteChar"/>
    <w:link w:val="Pedmtkomente"/>
    <w:uiPriority w:val="99"/>
    <w:semiHidden/>
    <w:rsid w:val="00227A3A"/>
    <w:rPr>
      <w:b/>
      <w:bCs/>
      <w:sz w:val="20"/>
      <w:szCs w:val="20"/>
    </w:rPr>
  </w:style>
  <w:style w:type="paragraph" w:styleId="Normlnweb">
    <w:name w:val="Normal (Web)"/>
    <w:basedOn w:val="Normln"/>
    <w:uiPriority w:val="99"/>
    <w:unhideWhenUsed/>
    <w:rsid w:val="00AD6B2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citation-179">
    <w:name w:val="citation-179"/>
    <w:basedOn w:val="Standardnpsmoodstavce"/>
    <w:rsid w:val="00AD6B2F"/>
  </w:style>
  <w:style w:type="character" w:customStyle="1" w:styleId="citation-178">
    <w:name w:val="citation-178"/>
    <w:basedOn w:val="Standardnpsmoodstavce"/>
    <w:rsid w:val="00AD6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95240">
      <w:bodyDiv w:val="1"/>
      <w:marLeft w:val="0"/>
      <w:marRight w:val="0"/>
      <w:marTop w:val="0"/>
      <w:marBottom w:val="0"/>
      <w:divBdr>
        <w:top w:val="none" w:sz="0" w:space="0" w:color="auto"/>
        <w:left w:val="none" w:sz="0" w:space="0" w:color="auto"/>
        <w:bottom w:val="none" w:sz="0" w:space="0" w:color="auto"/>
        <w:right w:val="none" w:sz="0" w:space="0" w:color="auto"/>
      </w:divBdr>
      <w:divsChild>
        <w:div w:id="860515934">
          <w:marLeft w:val="0"/>
          <w:marRight w:val="0"/>
          <w:marTop w:val="0"/>
          <w:marBottom w:val="240"/>
          <w:divBdr>
            <w:top w:val="none" w:sz="0" w:space="0" w:color="auto"/>
            <w:left w:val="none" w:sz="0" w:space="0" w:color="auto"/>
            <w:bottom w:val="none" w:sz="0" w:space="0" w:color="auto"/>
            <w:right w:val="none" w:sz="0" w:space="0" w:color="auto"/>
          </w:divBdr>
        </w:div>
        <w:div w:id="588998830">
          <w:marLeft w:val="0"/>
          <w:marRight w:val="0"/>
          <w:marTop w:val="180"/>
          <w:marBottom w:val="240"/>
          <w:divBdr>
            <w:top w:val="none" w:sz="0" w:space="0" w:color="auto"/>
            <w:left w:val="none" w:sz="0" w:space="0" w:color="auto"/>
            <w:bottom w:val="none" w:sz="0" w:space="0" w:color="auto"/>
            <w:right w:val="none" w:sz="0" w:space="0" w:color="auto"/>
          </w:divBdr>
        </w:div>
      </w:divsChild>
    </w:div>
    <w:div w:id="231890589">
      <w:bodyDiv w:val="1"/>
      <w:marLeft w:val="0"/>
      <w:marRight w:val="0"/>
      <w:marTop w:val="0"/>
      <w:marBottom w:val="0"/>
      <w:divBdr>
        <w:top w:val="none" w:sz="0" w:space="0" w:color="auto"/>
        <w:left w:val="none" w:sz="0" w:space="0" w:color="auto"/>
        <w:bottom w:val="none" w:sz="0" w:space="0" w:color="auto"/>
        <w:right w:val="none" w:sz="0" w:space="0" w:color="auto"/>
      </w:divBdr>
      <w:divsChild>
        <w:div w:id="67308148">
          <w:marLeft w:val="0"/>
          <w:marRight w:val="0"/>
          <w:marTop w:val="0"/>
          <w:marBottom w:val="0"/>
          <w:divBdr>
            <w:top w:val="none" w:sz="0" w:space="0" w:color="auto"/>
            <w:left w:val="none" w:sz="0" w:space="0" w:color="auto"/>
            <w:bottom w:val="none" w:sz="0" w:space="0" w:color="auto"/>
            <w:right w:val="none" w:sz="0" w:space="0" w:color="auto"/>
          </w:divBdr>
          <w:divsChild>
            <w:div w:id="91234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843265">
      <w:bodyDiv w:val="1"/>
      <w:marLeft w:val="0"/>
      <w:marRight w:val="0"/>
      <w:marTop w:val="0"/>
      <w:marBottom w:val="0"/>
      <w:divBdr>
        <w:top w:val="none" w:sz="0" w:space="0" w:color="auto"/>
        <w:left w:val="none" w:sz="0" w:space="0" w:color="auto"/>
        <w:bottom w:val="none" w:sz="0" w:space="0" w:color="auto"/>
        <w:right w:val="none" w:sz="0" w:space="0" w:color="auto"/>
      </w:divBdr>
    </w:div>
    <w:div w:id="1268807017">
      <w:bodyDiv w:val="1"/>
      <w:marLeft w:val="0"/>
      <w:marRight w:val="0"/>
      <w:marTop w:val="0"/>
      <w:marBottom w:val="0"/>
      <w:divBdr>
        <w:top w:val="none" w:sz="0" w:space="0" w:color="auto"/>
        <w:left w:val="none" w:sz="0" w:space="0" w:color="auto"/>
        <w:bottom w:val="none" w:sz="0" w:space="0" w:color="auto"/>
        <w:right w:val="none" w:sz="0" w:space="0" w:color="auto"/>
      </w:divBdr>
      <w:divsChild>
        <w:div w:id="373434500">
          <w:marLeft w:val="0"/>
          <w:marRight w:val="0"/>
          <w:marTop w:val="0"/>
          <w:marBottom w:val="0"/>
          <w:divBdr>
            <w:top w:val="none" w:sz="0" w:space="0" w:color="auto"/>
            <w:left w:val="none" w:sz="0" w:space="0" w:color="auto"/>
            <w:bottom w:val="none" w:sz="0" w:space="0" w:color="auto"/>
            <w:right w:val="none" w:sz="0" w:space="0" w:color="auto"/>
          </w:divBdr>
        </w:div>
        <w:div w:id="1658798230">
          <w:marLeft w:val="0"/>
          <w:marRight w:val="0"/>
          <w:marTop w:val="0"/>
          <w:marBottom w:val="0"/>
          <w:divBdr>
            <w:top w:val="none" w:sz="0" w:space="0" w:color="auto"/>
            <w:left w:val="none" w:sz="0" w:space="0" w:color="auto"/>
            <w:bottom w:val="none" w:sz="0" w:space="0" w:color="auto"/>
            <w:right w:val="none" w:sz="0" w:space="0" w:color="auto"/>
          </w:divBdr>
        </w:div>
        <w:div w:id="1545748034">
          <w:marLeft w:val="0"/>
          <w:marRight w:val="0"/>
          <w:marTop w:val="0"/>
          <w:marBottom w:val="0"/>
          <w:divBdr>
            <w:top w:val="none" w:sz="0" w:space="0" w:color="auto"/>
            <w:left w:val="none" w:sz="0" w:space="0" w:color="auto"/>
            <w:bottom w:val="none" w:sz="0" w:space="0" w:color="auto"/>
            <w:right w:val="none" w:sz="0" w:space="0" w:color="auto"/>
          </w:divBdr>
        </w:div>
        <w:div w:id="2051952775">
          <w:marLeft w:val="0"/>
          <w:marRight w:val="0"/>
          <w:marTop w:val="0"/>
          <w:marBottom w:val="0"/>
          <w:divBdr>
            <w:top w:val="none" w:sz="0" w:space="0" w:color="auto"/>
            <w:left w:val="none" w:sz="0" w:space="0" w:color="auto"/>
            <w:bottom w:val="none" w:sz="0" w:space="0" w:color="auto"/>
            <w:right w:val="none" w:sz="0" w:space="0" w:color="auto"/>
          </w:divBdr>
        </w:div>
        <w:div w:id="1821651830">
          <w:marLeft w:val="0"/>
          <w:marRight w:val="0"/>
          <w:marTop w:val="0"/>
          <w:marBottom w:val="0"/>
          <w:divBdr>
            <w:top w:val="none" w:sz="0" w:space="0" w:color="auto"/>
            <w:left w:val="none" w:sz="0" w:space="0" w:color="auto"/>
            <w:bottom w:val="none" w:sz="0" w:space="0" w:color="auto"/>
            <w:right w:val="none" w:sz="0" w:space="0" w:color="auto"/>
          </w:divBdr>
        </w:div>
      </w:divsChild>
    </w:div>
    <w:div w:id="1290011098">
      <w:bodyDiv w:val="1"/>
      <w:marLeft w:val="0"/>
      <w:marRight w:val="0"/>
      <w:marTop w:val="0"/>
      <w:marBottom w:val="0"/>
      <w:divBdr>
        <w:top w:val="none" w:sz="0" w:space="0" w:color="auto"/>
        <w:left w:val="none" w:sz="0" w:space="0" w:color="auto"/>
        <w:bottom w:val="none" w:sz="0" w:space="0" w:color="auto"/>
        <w:right w:val="none" w:sz="0" w:space="0" w:color="auto"/>
      </w:divBdr>
    </w:div>
    <w:div w:id="134050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1</Pages>
  <Words>693</Words>
  <Characters>4095</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Dosedlová Vilma</dc:creator>
  <cp:lastModifiedBy>Morávková Věra</cp:lastModifiedBy>
  <cp:revision>16</cp:revision>
  <cp:lastPrinted>2026-09-30T10:09:00Z</cp:lastPrinted>
  <dcterms:created xsi:type="dcterms:W3CDTF">2026-09-16T15:50:00Z</dcterms:created>
  <dcterms:modified xsi:type="dcterms:W3CDTF">2026-10-22T12:12:00Z</dcterms:modified>
</cp:coreProperties>
</file>