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F35B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GoBack"/>
      <w:bookmarkEnd w:id="0"/>
    </w:p>
    <w:p w14:paraId="176CE518" w14:textId="77777777" w:rsidR="00C114FF" w:rsidRPr="00BE6FC6" w:rsidRDefault="00C114F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C6E43F" w14:textId="77777777" w:rsidR="00DC5499" w:rsidRDefault="00DC5499" w:rsidP="003D0C5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9FE62C3" w14:textId="79BB4B94" w:rsidR="006366B2" w:rsidRPr="00AE360A" w:rsidRDefault="00856733" w:rsidP="003D0C5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360A">
        <w:rPr>
          <w:b/>
          <w:szCs w:val="22"/>
        </w:rPr>
        <w:t>PŘÍBALOVÁ INFORMACE</w:t>
      </w:r>
    </w:p>
    <w:p w14:paraId="34DF6891" w14:textId="77777777" w:rsidR="001B01AD" w:rsidRDefault="001B01AD" w:rsidP="001B01AD">
      <w:pPr>
        <w:jc w:val="both"/>
        <w:rPr>
          <w:b/>
          <w:szCs w:val="22"/>
        </w:rPr>
      </w:pPr>
    </w:p>
    <w:p w14:paraId="04BC2EE5" w14:textId="58D915A4" w:rsidR="001B01AD" w:rsidRPr="00EA7FDC" w:rsidRDefault="001B01AD" w:rsidP="001B01AD">
      <w:pPr>
        <w:jc w:val="both"/>
        <w:rPr>
          <w:szCs w:val="22"/>
        </w:rPr>
      </w:pPr>
      <w:r w:rsidRPr="00EA7FDC">
        <w:rPr>
          <w:b/>
          <w:szCs w:val="22"/>
        </w:rPr>
        <w:t xml:space="preserve">DRŽITEL POVOLENÍ </w:t>
      </w:r>
      <w:r w:rsidR="00EF2C26">
        <w:rPr>
          <w:b/>
          <w:szCs w:val="22"/>
        </w:rPr>
        <w:t>SOUBĚŽNÉHO DOVOZU</w:t>
      </w:r>
    </w:p>
    <w:p w14:paraId="425FC203" w14:textId="77777777" w:rsidR="001B01AD" w:rsidRPr="00EA7FDC" w:rsidRDefault="001B01AD" w:rsidP="001B01AD">
      <w:pPr>
        <w:jc w:val="both"/>
        <w:rPr>
          <w:szCs w:val="22"/>
        </w:rPr>
      </w:pPr>
      <w:proofErr w:type="spellStart"/>
      <w:r w:rsidRPr="00EA7FDC">
        <w:rPr>
          <w:szCs w:val="22"/>
        </w:rPr>
        <w:t>Farmavet</w:t>
      </w:r>
      <w:proofErr w:type="spellEnd"/>
      <w:r w:rsidRPr="00EA7FDC">
        <w:rPr>
          <w:szCs w:val="22"/>
        </w:rPr>
        <w:t xml:space="preserve">, s r.o., </w:t>
      </w:r>
      <w:proofErr w:type="spellStart"/>
      <w:r w:rsidRPr="00EA7FDC">
        <w:rPr>
          <w:szCs w:val="22"/>
        </w:rPr>
        <w:t>Sklabinská</w:t>
      </w:r>
      <w:proofErr w:type="spellEnd"/>
      <w:r w:rsidRPr="00EA7FDC">
        <w:rPr>
          <w:szCs w:val="22"/>
        </w:rPr>
        <w:t xml:space="preserve"> 20, Martin 036 01, Slovensko</w:t>
      </w:r>
    </w:p>
    <w:p w14:paraId="6EA2B71E" w14:textId="77777777" w:rsidR="001B01AD" w:rsidRPr="00EA7FDC" w:rsidRDefault="001B01AD" w:rsidP="001B01AD">
      <w:pPr>
        <w:jc w:val="both"/>
        <w:rPr>
          <w:b/>
          <w:bCs/>
          <w:szCs w:val="22"/>
        </w:rPr>
      </w:pPr>
    </w:p>
    <w:p w14:paraId="5750F43F" w14:textId="57C1FCFA" w:rsidR="00F46E85" w:rsidRPr="00AE360A" w:rsidRDefault="00F46E85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86881" w14:textId="4812EC52" w:rsidR="006366B2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1</w:t>
      </w:r>
      <w:r w:rsidR="00856733" w:rsidRPr="00EF7CF4">
        <w:rPr>
          <w:b/>
          <w:szCs w:val="22"/>
          <w:highlight w:val="lightGray"/>
        </w:rPr>
        <w:t>.</w:t>
      </w:r>
      <w:r w:rsidR="00856733" w:rsidRPr="00AE360A">
        <w:rPr>
          <w:b/>
          <w:szCs w:val="22"/>
        </w:rPr>
        <w:tab/>
        <w:t>N</w:t>
      </w:r>
      <w:r w:rsidRPr="00AE360A">
        <w:rPr>
          <w:b/>
          <w:szCs w:val="22"/>
        </w:rPr>
        <w:t>ázev veterinárního léčivého přípravku</w:t>
      </w:r>
    </w:p>
    <w:p w14:paraId="3B1E19B2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CC8CD2" w14:textId="502005B7" w:rsidR="00F46E85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Avishield IBD INT</w:t>
      </w:r>
      <w:r w:rsidRPr="00AE360A">
        <w:rPr>
          <w:b/>
          <w:szCs w:val="22"/>
        </w:rPr>
        <w:t xml:space="preserve"> </w:t>
      </w:r>
      <w:r w:rsidRPr="00AE360A">
        <w:t>lyofilizát pro okulonazální suspenzi/</w:t>
      </w:r>
      <w:r w:rsidR="00060BE1">
        <w:t>podání</w:t>
      </w:r>
      <w:r w:rsidR="00060BE1" w:rsidRPr="00AE360A">
        <w:t xml:space="preserve"> </w:t>
      </w:r>
      <w:r w:rsidRPr="00AE360A">
        <w:t xml:space="preserve">v pitné vodě pro </w:t>
      </w:r>
      <w:r w:rsidR="007C5F6D" w:rsidRPr="00AE360A">
        <w:t>kura domácího</w:t>
      </w:r>
    </w:p>
    <w:p w14:paraId="1E430EE3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9ECF98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8EA561" w14:textId="397247CB" w:rsidR="006366B2" w:rsidRPr="00AE360A" w:rsidRDefault="00B75679" w:rsidP="00CA60C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2</w:t>
      </w:r>
      <w:r w:rsidR="00856733" w:rsidRPr="00EF7CF4">
        <w:rPr>
          <w:b/>
          <w:szCs w:val="22"/>
          <w:highlight w:val="lightGray"/>
        </w:rPr>
        <w:t>.</w:t>
      </w:r>
      <w:r w:rsidR="00856733" w:rsidRPr="00AE360A">
        <w:rPr>
          <w:b/>
          <w:szCs w:val="22"/>
        </w:rPr>
        <w:tab/>
      </w:r>
      <w:r>
        <w:rPr>
          <w:b/>
          <w:szCs w:val="22"/>
        </w:rPr>
        <w:t>Složení</w:t>
      </w:r>
    </w:p>
    <w:p w14:paraId="1B6B45B2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D5D6DC4" w14:textId="7038F8E8" w:rsidR="00F46E85" w:rsidRDefault="00060BE1" w:rsidP="00CA60C8">
      <w:pPr>
        <w:jc w:val="both"/>
      </w:pPr>
      <w:r>
        <w:t xml:space="preserve">Každá </w:t>
      </w:r>
      <w:r w:rsidR="00856733" w:rsidRPr="00AE360A">
        <w:t>dávka obsahuje:</w:t>
      </w:r>
    </w:p>
    <w:p w14:paraId="0448E993" w14:textId="77777777" w:rsidR="00B75679" w:rsidRDefault="00B75679" w:rsidP="00CA60C8">
      <w:pPr>
        <w:jc w:val="both"/>
      </w:pPr>
    </w:p>
    <w:p w14:paraId="7C355922" w14:textId="77777777" w:rsidR="00B75679" w:rsidRPr="00776DA2" w:rsidRDefault="00B75679" w:rsidP="00CA60C8">
      <w:pPr>
        <w:jc w:val="both"/>
        <w:rPr>
          <w:b/>
          <w:bCs/>
          <w:szCs w:val="22"/>
        </w:rPr>
      </w:pPr>
      <w:r w:rsidRPr="00776DA2">
        <w:rPr>
          <w:b/>
          <w:bCs/>
        </w:rPr>
        <w:t>Léčivá látka:</w:t>
      </w:r>
    </w:p>
    <w:p w14:paraId="25A9580D" w14:textId="567A3E42" w:rsidR="00F46E85" w:rsidRPr="00AE360A" w:rsidRDefault="00B75679" w:rsidP="00CA60C8">
      <w:pPr>
        <w:pStyle w:val="Style4"/>
        <w:widowControl/>
        <w:spacing w:before="19" w:line="278" w:lineRule="exact"/>
        <w:ind w:right="9"/>
        <w:jc w:val="both"/>
        <w:rPr>
          <w:rStyle w:val="FontStyle41"/>
          <w:vertAlign w:val="subscript"/>
        </w:rPr>
      </w:pPr>
      <w:r>
        <w:rPr>
          <w:rFonts w:ascii="Times New Roman" w:hAnsi="Times New Roman"/>
          <w:bCs/>
          <w:iCs/>
          <w:sz w:val="22"/>
          <w:szCs w:val="22"/>
        </w:rPr>
        <w:t>V</w:t>
      </w:r>
      <w:r w:rsidR="00856733" w:rsidRPr="00AE360A">
        <w:rPr>
          <w:rFonts w:ascii="Times New Roman" w:hAnsi="Times New Roman"/>
          <w:bCs/>
          <w:iCs/>
          <w:sz w:val="22"/>
          <w:szCs w:val="22"/>
        </w:rPr>
        <w:t>irus infekční</w:t>
      </w:r>
      <w:r w:rsidR="007C5F6D" w:rsidRPr="00AE360A">
        <w:rPr>
          <w:rFonts w:ascii="Times New Roman" w:hAnsi="Times New Roman"/>
          <w:bCs/>
          <w:iCs/>
          <w:sz w:val="22"/>
          <w:szCs w:val="22"/>
        </w:rPr>
        <w:t xml:space="preserve"> burzitidy</w:t>
      </w:r>
      <w:r>
        <w:rPr>
          <w:rFonts w:ascii="Times New Roman" w:hAnsi="Times New Roman"/>
          <w:bCs/>
          <w:iCs/>
          <w:sz w:val="22"/>
          <w:szCs w:val="22"/>
        </w:rPr>
        <w:t>,</w:t>
      </w:r>
      <w:r w:rsidRPr="00B7567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AE360A">
        <w:rPr>
          <w:rFonts w:ascii="Times New Roman" w:hAnsi="Times New Roman"/>
          <w:bCs/>
          <w:iCs/>
          <w:sz w:val="22"/>
          <w:szCs w:val="22"/>
        </w:rPr>
        <w:t>IM kmen VMG 91</w:t>
      </w:r>
      <w:r>
        <w:rPr>
          <w:rFonts w:ascii="Times New Roman" w:hAnsi="Times New Roman"/>
          <w:bCs/>
          <w:iCs/>
          <w:sz w:val="22"/>
          <w:szCs w:val="22"/>
        </w:rPr>
        <w:t>, živý</w:t>
      </w:r>
      <w:r>
        <w:rPr>
          <w:rFonts w:ascii="Times New Roman" w:hAnsi="Times New Roman"/>
          <w:bCs/>
          <w:iCs/>
          <w:sz w:val="22"/>
          <w:szCs w:val="22"/>
        </w:rPr>
        <w:tab/>
      </w:r>
      <w:r w:rsidR="00856733" w:rsidRPr="00AE360A">
        <w:rPr>
          <w:rStyle w:val="FontStyle41"/>
        </w:rPr>
        <w:tab/>
        <w:t>10</w:t>
      </w:r>
      <w:r w:rsidR="00856733" w:rsidRPr="00823170">
        <w:rPr>
          <w:rStyle w:val="FontStyle41"/>
          <w:bCs/>
          <w:iCs/>
          <w:vertAlign w:val="superscript"/>
        </w:rPr>
        <w:t>4,0</w:t>
      </w:r>
      <w:r w:rsidR="00776DA2">
        <w:rPr>
          <w:rStyle w:val="FontStyle41"/>
          <w:bCs/>
          <w:iCs/>
          <w:vertAlign w:val="superscript"/>
        </w:rPr>
        <w:t xml:space="preserve"> </w:t>
      </w:r>
      <w:r w:rsidR="00823170">
        <w:rPr>
          <w:rStyle w:val="FontStyle41"/>
        </w:rPr>
        <w:t>až</w:t>
      </w:r>
      <w:r w:rsidR="00856733" w:rsidRPr="00AE360A">
        <w:rPr>
          <w:rStyle w:val="FontStyle41"/>
        </w:rPr>
        <w:t xml:space="preserve"> 10</w:t>
      </w:r>
      <w:r w:rsidR="00856733" w:rsidRPr="00AE360A">
        <w:rPr>
          <w:rStyle w:val="FontStyle41"/>
          <w:vertAlign w:val="superscript"/>
        </w:rPr>
        <w:t xml:space="preserve">5,0 </w:t>
      </w:r>
      <w:r w:rsidR="00856733" w:rsidRPr="00AE360A">
        <w:rPr>
          <w:rStyle w:val="FontStyle41"/>
        </w:rPr>
        <w:t>TCID</w:t>
      </w:r>
      <w:r w:rsidR="00856733" w:rsidRPr="00AE360A">
        <w:rPr>
          <w:rStyle w:val="FontStyle41"/>
          <w:vertAlign w:val="subscript"/>
        </w:rPr>
        <w:t>50</w:t>
      </w:r>
      <w:r w:rsidR="0095680A" w:rsidRPr="00776DA2">
        <w:rPr>
          <w:rStyle w:val="FontStyle41"/>
        </w:rPr>
        <w:t>*</w:t>
      </w:r>
    </w:p>
    <w:p w14:paraId="5FBEB0BE" w14:textId="77777777" w:rsidR="0095680A" w:rsidRPr="00AE360A" w:rsidRDefault="0095680A" w:rsidP="00CA60C8">
      <w:pPr>
        <w:pStyle w:val="Style4"/>
        <w:widowControl/>
        <w:spacing w:before="19" w:line="278" w:lineRule="exact"/>
        <w:ind w:right="9"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18F6555" w14:textId="77777777" w:rsidR="0095680A" w:rsidRPr="00AE360A" w:rsidRDefault="0095680A" w:rsidP="00CA60C8">
      <w:pPr>
        <w:pStyle w:val="Style4"/>
        <w:widowControl/>
        <w:spacing w:before="19" w:line="278" w:lineRule="exact"/>
        <w:ind w:right="9"/>
        <w:jc w:val="both"/>
        <w:rPr>
          <w:rFonts w:ascii="Times New Roman" w:hAnsi="Times New Roman"/>
          <w:bCs/>
          <w:iCs/>
          <w:sz w:val="22"/>
          <w:szCs w:val="22"/>
        </w:rPr>
      </w:pPr>
      <w:r w:rsidRPr="00AE360A">
        <w:rPr>
          <w:rFonts w:ascii="Times New Roman" w:hAnsi="Times New Roman"/>
          <w:bCs/>
          <w:iCs/>
          <w:sz w:val="22"/>
          <w:szCs w:val="22"/>
        </w:rPr>
        <w:t>*TCID</w:t>
      </w:r>
      <w:r w:rsidRPr="00AE360A">
        <w:rPr>
          <w:rFonts w:ascii="Times New Roman" w:hAnsi="Times New Roman"/>
          <w:bCs/>
          <w:iCs/>
          <w:sz w:val="22"/>
          <w:szCs w:val="22"/>
          <w:vertAlign w:val="subscript"/>
        </w:rPr>
        <w:t>50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= 50% infekční dávka</w:t>
      </w:r>
      <w:r w:rsidR="007835BB">
        <w:rPr>
          <w:rFonts w:ascii="Times New Roman" w:hAnsi="Times New Roman"/>
          <w:bCs/>
          <w:iCs/>
          <w:sz w:val="22"/>
          <w:szCs w:val="22"/>
        </w:rPr>
        <w:t xml:space="preserve"> pro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tkáňov</w:t>
      </w:r>
      <w:r w:rsidR="001A4802">
        <w:rPr>
          <w:rFonts w:ascii="Times New Roman" w:hAnsi="Times New Roman"/>
          <w:bCs/>
          <w:iCs/>
          <w:sz w:val="22"/>
          <w:szCs w:val="22"/>
        </w:rPr>
        <w:t>ou</w:t>
      </w:r>
      <w:r w:rsidRPr="00AE360A">
        <w:rPr>
          <w:rFonts w:ascii="Times New Roman" w:hAnsi="Times New Roman"/>
          <w:bCs/>
          <w:iCs/>
          <w:sz w:val="22"/>
          <w:szCs w:val="22"/>
        </w:rPr>
        <w:t xml:space="preserve"> kultur</w:t>
      </w:r>
      <w:r w:rsidR="001A4802">
        <w:rPr>
          <w:rFonts w:ascii="Times New Roman" w:hAnsi="Times New Roman"/>
          <w:bCs/>
          <w:iCs/>
          <w:sz w:val="22"/>
          <w:szCs w:val="22"/>
        </w:rPr>
        <w:t>u</w:t>
      </w:r>
    </w:p>
    <w:p w14:paraId="5E167B19" w14:textId="77777777" w:rsidR="001A4802" w:rsidRPr="00AE360A" w:rsidRDefault="001A4802" w:rsidP="00CA60C8">
      <w:pPr>
        <w:pStyle w:val="Style4"/>
        <w:widowControl/>
        <w:spacing w:before="19" w:line="278" w:lineRule="exact"/>
        <w:ind w:right="9"/>
        <w:jc w:val="both"/>
        <w:rPr>
          <w:rStyle w:val="FontStyle41"/>
          <w:bCs/>
          <w:iCs/>
        </w:rPr>
      </w:pPr>
    </w:p>
    <w:p w14:paraId="1F7D4F31" w14:textId="77777777" w:rsidR="00F46E85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Lyofilizát krémové až načervenalé barvy</w:t>
      </w:r>
      <w:r w:rsidR="00EB0366">
        <w:t>.</w:t>
      </w:r>
    </w:p>
    <w:p w14:paraId="2553CDDD" w14:textId="77777777" w:rsidR="003E5246" w:rsidRDefault="003E52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0D6091" w14:textId="77777777" w:rsidR="00B75679" w:rsidRPr="00AE360A" w:rsidRDefault="00B75679" w:rsidP="00B7567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3E66E0" w14:textId="77777777" w:rsidR="00B75679" w:rsidRPr="00AE360A" w:rsidRDefault="00B75679" w:rsidP="00B7567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3.</w:t>
      </w:r>
      <w:r w:rsidRPr="00AE360A">
        <w:rPr>
          <w:b/>
          <w:szCs w:val="22"/>
        </w:rPr>
        <w:tab/>
        <w:t>Cílov</w:t>
      </w:r>
      <w:r>
        <w:rPr>
          <w:b/>
          <w:szCs w:val="22"/>
        </w:rPr>
        <w:t>é</w:t>
      </w:r>
      <w:r w:rsidRPr="00AE360A">
        <w:rPr>
          <w:b/>
          <w:szCs w:val="22"/>
        </w:rPr>
        <w:t xml:space="preserve"> druh</w:t>
      </w:r>
      <w:r>
        <w:rPr>
          <w:b/>
          <w:szCs w:val="22"/>
        </w:rPr>
        <w:t>y</w:t>
      </w:r>
      <w:r w:rsidRPr="00AE360A">
        <w:rPr>
          <w:b/>
          <w:szCs w:val="22"/>
        </w:rPr>
        <w:t xml:space="preserve"> zvířat</w:t>
      </w:r>
    </w:p>
    <w:p w14:paraId="53FD9529" w14:textId="77777777" w:rsidR="00B75679" w:rsidRPr="00AE360A" w:rsidRDefault="00B75679" w:rsidP="00B7567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50346A" w14:textId="3B957189" w:rsidR="00B75679" w:rsidRPr="00AE360A" w:rsidRDefault="00060BE1" w:rsidP="00B75679">
      <w:pPr>
        <w:jc w:val="both"/>
        <w:rPr>
          <w:szCs w:val="22"/>
        </w:rPr>
      </w:pPr>
      <w:r>
        <w:t>Kur domácí</w:t>
      </w:r>
      <w:r w:rsidR="00B75679" w:rsidRPr="00AE360A">
        <w:t>.</w:t>
      </w:r>
    </w:p>
    <w:p w14:paraId="19F79D47" w14:textId="77777777" w:rsidR="00B75679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596D4E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4.</w:t>
      </w:r>
      <w:r w:rsidRPr="00AE360A">
        <w:rPr>
          <w:b/>
          <w:szCs w:val="22"/>
        </w:rPr>
        <w:tab/>
        <w:t>I</w:t>
      </w:r>
      <w:r w:rsidR="00B75679" w:rsidRPr="00AE360A">
        <w:rPr>
          <w:b/>
          <w:szCs w:val="22"/>
        </w:rPr>
        <w:t>ndikace</w:t>
      </w:r>
      <w:r w:rsidR="00B75679">
        <w:rPr>
          <w:b/>
          <w:szCs w:val="22"/>
        </w:rPr>
        <w:t xml:space="preserve"> pro použití</w:t>
      </w:r>
    </w:p>
    <w:p w14:paraId="40C3323C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6B0D07" w14:textId="36B4167F" w:rsidR="00F46E85" w:rsidRPr="00AE360A" w:rsidRDefault="00856733" w:rsidP="00CA60C8">
      <w:pPr>
        <w:jc w:val="both"/>
        <w:rPr>
          <w:rFonts w:cs="Arial"/>
        </w:rPr>
      </w:pPr>
      <w:r w:rsidRPr="00AE360A">
        <w:t xml:space="preserve">Pro aktivní imunizaci kuřat (brojlerů, budoucích nosnic a </w:t>
      </w:r>
      <w:r w:rsidR="007C5F6D" w:rsidRPr="00AE360A">
        <w:t>chovných</w:t>
      </w:r>
      <w:r w:rsidRPr="00AE360A">
        <w:t xml:space="preserve"> jedinců) </w:t>
      </w:r>
      <w:r w:rsidR="001A4802">
        <w:t>s</w:t>
      </w:r>
      <w:r w:rsidRPr="00AE360A">
        <w:t xml:space="preserve"> </w:t>
      </w:r>
      <w:r w:rsidR="007C5F6D" w:rsidRPr="00AE360A">
        <w:t>mateřský</w:t>
      </w:r>
      <w:r w:rsidR="001A4802">
        <w:t>mi</w:t>
      </w:r>
      <w:r w:rsidR="007C5F6D" w:rsidRPr="00AE360A">
        <w:t xml:space="preserve"> </w:t>
      </w:r>
      <w:r w:rsidRPr="00AE360A">
        <w:t>protilátk</w:t>
      </w:r>
      <w:r w:rsidR="001A4802">
        <w:t>ami,</w:t>
      </w:r>
      <w:r w:rsidRPr="00AE360A">
        <w:t xml:space="preserve"> </w:t>
      </w:r>
      <w:r w:rsidR="00060BE1">
        <w:t>k prevenci</w:t>
      </w:r>
      <w:r w:rsidRPr="00AE360A">
        <w:t xml:space="preserve"> mortalit</w:t>
      </w:r>
      <w:r w:rsidR="00060BE1">
        <w:t>y</w:t>
      </w:r>
      <w:r w:rsidRPr="00AE360A">
        <w:t xml:space="preserve"> a </w:t>
      </w:r>
      <w:r w:rsidR="00060BE1" w:rsidRPr="00AE360A">
        <w:t>klinické</w:t>
      </w:r>
      <w:r w:rsidR="00060BE1">
        <w:t>ho</w:t>
      </w:r>
      <w:r w:rsidR="00060BE1" w:rsidRPr="00AE360A">
        <w:t xml:space="preserve"> </w:t>
      </w:r>
      <w:r w:rsidRPr="00AE360A">
        <w:t xml:space="preserve">onemocnění </w:t>
      </w:r>
      <w:r w:rsidR="00060BE1" w:rsidRPr="00AE360A">
        <w:t>způsobené</w:t>
      </w:r>
      <w:r w:rsidR="00060BE1">
        <w:t>ho</w:t>
      </w:r>
      <w:r w:rsidR="00060BE1" w:rsidRPr="00AE360A">
        <w:t xml:space="preserve"> </w:t>
      </w:r>
      <w:r w:rsidRPr="00AE360A">
        <w:t>viry</w:t>
      </w:r>
      <w:r w:rsidR="00B85EA0" w:rsidRPr="00AE360A">
        <w:t xml:space="preserve"> </w:t>
      </w:r>
      <w:r w:rsidRPr="00AE360A">
        <w:t>infekční burz</w:t>
      </w:r>
      <w:r w:rsidR="00B85EA0" w:rsidRPr="00AE360A">
        <w:t>itidy</w:t>
      </w:r>
      <w:r w:rsidRPr="00AE360A">
        <w:t>.</w:t>
      </w:r>
    </w:p>
    <w:p w14:paraId="74DF883A" w14:textId="77777777" w:rsidR="00F46E85" w:rsidRPr="00AE360A" w:rsidRDefault="00F46E85" w:rsidP="00CA60C8">
      <w:pPr>
        <w:jc w:val="both"/>
        <w:rPr>
          <w:rFonts w:cs="Arial"/>
          <w:color w:val="FF0000"/>
        </w:rPr>
      </w:pPr>
    </w:p>
    <w:p w14:paraId="3E7A0C3C" w14:textId="35CFE2AD" w:rsidR="00F46E85" w:rsidRPr="00AE360A" w:rsidRDefault="00856733" w:rsidP="00CA60C8">
      <w:pPr>
        <w:jc w:val="both"/>
        <w:rPr>
          <w:rFonts w:cs="Arial"/>
        </w:rPr>
      </w:pPr>
      <w:r w:rsidRPr="00AE360A">
        <w:t>Nástup imunity: 2 týdny po vakcinaci</w:t>
      </w:r>
      <w:r w:rsidR="00060BE1">
        <w:t>.</w:t>
      </w:r>
    </w:p>
    <w:p w14:paraId="6B343AAD" w14:textId="0DD3DE3B" w:rsidR="00F46E85" w:rsidRPr="00AE360A" w:rsidRDefault="00060BE1" w:rsidP="00CA60C8">
      <w:pPr>
        <w:jc w:val="both"/>
        <w:rPr>
          <w:rFonts w:cs="Arial"/>
        </w:rPr>
      </w:pPr>
      <w:r>
        <w:t>T</w:t>
      </w:r>
      <w:r w:rsidR="00856733" w:rsidRPr="00AE360A">
        <w:t>rvání imunity: 4 týdny po vakcinaci</w:t>
      </w:r>
      <w:r>
        <w:t>.</w:t>
      </w:r>
    </w:p>
    <w:p w14:paraId="4DBBF9BB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685094" w14:textId="77777777" w:rsidR="00B75679" w:rsidRPr="00AE360A" w:rsidRDefault="00B7567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E808D9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5.</w:t>
      </w:r>
      <w:r w:rsidRPr="00AE360A">
        <w:rPr>
          <w:b/>
          <w:szCs w:val="22"/>
        </w:rPr>
        <w:tab/>
        <w:t>K</w:t>
      </w:r>
      <w:r w:rsidR="00B75679" w:rsidRPr="00AE360A">
        <w:rPr>
          <w:b/>
          <w:szCs w:val="22"/>
        </w:rPr>
        <w:t>ontraindikace</w:t>
      </w:r>
    </w:p>
    <w:p w14:paraId="23A82076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F2081E" w14:textId="77777777" w:rsidR="00F46E85" w:rsidRPr="00AE360A" w:rsidRDefault="00856733" w:rsidP="00CA60C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Nejsou.</w:t>
      </w:r>
    </w:p>
    <w:p w14:paraId="772E11A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69358D" w14:textId="140132CA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6.</w:t>
      </w:r>
      <w:r w:rsidRPr="00AE360A">
        <w:rPr>
          <w:b/>
          <w:szCs w:val="22"/>
        </w:rPr>
        <w:tab/>
      </w:r>
      <w:r w:rsidR="00F36ADD">
        <w:rPr>
          <w:b/>
          <w:szCs w:val="22"/>
        </w:rPr>
        <w:t>Zvláštní upozornění</w:t>
      </w:r>
    </w:p>
    <w:p w14:paraId="08382716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4027B1" w14:textId="77777777" w:rsidR="00F36ADD" w:rsidRPr="00776DA2" w:rsidRDefault="00F36ADD" w:rsidP="00CA60C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76DA2">
        <w:rPr>
          <w:szCs w:val="22"/>
          <w:u w:val="single"/>
        </w:rPr>
        <w:t>Zvláštní upozornění:</w:t>
      </w:r>
    </w:p>
    <w:p w14:paraId="513FB40D" w14:textId="77777777" w:rsidR="00F36ADD" w:rsidRDefault="00F36ADD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Další údaje viz bod „</w:t>
      </w:r>
      <w:r w:rsidR="00DA1299">
        <w:rPr>
          <w:szCs w:val="22"/>
        </w:rPr>
        <w:t>Dávkování pro každý druh, cesty a způsob podání“.</w:t>
      </w:r>
    </w:p>
    <w:p w14:paraId="407F1850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Vakcinovat pouze zdravá zvířata.</w:t>
      </w:r>
    </w:p>
    <w:p w14:paraId="66D48BE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080AC4" w14:textId="77777777" w:rsidR="00F36ADD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E360A">
        <w:rPr>
          <w:szCs w:val="22"/>
          <w:u w:val="single"/>
        </w:rPr>
        <w:t xml:space="preserve">Zvláštní opatření pro </w:t>
      </w:r>
      <w:r>
        <w:rPr>
          <w:szCs w:val="22"/>
          <w:u w:val="single"/>
        </w:rPr>
        <w:t xml:space="preserve">bezpečné </w:t>
      </w:r>
      <w:r w:rsidRPr="00AE360A">
        <w:rPr>
          <w:szCs w:val="22"/>
          <w:u w:val="single"/>
        </w:rPr>
        <w:t xml:space="preserve">použití u </w:t>
      </w:r>
      <w:r>
        <w:rPr>
          <w:szCs w:val="22"/>
          <w:u w:val="single"/>
        </w:rPr>
        <w:t xml:space="preserve">cílových druhů </w:t>
      </w:r>
      <w:r w:rsidRPr="00AE360A">
        <w:rPr>
          <w:szCs w:val="22"/>
          <w:u w:val="single"/>
        </w:rPr>
        <w:t>zvířat</w:t>
      </w:r>
      <w:r>
        <w:rPr>
          <w:szCs w:val="22"/>
          <w:u w:val="single"/>
        </w:rPr>
        <w:t>:</w:t>
      </w:r>
    </w:p>
    <w:p w14:paraId="0070F602" w14:textId="571B7C2A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Vakcinační kmen se může rozšířit na vnímavá, nevakcinovaná kuřata po dobu nejméně 10 dnů po vakcinaci.</w:t>
      </w:r>
      <w:r w:rsidR="007A62A9">
        <w:t xml:space="preserve"> </w:t>
      </w:r>
      <w:r w:rsidR="00060BE1">
        <w:t>U vakcinačního viru byl</w:t>
      </w:r>
      <w:r w:rsidRPr="00AE360A">
        <w:t xml:space="preserve"> prokáz</w:t>
      </w:r>
      <w:r w:rsidR="00060BE1">
        <w:t>án</w:t>
      </w:r>
      <w:r w:rsidRPr="00AE360A">
        <w:t xml:space="preserve"> potenciál zvyšovat virulenci při přenosu mezi jednotlivými ptáky a může způsobit imunosupresi, ale nevyvolá klinické příznaky onemocnění. Je velmi důležité přijmout opatření, která zajistí, že se</w:t>
      </w:r>
      <w:r w:rsidR="00060BE1">
        <w:t> vakcinační kmen</w:t>
      </w:r>
      <w:r w:rsidRPr="00AE360A">
        <w:t xml:space="preserve"> nerozšíří na nevakcinované ptáky.</w:t>
      </w:r>
    </w:p>
    <w:p w14:paraId="089A5A89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8FE8E7" w14:textId="1281A965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AE360A">
        <w:t xml:space="preserve">Je možné, že </w:t>
      </w:r>
      <w:r w:rsidR="00060BE1">
        <w:t>vakcinační viry</w:t>
      </w:r>
      <w:r w:rsidRPr="00AE360A">
        <w:t xml:space="preserve"> se mohou rozšířit na </w:t>
      </w:r>
      <w:r>
        <w:t>vnímavé</w:t>
      </w:r>
      <w:r w:rsidRPr="00AE360A">
        <w:t xml:space="preserve"> </w:t>
      </w:r>
      <w:r w:rsidR="00060BE1">
        <w:t>necílové</w:t>
      </w:r>
      <w:r w:rsidRPr="00AE360A">
        <w:t xml:space="preserve"> druhy.</w:t>
      </w:r>
    </w:p>
    <w:p w14:paraId="3FE6AE90" w14:textId="134C41EA" w:rsidR="00F36ADD" w:rsidRPr="00AE360A" w:rsidRDefault="00F36ADD" w:rsidP="00F36ADD">
      <w:pPr>
        <w:spacing w:line="240" w:lineRule="auto"/>
        <w:jc w:val="both"/>
        <w:rPr>
          <w:sz w:val="24"/>
          <w:szCs w:val="24"/>
        </w:rPr>
      </w:pPr>
      <w:r w:rsidRPr="00AE360A">
        <w:rPr>
          <w:iCs/>
          <w:color w:val="000000"/>
          <w:szCs w:val="22"/>
        </w:rPr>
        <w:lastRenderedPageBreak/>
        <w:t xml:space="preserve">Je třeba dbát na to, aby se </w:t>
      </w:r>
      <w:r w:rsidR="00060BE1">
        <w:rPr>
          <w:iCs/>
          <w:color w:val="000000"/>
          <w:szCs w:val="22"/>
        </w:rPr>
        <w:t>vakcinační virus</w:t>
      </w:r>
      <w:r w:rsidRPr="00AE360A">
        <w:rPr>
          <w:iCs/>
          <w:color w:val="000000"/>
          <w:szCs w:val="22"/>
        </w:rPr>
        <w:t xml:space="preserve"> nerozšířil na nevakcinované ptáky. </w:t>
      </w:r>
      <w:r w:rsidRPr="00AE360A">
        <w:rPr>
          <w:iCs/>
          <w:color w:val="000000"/>
        </w:rPr>
        <w:t>Proto je zapotřebí vakcinovat současně všechny ptáky v hejnu, aby se snížilo riziko přenosu mezi jednotlivými ptáky. Vakcinovaní ptáci by neměli přijít do styku s nevakcinovanými. Je třeba přijmout taková hygienická opatření</w:t>
      </w:r>
      <w:r>
        <w:rPr>
          <w:iCs/>
          <w:color w:val="000000"/>
        </w:rPr>
        <w:t>,</w:t>
      </w:r>
      <w:r w:rsidRPr="00AE360A">
        <w:rPr>
          <w:iCs/>
          <w:color w:val="000000"/>
        </w:rPr>
        <w:t xml:space="preserve"> aby nedošlo k rozšíření na jiná hejna. Doporučuje se vakcinovat všechna kuřata v objektu. Před opětovným naskladněním je nutné chovné prostory dezinfikovat.</w:t>
      </w:r>
    </w:p>
    <w:p w14:paraId="0FC394D5" w14:textId="77777777" w:rsidR="00F36ADD" w:rsidRPr="00AE360A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D316853" w14:textId="77777777" w:rsidR="00F36ADD" w:rsidRPr="00AE360A" w:rsidRDefault="00F36ADD" w:rsidP="00F36AD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E360A">
        <w:rPr>
          <w:szCs w:val="22"/>
          <w:u w:val="single"/>
        </w:rPr>
        <w:t xml:space="preserve">Zvláštní opatření </w:t>
      </w:r>
      <w:r>
        <w:rPr>
          <w:szCs w:val="22"/>
          <w:u w:val="single"/>
        </w:rPr>
        <w:t>pro osobu</w:t>
      </w:r>
      <w:r w:rsidRPr="00AE360A">
        <w:rPr>
          <w:szCs w:val="22"/>
          <w:u w:val="single"/>
        </w:rPr>
        <w:t>, kter</w:t>
      </w:r>
      <w:r>
        <w:rPr>
          <w:szCs w:val="22"/>
          <w:u w:val="single"/>
        </w:rPr>
        <w:t>á</w:t>
      </w:r>
      <w:r w:rsidRPr="00AE360A">
        <w:rPr>
          <w:szCs w:val="22"/>
          <w:u w:val="single"/>
        </w:rPr>
        <w:t xml:space="preserve"> podáv</w:t>
      </w:r>
      <w:r>
        <w:rPr>
          <w:szCs w:val="22"/>
          <w:u w:val="single"/>
        </w:rPr>
        <w:t>á</w:t>
      </w:r>
      <w:r w:rsidRPr="00AE360A">
        <w:rPr>
          <w:szCs w:val="22"/>
          <w:u w:val="single"/>
        </w:rPr>
        <w:t xml:space="preserve"> veterinární léčivý přípravek zvířatům:</w:t>
      </w:r>
    </w:p>
    <w:p w14:paraId="4B7C13CA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Po vakcinaci si omyjte a dezinfikujte ruce a vybavení</w:t>
      </w:r>
      <w:r>
        <w:t>.</w:t>
      </w:r>
    </w:p>
    <w:p w14:paraId="72100BD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A320AD" w14:textId="77777777" w:rsidR="00F36ADD" w:rsidRDefault="00F36ADD" w:rsidP="00F36ADD">
      <w:pPr>
        <w:tabs>
          <w:tab w:val="clear" w:pos="567"/>
        </w:tabs>
        <w:spacing w:line="240" w:lineRule="auto"/>
        <w:jc w:val="both"/>
      </w:pPr>
      <w:r>
        <w:rPr>
          <w:szCs w:val="22"/>
          <w:u w:val="single"/>
        </w:rPr>
        <w:t>Nosnice</w:t>
      </w:r>
      <w:r w:rsidRPr="00AE360A">
        <w:t>:</w:t>
      </w:r>
    </w:p>
    <w:p w14:paraId="59B341DE" w14:textId="0533FACD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Nepoužívejte u nosnic</w:t>
      </w:r>
      <w:r w:rsidR="00060BE1">
        <w:t xml:space="preserve"> ve snášce</w:t>
      </w:r>
      <w:r w:rsidRPr="00AE360A">
        <w:t xml:space="preserve"> </w:t>
      </w:r>
      <w:r w:rsidR="00060BE1">
        <w:t>a</w:t>
      </w:r>
      <w:r w:rsidRPr="00AE360A">
        <w:t xml:space="preserve"> během 4 týdnů před </w:t>
      </w:r>
      <w:r w:rsidR="00060BE1">
        <w:t>počátkem</w:t>
      </w:r>
      <w:r w:rsidRPr="00AE360A">
        <w:t xml:space="preserve"> snášky.</w:t>
      </w:r>
    </w:p>
    <w:p w14:paraId="4CF2B4AB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09E7DB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rPr>
          <w:szCs w:val="22"/>
          <w:u w:val="single"/>
        </w:rPr>
        <w:t>Interakce s dalšími léčivými přípravky a další formy interakce:</w:t>
      </w:r>
    </w:p>
    <w:p w14:paraId="151066F9" w14:textId="36292DC4" w:rsidR="00F36ADD" w:rsidRPr="00AE360A" w:rsidRDefault="00F36ADD" w:rsidP="00F36ADD">
      <w:pPr>
        <w:jc w:val="both"/>
        <w:rPr>
          <w:szCs w:val="22"/>
        </w:rPr>
      </w:pPr>
      <w:r w:rsidRPr="00AE360A">
        <w:t xml:space="preserve">Nejsou dostupné informace o bezpečnosti a účinnosti této vakcíny, pokud </w:t>
      </w:r>
      <w:r w:rsidR="00060BE1">
        <w:t>se používá</w:t>
      </w:r>
      <w:r w:rsidRPr="00AE360A">
        <w:t xml:space="preserve"> zároveň s jiným veterinárním léčivým přípravkem. Rozhodnutí o použití této vakcíny před nebo po jakémkoliv jiném veterinárním léčivém přípravku musí být provedeno na základě zvážení jednotlivých případů. </w:t>
      </w:r>
    </w:p>
    <w:p w14:paraId="314B0A97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E21C2C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rPr>
          <w:szCs w:val="22"/>
          <w:u w:val="single"/>
        </w:rPr>
        <w:t>Předávkování</w:t>
      </w:r>
      <w:r w:rsidRPr="00AE360A">
        <w:t>:</w:t>
      </w:r>
    </w:p>
    <w:p w14:paraId="4B5F8B3E" w14:textId="77777777" w:rsidR="00F36ADD" w:rsidRPr="00AE360A" w:rsidRDefault="00F36ADD" w:rsidP="00F36ADD">
      <w:pPr>
        <w:tabs>
          <w:tab w:val="clear" w:pos="567"/>
        </w:tabs>
        <w:spacing w:line="240" w:lineRule="auto"/>
        <w:rPr>
          <w:szCs w:val="22"/>
        </w:rPr>
      </w:pPr>
      <w:r w:rsidRPr="00AE360A">
        <w:t>Po podání 10</w:t>
      </w:r>
      <w:r>
        <w:t>násobné</w:t>
      </w:r>
      <w:r w:rsidRPr="00AE360A">
        <w:t xml:space="preserve"> dávky nebyly pozorovány žádné jiné nežádoucí účinky než účinky popsané v bodě </w:t>
      </w:r>
      <w:r w:rsidR="00DA1299">
        <w:t>„Nežádoucí účinky“</w:t>
      </w:r>
      <w:r w:rsidRPr="00AE360A">
        <w:t>.</w:t>
      </w:r>
    </w:p>
    <w:p w14:paraId="2B6D9966" w14:textId="77777777" w:rsidR="00F36ADD" w:rsidRPr="00AE360A" w:rsidRDefault="00F36ADD" w:rsidP="00F36AD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A2A9A9" w14:textId="77777777" w:rsidR="00F36ADD" w:rsidRDefault="00DA1299" w:rsidP="00F36ADD">
      <w:pPr>
        <w:rPr>
          <w:szCs w:val="22"/>
          <w:u w:val="single"/>
        </w:rPr>
      </w:pPr>
      <w:r>
        <w:rPr>
          <w:szCs w:val="22"/>
          <w:u w:val="single"/>
        </w:rPr>
        <w:t>Hlavní i</w:t>
      </w:r>
      <w:r w:rsidR="00F36ADD" w:rsidRPr="00AE360A">
        <w:rPr>
          <w:szCs w:val="22"/>
          <w:u w:val="single"/>
        </w:rPr>
        <w:t>nkompatibility:</w:t>
      </w:r>
    </w:p>
    <w:p w14:paraId="4953766F" w14:textId="77777777" w:rsidR="00DA1299" w:rsidRPr="00AE360A" w:rsidRDefault="00DA1299" w:rsidP="00F36ADD">
      <w:pPr>
        <w:rPr>
          <w:szCs w:val="22"/>
          <w:u w:val="single"/>
        </w:rPr>
      </w:pPr>
    </w:p>
    <w:p w14:paraId="21F36973" w14:textId="77777777" w:rsidR="00F36ADD" w:rsidRPr="00AE360A" w:rsidRDefault="00F36ADD" w:rsidP="00F36ADD">
      <w:pPr>
        <w:rPr>
          <w:szCs w:val="22"/>
        </w:rPr>
      </w:pPr>
      <w:r w:rsidRPr="00AE360A">
        <w:t>Nemíchejte s dalšími veterinárními léčivými přípravky.</w:t>
      </w:r>
    </w:p>
    <w:p w14:paraId="31FB266A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FD7A3E" w14:textId="77777777" w:rsid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745CF" w14:textId="77777777" w:rsidR="00DA1299" w:rsidRPr="00776DA2" w:rsidRDefault="00DA1299" w:rsidP="00CA60C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EF7CF4">
        <w:rPr>
          <w:b/>
          <w:bCs/>
          <w:szCs w:val="22"/>
          <w:highlight w:val="lightGray"/>
        </w:rPr>
        <w:t>7.</w:t>
      </w:r>
      <w:r w:rsidRPr="00776DA2">
        <w:rPr>
          <w:b/>
          <w:bCs/>
          <w:szCs w:val="22"/>
        </w:rPr>
        <w:tab/>
        <w:t>Nežádoucí účinky</w:t>
      </w:r>
    </w:p>
    <w:p w14:paraId="7E4DF342" w14:textId="77777777" w:rsid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7A1BBF" w14:textId="497C561F" w:rsidR="00DA1299" w:rsidRDefault="00060BE1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domácí:</w:t>
      </w:r>
    </w:p>
    <w:p w14:paraId="5A873019" w14:textId="77777777" w:rsidR="00DA1299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A1299" w:rsidRPr="00B41D57" w14:paraId="34C6B73C" w14:textId="77777777" w:rsidTr="007A73BA">
        <w:tc>
          <w:tcPr>
            <w:tcW w:w="1957" w:type="pct"/>
          </w:tcPr>
          <w:p w14:paraId="0F4D1463" w14:textId="77777777" w:rsidR="00DA1299" w:rsidRPr="00B41D57" w:rsidRDefault="00DA1299" w:rsidP="007A73BA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1B13E39F" w14:textId="4200B35C" w:rsidR="00DA1299" w:rsidRPr="00B41D57" w:rsidRDefault="00DA1299" w:rsidP="007A73BA">
            <w:pPr>
              <w:spacing w:before="60" w:after="60"/>
              <w:rPr>
                <w:szCs w:val="22"/>
              </w:rPr>
            </w:pPr>
            <w:r w:rsidRPr="00B41D57">
              <w:t>(&gt;1 zvíře / 10 ošetřených zvířat):</w:t>
            </w:r>
          </w:p>
        </w:tc>
        <w:tc>
          <w:tcPr>
            <w:tcW w:w="3043" w:type="pct"/>
            <w:hideMark/>
          </w:tcPr>
          <w:p w14:paraId="65101371" w14:textId="77777777" w:rsidR="00DA1299" w:rsidRPr="005C0277" w:rsidRDefault="00DA1299" w:rsidP="007A73B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color w:val="000000"/>
              </w:rPr>
              <w:t>D</w:t>
            </w:r>
            <w:r w:rsidRPr="00AE360A">
              <w:rPr>
                <w:color w:val="000000"/>
              </w:rPr>
              <w:t xml:space="preserve">eplece lymfocytů ve </w:t>
            </w:r>
            <w:proofErr w:type="spellStart"/>
            <w:r w:rsidRPr="00AE360A">
              <w:rPr>
                <w:color w:val="000000"/>
              </w:rPr>
              <w:t>Fabriciově</w:t>
            </w:r>
            <w:proofErr w:type="spellEnd"/>
            <w:r w:rsidRPr="00AE360A">
              <w:rPr>
                <w:color w:val="000000"/>
              </w:rPr>
              <w:t xml:space="preserve"> </w:t>
            </w:r>
            <w:proofErr w:type="spellStart"/>
            <w:r w:rsidRPr="00AE360A">
              <w:rPr>
                <w:color w:val="000000"/>
              </w:rPr>
              <w:t>burze</w:t>
            </w:r>
            <w:r>
              <w:rPr>
                <w:color w:val="000000"/>
                <w:vertAlign w:val="superscript"/>
              </w:rPr>
              <w:t>a</w:t>
            </w:r>
            <w:proofErr w:type="spellEnd"/>
          </w:p>
        </w:tc>
      </w:tr>
    </w:tbl>
    <w:p w14:paraId="467042D3" w14:textId="77777777" w:rsidR="00DA1299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vertAlign w:val="superscript"/>
        </w:rPr>
      </w:pPr>
    </w:p>
    <w:p w14:paraId="5BC0842C" w14:textId="77777777" w:rsidR="00DA1299" w:rsidRPr="004F258B" w:rsidRDefault="00DA1299" w:rsidP="00DA1299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S</w:t>
      </w:r>
      <w:r w:rsidRPr="00AE360A">
        <w:rPr>
          <w:color w:val="000000"/>
        </w:rPr>
        <w:t>labá až střední</w:t>
      </w:r>
      <w:r>
        <w:rPr>
          <w:color w:val="000000"/>
        </w:rPr>
        <w:t>; za 7 dnů po podání vakcíny</w:t>
      </w:r>
      <w:r w:rsidRPr="00AE360A">
        <w:rPr>
          <w:color w:val="000000"/>
        </w:rPr>
        <w:t xml:space="preserve"> (skóre </w:t>
      </w:r>
      <w:proofErr w:type="spellStart"/>
      <w:r w:rsidRPr="00AE360A">
        <w:rPr>
          <w:color w:val="000000"/>
        </w:rPr>
        <w:t>burzálních</w:t>
      </w:r>
      <w:proofErr w:type="spellEnd"/>
      <w:r w:rsidRPr="00AE360A">
        <w:rPr>
          <w:color w:val="000000"/>
        </w:rPr>
        <w:t xml:space="preserve"> lézí 2,4). Tato deplece klesá a je následována </w:t>
      </w:r>
      <w:proofErr w:type="spellStart"/>
      <w:r w:rsidRPr="00AE360A">
        <w:rPr>
          <w:color w:val="000000"/>
        </w:rPr>
        <w:t>repopulací</w:t>
      </w:r>
      <w:proofErr w:type="spellEnd"/>
      <w:r w:rsidRPr="00AE360A">
        <w:rPr>
          <w:color w:val="000000"/>
        </w:rPr>
        <w:t xml:space="preserve"> lymfocytů a úplnou regenerací burzy do 28. dne po vakcinaci (skóre </w:t>
      </w:r>
      <w:proofErr w:type="spellStart"/>
      <w:r w:rsidRPr="00AE360A">
        <w:rPr>
          <w:color w:val="000000"/>
        </w:rPr>
        <w:t>burzálních</w:t>
      </w:r>
      <w:proofErr w:type="spellEnd"/>
      <w:r w:rsidRPr="00AE360A">
        <w:rPr>
          <w:color w:val="000000"/>
        </w:rPr>
        <w:t xml:space="preserve"> lézí 0,2).</w:t>
      </w:r>
    </w:p>
    <w:p w14:paraId="039B7EEE" w14:textId="77777777" w:rsidR="00DA1299" w:rsidRPr="00B41D57" w:rsidRDefault="00DA1299" w:rsidP="00DA1299">
      <w:pPr>
        <w:tabs>
          <w:tab w:val="clear" w:pos="567"/>
        </w:tabs>
        <w:spacing w:line="240" w:lineRule="auto"/>
        <w:rPr>
          <w:szCs w:val="22"/>
        </w:rPr>
      </w:pPr>
    </w:p>
    <w:p w14:paraId="34D72877" w14:textId="6719E9DD" w:rsidR="00D53AB8" w:rsidRDefault="00177E46" w:rsidP="00CA60C8">
      <w:pPr>
        <w:tabs>
          <w:tab w:val="clear" w:pos="567"/>
        </w:tabs>
        <w:spacing w:line="240" w:lineRule="auto"/>
        <w:jc w:val="both"/>
      </w:pPr>
      <w:bookmarkStart w:id="1" w:name="_Hlk66891708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60BE1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060BE1">
        <w:t>mu</w:t>
      </w:r>
      <w:r w:rsidRPr="00B41D57">
        <w:t xml:space="preserve"> zástupc</w:t>
      </w:r>
      <w:r w:rsidR="00060BE1">
        <w:t>i</w:t>
      </w:r>
      <w:r w:rsidRPr="00B41D57">
        <w:t xml:space="preserve"> držitele rozhodnutí o registraci s využitím kontaktních údajů uvedených na konci této příbalové informac</w:t>
      </w:r>
      <w:r w:rsidR="00DF75EF">
        <w:t xml:space="preserve">e </w:t>
      </w:r>
      <w:r w:rsidRPr="00B41D57">
        <w:t>nebo prostřednictvím národního systému hlášení nežádoucích účinků</w:t>
      </w:r>
      <w:r>
        <w:t>:</w:t>
      </w:r>
      <w:r w:rsidRPr="00B41D57">
        <w:t xml:space="preserve"> </w:t>
      </w:r>
    </w:p>
    <w:p w14:paraId="2EC294F0" w14:textId="79D8965F" w:rsidR="00D53AB8" w:rsidRDefault="00D53AB8" w:rsidP="00CA60C8">
      <w:pPr>
        <w:tabs>
          <w:tab w:val="clear" w:pos="567"/>
        </w:tabs>
        <w:spacing w:line="240" w:lineRule="auto"/>
        <w:jc w:val="both"/>
      </w:pPr>
    </w:p>
    <w:p w14:paraId="15600061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>Ústav pro státní kontrolu veterinárních biopreparátů a léčiv</w:t>
      </w:r>
    </w:p>
    <w:p w14:paraId="1EFB4A34" w14:textId="682DAF68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 xml:space="preserve">Hudcova 232/56a </w:t>
      </w:r>
    </w:p>
    <w:p w14:paraId="295A72E0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>621 00 Brno</w:t>
      </w:r>
    </w:p>
    <w:p w14:paraId="0DF5C7E1" w14:textId="760E7B61" w:rsidR="00D53AB8" w:rsidRDefault="00D53AB8" w:rsidP="00D53AB8">
      <w:pPr>
        <w:jc w:val="both"/>
        <w:rPr>
          <w:rStyle w:val="Hypertextovodkaz"/>
          <w:rFonts w:eastAsia="Verdana"/>
          <w:szCs w:val="22"/>
          <w:lang w:eastAsia="cs-CZ"/>
        </w:rPr>
      </w:pPr>
      <w:r w:rsidRPr="006A565B">
        <w:rPr>
          <w:szCs w:val="22"/>
          <w:lang w:eastAsia="cs-CZ"/>
        </w:rPr>
        <w:t xml:space="preserve">E-mail: </w:t>
      </w:r>
      <w:hyperlink r:id="rId8" w:history="1">
        <w:r w:rsidRPr="006A565B">
          <w:rPr>
            <w:rStyle w:val="Hypertextovodkaz"/>
            <w:rFonts w:eastAsia="Verdana"/>
            <w:szCs w:val="22"/>
            <w:lang w:eastAsia="cs-CZ"/>
          </w:rPr>
          <w:t>adr@uskvbl.cz</w:t>
        </w:r>
      </w:hyperlink>
    </w:p>
    <w:p w14:paraId="151EE0C0" w14:textId="4D0734B8" w:rsidR="00EF7CF4" w:rsidRPr="00EF7CF4" w:rsidRDefault="00EF7CF4" w:rsidP="00EF7CF4">
      <w:pPr>
        <w:tabs>
          <w:tab w:val="left" w:pos="-720"/>
        </w:tabs>
        <w:suppressAutoHyphens/>
        <w:spacing w:line="240" w:lineRule="auto"/>
      </w:pPr>
      <w:r w:rsidRPr="00EF7CF4">
        <w:t>tel.: +420 720 940 693</w:t>
      </w:r>
    </w:p>
    <w:p w14:paraId="2901C7AD" w14:textId="77777777" w:rsidR="00D53AB8" w:rsidRPr="006A565B" w:rsidRDefault="00D53AB8" w:rsidP="00D53AB8">
      <w:pPr>
        <w:jc w:val="both"/>
        <w:rPr>
          <w:szCs w:val="22"/>
          <w:lang w:eastAsia="cs-CZ"/>
        </w:rPr>
      </w:pPr>
      <w:r w:rsidRPr="006A565B">
        <w:rPr>
          <w:szCs w:val="22"/>
          <w:lang w:eastAsia="cs-CZ"/>
        </w:rPr>
        <w:t xml:space="preserve">Webové stránky: </w:t>
      </w:r>
      <w:hyperlink r:id="rId9" w:history="1">
        <w:r w:rsidRPr="006A565B">
          <w:rPr>
            <w:rStyle w:val="Hypertextovodkaz"/>
            <w:szCs w:val="22"/>
            <w:lang w:eastAsia="cs-CZ"/>
          </w:rPr>
          <w:t>http://www.uskvbl.cz/cs/farmakovigilance</w:t>
        </w:r>
      </w:hyperlink>
    </w:p>
    <w:p w14:paraId="050DBCE4" w14:textId="77777777" w:rsidR="00D53AB8" w:rsidRDefault="00D53AB8" w:rsidP="00CA60C8">
      <w:pPr>
        <w:tabs>
          <w:tab w:val="clear" w:pos="567"/>
        </w:tabs>
        <w:spacing w:line="240" w:lineRule="auto"/>
        <w:jc w:val="both"/>
      </w:pPr>
    </w:p>
    <w:p w14:paraId="78CEB10D" w14:textId="77777777" w:rsidR="00177E46" w:rsidRDefault="00177E46" w:rsidP="00DA1299"/>
    <w:bookmarkEnd w:id="1"/>
    <w:p w14:paraId="4A95D7EA" w14:textId="77777777" w:rsidR="00DA1299" w:rsidRPr="00DA1299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8904A5" w14:textId="0D16BBDC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8.</w:t>
      </w:r>
      <w:r w:rsidRPr="00AE360A">
        <w:rPr>
          <w:b/>
          <w:szCs w:val="22"/>
        </w:rPr>
        <w:tab/>
        <w:t>D</w:t>
      </w:r>
      <w:r w:rsidR="00DA1299" w:rsidRPr="00AE360A">
        <w:rPr>
          <w:b/>
          <w:szCs w:val="22"/>
        </w:rPr>
        <w:t>ávkování pro každý druh, cesty a způsob podání</w:t>
      </w:r>
    </w:p>
    <w:p w14:paraId="30842993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3BBB27" w14:textId="5958860F" w:rsidR="006349B1" w:rsidRPr="00AE360A" w:rsidRDefault="001A4802" w:rsidP="006349B1">
      <w:pPr>
        <w:jc w:val="both"/>
        <w:rPr>
          <w:szCs w:val="22"/>
        </w:rPr>
      </w:pPr>
      <w:r>
        <w:lastRenderedPageBreak/>
        <w:t>J</w:t>
      </w:r>
      <w:r w:rsidR="00856733" w:rsidRPr="00AE360A">
        <w:t>edn</w:t>
      </w:r>
      <w:r>
        <w:t>a</w:t>
      </w:r>
      <w:r w:rsidR="00856733" w:rsidRPr="00AE360A">
        <w:t xml:space="preserve"> dávk</w:t>
      </w:r>
      <w:r>
        <w:t>a</w:t>
      </w:r>
      <w:r w:rsidR="00856733" w:rsidRPr="00AE360A">
        <w:t xml:space="preserve"> vakcíny v pitné vodě nebo okulonazální cestou </w:t>
      </w:r>
      <w:r>
        <w:t>musí být podána k</w:t>
      </w:r>
      <w:r w:rsidRPr="001A4802">
        <w:t>aždé</w:t>
      </w:r>
      <w:r>
        <w:t>mu</w:t>
      </w:r>
      <w:r w:rsidRPr="001A4802">
        <w:t xml:space="preserve"> kuře</w:t>
      </w:r>
      <w:r>
        <w:t>ti</w:t>
      </w:r>
      <w:r w:rsidRPr="001A4802">
        <w:t xml:space="preserve"> </w:t>
      </w:r>
      <w:r w:rsidR="00856733" w:rsidRPr="00AE360A">
        <w:t xml:space="preserve">od 8 dnů věku v závislosti na úrovni </w:t>
      </w:r>
      <w:r w:rsidR="00DA1299">
        <w:t>mateřských protilátek (</w:t>
      </w:r>
      <w:r w:rsidR="00856733" w:rsidRPr="00AE360A">
        <w:t>MDA</w:t>
      </w:r>
      <w:r w:rsidR="00DA1299">
        <w:t xml:space="preserve">) v </w:t>
      </w:r>
      <w:r w:rsidR="0095680A" w:rsidRPr="00AE360A">
        <w:t>hejn</w:t>
      </w:r>
      <w:r w:rsidR="00DA1299">
        <w:t>u</w:t>
      </w:r>
      <w:r w:rsidR="00856733" w:rsidRPr="00AE360A">
        <w:t xml:space="preserve">.  </w:t>
      </w:r>
    </w:p>
    <w:p w14:paraId="63879D55" w14:textId="77777777" w:rsidR="001E7780" w:rsidRPr="00AE360A" w:rsidRDefault="001E7780" w:rsidP="001E7780">
      <w:pPr>
        <w:jc w:val="both"/>
        <w:rPr>
          <w:szCs w:val="22"/>
        </w:rPr>
      </w:pPr>
    </w:p>
    <w:p w14:paraId="64ABC1BC" w14:textId="341BC245" w:rsidR="001E7780" w:rsidRPr="00AE360A" w:rsidRDefault="0095680A" w:rsidP="001E7780">
      <w:pPr>
        <w:jc w:val="both"/>
        <w:rPr>
          <w:szCs w:val="22"/>
        </w:rPr>
      </w:pPr>
      <w:r w:rsidRPr="00AE360A">
        <w:t xml:space="preserve">Optimální </w:t>
      </w:r>
      <w:r w:rsidR="00856733" w:rsidRPr="00AE360A">
        <w:t>datum vakcinace je ovlivněno řadou faktorů, jako j</w:t>
      </w:r>
      <w:r w:rsidR="00D17822" w:rsidRPr="00AE360A">
        <w:t>sou</w:t>
      </w:r>
      <w:r w:rsidR="00856733" w:rsidRPr="00AE360A">
        <w:t xml:space="preserve"> stav </w:t>
      </w:r>
      <w:r w:rsidR="00D548BD">
        <w:t>MDA</w:t>
      </w:r>
      <w:r w:rsidR="00D17822" w:rsidRPr="00AE360A">
        <w:t>, typ</w:t>
      </w:r>
      <w:r w:rsidR="00856733" w:rsidRPr="00AE360A">
        <w:t xml:space="preserve"> ptáka, infekční</w:t>
      </w:r>
      <w:r w:rsidR="00D17822" w:rsidRPr="00AE360A">
        <w:t xml:space="preserve"> tlak</w:t>
      </w:r>
      <w:r w:rsidR="00856733" w:rsidRPr="00AE360A">
        <w:t xml:space="preserve">, </w:t>
      </w:r>
      <w:r w:rsidR="00D17822" w:rsidRPr="00AE360A">
        <w:t>ustájení</w:t>
      </w:r>
      <w:r w:rsidR="00856733" w:rsidRPr="00AE360A">
        <w:t xml:space="preserve"> a podmín</w:t>
      </w:r>
      <w:r w:rsidR="00D17822" w:rsidRPr="00AE360A">
        <w:t>ky chovu</w:t>
      </w:r>
      <w:r w:rsidR="00856733" w:rsidRPr="00AE360A">
        <w:t>.</w:t>
      </w:r>
    </w:p>
    <w:p w14:paraId="2C342CCE" w14:textId="1A4B8DCB" w:rsidR="005A2316" w:rsidRPr="00AE360A" w:rsidRDefault="00856733" w:rsidP="005A2316">
      <w:pPr>
        <w:jc w:val="both"/>
      </w:pPr>
      <w:r w:rsidRPr="00AE360A">
        <w:t xml:space="preserve">MDA mohou </w:t>
      </w:r>
      <w:r w:rsidR="001A4802">
        <w:t>interferovat s</w:t>
      </w:r>
      <w:r w:rsidRPr="00AE360A">
        <w:t xml:space="preserve"> imunit</w:t>
      </w:r>
      <w:r w:rsidR="001A4802">
        <w:t>ou</w:t>
      </w:r>
      <w:r w:rsidRPr="00AE360A">
        <w:t xml:space="preserve"> vyvolanou živými vakcínami</w:t>
      </w:r>
      <w:r w:rsidR="00D548BD">
        <w:t xml:space="preserve"> proti</w:t>
      </w:r>
      <w:r w:rsidRPr="00AE360A">
        <w:t xml:space="preserve"> </w:t>
      </w:r>
      <w:r w:rsidR="00DA1299">
        <w:t>infekční bur</w:t>
      </w:r>
      <w:r w:rsidR="00D548BD">
        <w:t>z</w:t>
      </w:r>
      <w:r w:rsidR="00DA1299">
        <w:t>itid</w:t>
      </w:r>
      <w:r w:rsidR="00D548BD">
        <w:t>ě</w:t>
      </w:r>
      <w:r w:rsidR="00DA1299">
        <w:t xml:space="preserve"> (</w:t>
      </w:r>
      <w:r w:rsidRPr="00AE360A">
        <w:t>IBD</w:t>
      </w:r>
      <w:r w:rsidR="00DA1299">
        <w:t>)</w:t>
      </w:r>
      <w:r w:rsidRPr="00AE360A">
        <w:t>, proto optimální věk pro vakcinaci závisí jak na úrovni zbytkových MDA proti viru IBD v hejnu, tak na schopnosti kmene vakcíny viru IBD vyvolat požadovanou úroveň imunity za přítomnosti MDA. Pro předpověď věku, kdy titr MDA dostatečně poklesl, aby umožnil efektivní vakcinaci (průlomový titr)</w:t>
      </w:r>
      <w:r w:rsidR="00EB0366">
        <w:t>,</w:t>
      </w:r>
      <w:r w:rsidRPr="00AE360A">
        <w:t xml:space="preserve"> se doporučuje testování vzorků séra nejméně 18 kuřat pomocí sérologie a použitím </w:t>
      </w:r>
      <w:proofErr w:type="spellStart"/>
      <w:r w:rsidRPr="00AE360A">
        <w:t>Deventerova</w:t>
      </w:r>
      <w:proofErr w:type="spellEnd"/>
      <w:r w:rsidRPr="00AE360A">
        <w:t xml:space="preserve"> vzorce. Měl by se použít průlomový titr 125.</w:t>
      </w:r>
      <w:r w:rsidRPr="00AE360A">
        <w:rPr>
          <w:rFonts w:ascii="Arial" w:hAnsi="Arial"/>
          <w:szCs w:val="22"/>
        </w:rPr>
        <w:t xml:space="preserve"> </w:t>
      </w:r>
    </w:p>
    <w:p w14:paraId="68A796B4" w14:textId="77777777" w:rsidR="005A2316" w:rsidRPr="00AE360A" w:rsidRDefault="005A2316" w:rsidP="00B93FF2"/>
    <w:p w14:paraId="004D5641" w14:textId="77777777" w:rsidR="00B93FF2" w:rsidRPr="00AE360A" w:rsidRDefault="00856733" w:rsidP="00B93FF2">
      <w:proofErr w:type="spellStart"/>
      <w:r w:rsidRPr="00AE360A">
        <w:t>Deventerův</w:t>
      </w:r>
      <w:proofErr w:type="spellEnd"/>
      <w:r w:rsidRPr="00AE360A">
        <w:t xml:space="preserve"> vzorec je následující:</w:t>
      </w:r>
    </w:p>
    <w:p w14:paraId="31F2AD71" w14:textId="77777777" w:rsidR="00B93FF2" w:rsidRPr="00AE360A" w:rsidRDefault="00856733" w:rsidP="00B93FF2">
      <w:r w:rsidRPr="00AE360A">
        <w:t xml:space="preserve">Vakcinační věk = </w:t>
      </w:r>
      <w:proofErr w:type="gramStart"/>
      <w:r w:rsidRPr="00AE360A">
        <w:t>{ (</w:t>
      </w:r>
      <w:proofErr w:type="gramEnd"/>
      <w:r w:rsidRPr="00AE360A">
        <w:t xml:space="preserve">log2 titru </w:t>
      </w:r>
      <w:r w:rsidR="00D17822" w:rsidRPr="00AE360A">
        <w:t>u % ptáků - log2 průlomu) x t _</w:t>
      </w:r>
      <w:r w:rsidRPr="00AE360A">
        <w:t xml:space="preserve">} + věk při odběru vzorku + korekce 0-4 </w:t>
      </w:r>
    </w:p>
    <w:p w14:paraId="45F499E0" w14:textId="77777777" w:rsidR="00B93FF2" w:rsidRPr="00AE360A" w:rsidRDefault="00B93FF2" w:rsidP="00B93FF2"/>
    <w:p w14:paraId="53BFF5B9" w14:textId="77777777" w:rsidR="00B93FF2" w:rsidRPr="00AE360A" w:rsidRDefault="00856733" w:rsidP="00B93FF2">
      <w:r w:rsidRPr="00AE360A">
        <w:t>Ve kterém:</w:t>
      </w:r>
    </w:p>
    <w:p w14:paraId="0642A1C3" w14:textId="77777777" w:rsidR="00B93FF2" w:rsidRPr="00AE360A" w:rsidRDefault="00856733" w:rsidP="00776DA2">
      <w:pPr>
        <w:numPr>
          <w:ilvl w:val="0"/>
          <w:numId w:val="9"/>
        </w:numPr>
      </w:pPr>
      <w:r w:rsidRPr="00AE360A">
        <w:t xml:space="preserve">% ptáků = titr ELISA ptáka představující určitý procentuální podíl hejna </w:t>
      </w:r>
    </w:p>
    <w:p w14:paraId="45446A5D" w14:textId="5F8B74FE" w:rsidR="00B93FF2" w:rsidRPr="00AE360A" w:rsidRDefault="00DA1299" w:rsidP="00776DA2">
      <w:pPr>
        <w:numPr>
          <w:ilvl w:val="0"/>
          <w:numId w:val="9"/>
        </w:numPr>
      </w:pPr>
      <w:r>
        <w:t>p</w:t>
      </w:r>
      <w:r w:rsidR="00856733" w:rsidRPr="00AE360A">
        <w:t xml:space="preserve">růlom = průlomový titr (ELISA) vakcíny, který bude použit </w:t>
      </w:r>
    </w:p>
    <w:p w14:paraId="6CB15849" w14:textId="77777777" w:rsidR="00B93FF2" w:rsidRPr="00AE360A" w:rsidRDefault="00856733" w:rsidP="00776DA2">
      <w:pPr>
        <w:numPr>
          <w:ilvl w:val="0"/>
          <w:numId w:val="9"/>
        </w:numPr>
      </w:pPr>
      <w:r w:rsidRPr="00AE360A">
        <w:t xml:space="preserve">t _ = poločas (ELISA) protilátek typu kuřat, z nichž se </w:t>
      </w:r>
      <w:r w:rsidR="00D17822" w:rsidRPr="00AE360A">
        <w:t>odebírá</w:t>
      </w:r>
      <w:r w:rsidRPr="00AE360A">
        <w:t xml:space="preserve"> vzorek </w:t>
      </w:r>
    </w:p>
    <w:p w14:paraId="6A94D4F0" w14:textId="041422B9" w:rsidR="00B93FF2" w:rsidRPr="00AE360A" w:rsidRDefault="00DA1299" w:rsidP="00776DA2">
      <w:pPr>
        <w:numPr>
          <w:ilvl w:val="0"/>
          <w:numId w:val="9"/>
        </w:numPr>
      </w:pPr>
      <w:r>
        <w:t>v</w:t>
      </w:r>
      <w:r w:rsidR="00856733" w:rsidRPr="00AE360A">
        <w:t xml:space="preserve">ěk při vzorkování = věk ptáků při vzorkování </w:t>
      </w:r>
    </w:p>
    <w:p w14:paraId="6AB9F518" w14:textId="1384BCA5" w:rsidR="00B93FF2" w:rsidRPr="00AE360A" w:rsidRDefault="00DA1299" w:rsidP="00776DA2">
      <w:pPr>
        <w:numPr>
          <w:ilvl w:val="0"/>
          <w:numId w:val="9"/>
        </w:numPr>
      </w:pPr>
      <w:r>
        <w:t>k</w:t>
      </w:r>
      <w:r w:rsidR="00856733" w:rsidRPr="00AE360A">
        <w:t>orekce 0-4 = dny navíc, kdy se odběr vzorků prováděl ve věku 0 až 4 dny.</w:t>
      </w:r>
    </w:p>
    <w:p w14:paraId="7AFC87DC" w14:textId="77777777" w:rsidR="001E7780" w:rsidRPr="00AE360A" w:rsidRDefault="001E7780" w:rsidP="001E7780">
      <w:pPr>
        <w:jc w:val="both"/>
        <w:rPr>
          <w:szCs w:val="22"/>
        </w:rPr>
      </w:pPr>
    </w:p>
    <w:p w14:paraId="44F50393" w14:textId="77777777" w:rsidR="001E7780" w:rsidRPr="00AE360A" w:rsidRDefault="00856733" w:rsidP="001E7780">
      <w:pPr>
        <w:jc w:val="both"/>
        <w:rPr>
          <w:color w:val="000000"/>
          <w:kern w:val="14"/>
          <w:szCs w:val="22"/>
        </w:rPr>
      </w:pPr>
      <w:r w:rsidRPr="00AE360A">
        <w:rPr>
          <w:color w:val="000000"/>
          <w:szCs w:val="22"/>
        </w:rPr>
        <w:t xml:space="preserve">Vysoká homogenita hladin MDA v hejnu je důležitá pro definici správného načasování vakcinace a zaručuje lepší aktivní imunitní odpověď na vakcínu. V případě nehomogenního hejna, kde se hladiny protilátek </w:t>
      </w:r>
      <w:r w:rsidR="001A4802">
        <w:rPr>
          <w:color w:val="000000"/>
          <w:szCs w:val="22"/>
        </w:rPr>
        <w:t>velmi liší</w:t>
      </w:r>
      <w:r w:rsidRPr="00AE360A">
        <w:rPr>
          <w:color w:val="000000"/>
          <w:szCs w:val="22"/>
        </w:rPr>
        <w:t xml:space="preserve"> u jednotlivých ptáků (tj. CV větší než 30 %), nebo když plemeno pochází z různých zdrojů, se doporučuje vakcinaci opakovat. </w:t>
      </w:r>
      <w:r w:rsidR="0095680A" w:rsidRPr="00AE360A">
        <w:rPr>
          <w:color w:val="000000"/>
          <w:szCs w:val="22"/>
        </w:rPr>
        <w:t xml:space="preserve">V takových případech je nutné současně stanovit načasování první a druhé vakcinace pomocí dvou různých procentuálních hodnot všech vzorků séra odebraných v den odběru vzorků (odpovídá procentuálním hodnotám hejna, které může být efektivně vakcinováno) pomocí </w:t>
      </w:r>
      <w:proofErr w:type="spellStart"/>
      <w:r w:rsidR="0095680A" w:rsidRPr="00AE360A">
        <w:rPr>
          <w:color w:val="000000"/>
          <w:szCs w:val="22"/>
        </w:rPr>
        <w:t>Deventerova</w:t>
      </w:r>
      <w:proofErr w:type="spellEnd"/>
      <w:r w:rsidR="0095680A" w:rsidRPr="00AE360A">
        <w:rPr>
          <w:color w:val="000000"/>
          <w:szCs w:val="22"/>
        </w:rPr>
        <w:t xml:space="preserve"> vzorce.</w:t>
      </w:r>
    </w:p>
    <w:p w14:paraId="0696F39A" w14:textId="77777777" w:rsidR="003D0C59" w:rsidRPr="00AE360A" w:rsidRDefault="003D0C59" w:rsidP="001E7780">
      <w:pPr>
        <w:jc w:val="both"/>
        <w:rPr>
          <w:rFonts w:ascii="Arial" w:hAnsi="Arial" w:cs="Arial"/>
          <w:strike/>
          <w:sz w:val="24"/>
          <w:szCs w:val="24"/>
        </w:rPr>
      </w:pPr>
    </w:p>
    <w:p w14:paraId="32F0122B" w14:textId="77777777" w:rsidR="00430061" w:rsidRPr="00AE360A" w:rsidRDefault="00430061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F5D4E6" w14:textId="112A326E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9.</w:t>
      </w:r>
      <w:r w:rsidRPr="00AE360A">
        <w:rPr>
          <w:b/>
          <w:szCs w:val="22"/>
        </w:rPr>
        <w:tab/>
      </w:r>
      <w:r w:rsidR="00DA1299">
        <w:rPr>
          <w:b/>
          <w:szCs w:val="22"/>
        </w:rPr>
        <w:t>Informace o správném podávání</w:t>
      </w:r>
    </w:p>
    <w:p w14:paraId="77F55282" w14:textId="77777777" w:rsidR="006366B2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6B2A62" w14:textId="77777777" w:rsidR="00DA1299" w:rsidRPr="00AE360A" w:rsidRDefault="00DA1299" w:rsidP="00DA1299">
      <w:pPr>
        <w:jc w:val="both"/>
        <w:rPr>
          <w:szCs w:val="22"/>
        </w:rPr>
      </w:pPr>
      <w:r w:rsidRPr="004F258B">
        <w:rPr>
          <w:szCs w:val="22"/>
        </w:rPr>
        <w:t>Lyofilizát rekonstituovaný ve 100 ml vody vypadá jako neprůhledná suspenze s nízkou srážlivostí.</w:t>
      </w:r>
    </w:p>
    <w:p w14:paraId="3F45AD78" w14:textId="77777777" w:rsidR="00DA1299" w:rsidRPr="00AE360A" w:rsidRDefault="00DA1299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1CB373" w14:textId="77777777" w:rsidR="00DA1299" w:rsidRPr="00776DA2" w:rsidRDefault="00DA1299" w:rsidP="00DA1299">
      <w:pPr>
        <w:jc w:val="both"/>
        <w:rPr>
          <w:iCs/>
          <w:szCs w:val="22"/>
          <w:u w:val="single"/>
        </w:rPr>
      </w:pPr>
      <w:r w:rsidRPr="00776DA2">
        <w:rPr>
          <w:iCs/>
          <w:szCs w:val="22"/>
          <w:u w:val="single"/>
        </w:rPr>
        <w:t>1. Podání v pitné vodě</w:t>
      </w:r>
    </w:p>
    <w:p w14:paraId="3B1D4155" w14:textId="3C7FE409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4"/>
        </w:rPr>
      </w:pPr>
      <w:r w:rsidRPr="00AE360A">
        <w:t>Vakcínu rekonstituujte malém množství chladné a čisté vody bez stop chloru, jiných dezinfekčních činidel nebo nečistot</w:t>
      </w:r>
      <w:r>
        <w:t>,</w:t>
      </w:r>
      <w:r w:rsidRPr="00AE360A">
        <w:t xml:space="preserve"> v počtu dávek odpovídajících počtu ptáků, kteří se mají vakcinovat. </w:t>
      </w:r>
      <w:r w:rsidR="00D548BD" w:rsidRPr="00022FD0">
        <w:t xml:space="preserve">Pokud </w:t>
      </w:r>
      <w:r w:rsidR="00D548BD">
        <w:t xml:space="preserve">je </w:t>
      </w:r>
      <w:r w:rsidR="00D548BD" w:rsidRPr="00022FD0">
        <w:t xml:space="preserve">počet ptáků </w:t>
      </w:r>
      <w:r w:rsidR="00D548BD">
        <w:t xml:space="preserve">v intervalu mezi </w:t>
      </w:r>
      <w:r w:rsidR="00D548BD" w:rsidRPr="00022FD0">
        <w:t>standardní</w:t>
      </w:r>
      <w:r w:rsidR="00D548BD">
        <w:t>mi</w:t>
      </w:r>
      <w:r w:rsidR="00D548BD" w:rsidRPr="00022FD0">
        <w:t xml:space="preserve"> dá</w:t>
      </w:r>
      <w:r w:rsidR="00D548BD">
        <w:t xml:space="preserve">vkami, </w:t>
      </w:r>
      <w:r w:rsidR="00D548BD" w:rsidRPr="00022FD0">
        <w:t xml:space="preserve">je zapotřebí použít </w:t>
      </w:r>
      <w:r w:rsidR="00D548BD">
        <w:t>následující</w:t>
      </w:r>
      <w:r w:rsidR="00D548BD" w:rsidRPr="00022FD0">
        <w:t xml:space="preserve"> vyšší dávku.</w:t>
      </w:r>
    </w:p>
    <w:p w14:paraId="6C602BC6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Vakcínu je nutné rekonstituovat bezprostředně před použitím.</w:t>
      </w:r>
    </w:p>
    <w:p w14:paraId="407C3939" w14:textId="115C0730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 xml:space="preserve">Odměřte správný objem vody podle počtu ptáků, kteří se mají vakcinovat. Objem vody pro </w:t>
      </w:r>
      <w:r w:rsidR="00D548BD">
        <w:t xml:space="preserve">rekonstituci </w:t>
      </w:r>
      <w:r w:rsidRPr="00AE360A">
        <w:t xml:space="preserve">závisí na věku ptáků, plemeni, zootechnické praxi a klimatických podmínkách. </w:t>
      </w:r>
    </w:p>
    <w:p w14:paraId="78AC27EE" w14:textId="128C6EB8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 xml:space="preserve">Rekonstituovanou vakcínu je nutné </w:t>
      </w:r>
      <w:r w:rsidR="00D548BD">
        <w:t>naředit</w:t>
      </w:r>
      <w:r w:rsidRPr="00AE360A">
        <w:t xml:space="preserve"> v takovém množství vody, které bude spotřebováno během 1,5 až 2,0 hodin (s přihlédnutí</w:t>
      </w:r>
      <w:r w:rsidR="00D548BD">
        <w:t>m</w:t>
      </w:r>
      <w:r w:rsidRPr="00AE360A">
        <w:t xml:space="preserve"> k různým typům napájecích systémů pro drůbež).</w:t>
      </w:r>
    </w:p>
    <w:p w14:paraId="7F84C8B2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Pro stanovení množství vody, v němž se vakcína bude ředit, změřte objem spotřebované vody za období dvou hodin v den před vakcinací.</w:t>
      </w:r>
    </w:p>
    <w:p w14:paraId="241462F4" w14:textId="77777777" w:rsidR="00DA1299" w:rsidRPr="00AE360A" w:rsidRDefault="00273BCD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>
        <w:t>Jako vodítko</w:t>
      </w:r>
      <w:r w:rsidR="00DA1299" w:rsidRPr="00AE360A">
        <w:t>, v případě mladších kuřat (do 3. týdne života) použijte vakcínu rekonstituovanou ve studené pitné vodě v dávce 1000 dávek vakcíny na 1 litr vody a den stáří pro 1000 kuřat, např. 8 litrů by bylo zapotřebí pro 1000 kuřat starých 8 dnů</w:t>
      </w:r>
    </w:p>
    <w:p w14:paraId="3D250215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Před imunizací (chování ptáků při pití se mění v závislosti na teplotě vzduchu, typu ptáků, plemeni, zootechnické praxi a klimatických podmínkách) zastavte přívod pitné vody až na 2 hodiny, aby ptáci měli žízeň.</w:t>
      </w:r>
    </w:p>
    <w:p w14:paraId="4FCDB87E" w14:textId="77777777" w:rsidR="00DA1299" w:rsidRPr="00AE360A" w:rsidRDefault="00DA1299" w:rsidP="00776DA2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4"/>
        </w:rPr>
      </w:pPr>
      <w:r w:rsidRPr="00AE360A">
        <w:t>Je nutné, aby byl napájecí systém čistý, bez stop chlóru, jiných dezinfekčních činidel nebo nečistot.</w:t>
      </w:r>
    </w:p>
    <w:p w14:paraId="222BA3F3" w14:textId="77777777" w:rsidR="00DA1299" w:rsidRPr="00AE360A" w:rsidRDefault="00DA1299" w:rsidP="00776DA2">
      <w:pPr>
        <w:widowControl w:val="0"/>
        <w:numPr>
          <w:ilvl w:val="0"/>
          <w:numId w:val="5"/>
        </w:numPr>
        <w:tabs>
          <w:tab w:val="clear" w:pos="567"/>
        </w:tabs>
        <w:snapToGrid w:val="0"/>
        <w:spacing w:line="240" w:lineRule="auto"/>
        <w:ind w:left="426"/>
        <w:jc w:val="both"/>
        <w:rPr>
          <w:szCs w:val="24"/>
        </w:rPr>
      </w:pPr>
      <w:r w:rsidRPr="00AE360A">
        <w:t>Bude-li to nutné, vypněte osvětlení, když bude voda uzavřená. Jakmile bude vakcína v napájecím systému, zvyšte intenzitu osvětlení. Zvýšená intenzita osvětlení bude ptáky stimulovat k tomu, aby hledali potravu a vodu.</w:t>
      </w:r>
    </w:p>
    <w:p w14:paraId="7F3D6383" w14:textId="77777777" w:rsidR="00DA1299" w:rsidRPr="00AE360A" w:rsidRDefault="00DA1299" w:rsidP="00776DA2">
      <w:pPr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rPr>
          <w:snapToGrid w:val="0"/>
          <w:szCs w:val="22"/>
        </w:rPr>
        <w:lastRenderedPageBreak/>
        <w:t>Při vakcinaci vždy zajistěte dostatek potravy. Ptáci nebudou pít, pokud nebudou mít krmivo, které by přijímali.</w:t>
      </w:r>
      <w:r w:rsidRPr="00AE360A">
        <w:t xml:space="preserve"> </w:t>
      </w:r>
    </w:p>
    <w:p w14:paraId="711F884E" w14:textId="77777777" w:rsidR="00DA1299" w:rsidRPr="00AE360A" w:rsidRDefault="00DA1299" w:rsidP="00776DA2">
      <w:pPr>
        <w:tabs>
          <w:tab w:val="clear" w:pos="567"/>
        </w:tabs>
        <w:spacing w:line="240" w:lineRule="auto"/>
        <w:ind w:left="426"/>
        <w:jc w:val="both"/>
        <w:rPr>
          <w:szCs w:val="22"/>
        </w:rPr>
      </w:pPr>
    </w:p>
    <w:p w14:paraId="61BD11F1" w14:textId="308037C0" w:rsidR="00DA1299" w:rsidRPr="00776DA2" w:rsidRDefault="00DA1299" w:rsidP="00DA1299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776DA2">
        <w:rPr>
          <w:iCs/>
          <w:szCs w:val="22"/>
          <w:u w:val="single"/>
        </w:rPr>
        <w:t xml:space="preserve">2. Okulonazální </w:t>
      </w:r>
      <w:r w:rsidR="00D548BD">
        <w:rPr>
          <w:iCs/>
          <w:szCs w:val="22"/>
          <w:u w:val="single"/>
        </w:rPr>
        <w:t>podání</w:t>
      </w:r>
    </w:p>
    <w:p w14:paraId="2D664343" w14:textId="77777777" w:rsidR="00DA1299" w:rsidRPr="00AE360A" w:rsidRDefault="00DA1299" w:rsidP="00776DA2">
      <w:pPr>
        <w:numPr>
          <w:ilvl w:val="0"/>
          <w:numId w:val="8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rPr>
          <w:snapToGrid w:val="0"/>
          <w:szCs w:val="22"/>
        </w:rPr>
        <w:t xml:space="preserve">Rekonstituujte </w:t>
      </w:r>
      <w:r w:rsidRPr="00AE360A">
        <w:t>1000 dávek vakcíny ve 100 ml destilované vody</w:t>
      </w:r>
      <w:r>
        <w:t>.</w:t>
      </w:r>
    </w:p>
    <w:p w14:paraId="472F2CB8" w14:textId="77777777" w:rsidR="00DA1299" w:rsidRPr="00AE360A" w:rsidRDefault="00DA1299" w:rsidP="00776DA2">
      <w:pPr>
        <w:numPr>
          <w:ilvl w:val="0"/>
          <w:numId w:val="8"/>
        </w:numPr>
        <w:tabs>
          <w:tab w:val="clear" w:pos="567"/>
        </w:tabs>
        <w:spacing w:line="240" w:lineRule="auto"/>
        <w:ind w:left="426"/>
        <w:jc w:val="both"/>
        <w:rPr>
          <w:szCs w:val="22"/>
        </w:rPr>
      </w:pPr>
      <w:r w:rsidRPr="00AE360A">
        <w:t>Dávka rekonstituované vakcíny je 0,1 ml, tj. dvě kapky bez ohledu na stáří, hmotnost a typ drůbeže. Jednu kapku vkápněte do oka a jednu kapku do nosu.</w:t>
      </w:r>
    </w:p>
    <w:p w14:paraId="02D72519" w14:textId="77777777" w:rsidR="00F52BF4" w:rsidRPr="00AE360A" w:rsidRDefault="00856733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 </w:t>
      </w:r>
    </w:p>
    <w:p w14:paraId="12B6DC5E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30C30B" w14:textId="20373A36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10.</w:t>
      </w:r>
      <w:r w:rsidRPr="00DC5499">
        <w:rPr>
          <w:b/>
          <w:szCs w:val="22"/>
        </w:rPr>
        <w:tab/>
      </w:r>
      <w:r w:rsidR="00273BCD" w:rsidRPr="00DC5499">
        <w:rPr>
          <w:b/>
          <w:szCs w:val="22"/>
        </w:rPr>
        <w:t>Ochranné lhůty</w:t>
      </w:r>
    </w:p>
    <w:p w14:paraId="45B72CA7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F38CA3A" w14:textId="77777777" w:rsidR="006366B2" w:rsidRDefault="00B0681D" w:rsidP="00CA60C8">
      <w:pPr>
        <w:tabs>
          <w:tab w:val="clear" w:pos="567"/>
        </w:tabs>
        <w:spacing w:line="240" w:lineRule="auto"/>
        <w:jc w:val="both"/>
      </w:pPr>
      <w:r w:rsidRPr="00AE360A">
        <w:t>Bez ochranných lhůt.</w:t>
      </w:r>
    </w:p>
    <w:p w14:paraId="3DF540F1" w14:textId="77777777" w:rsidR="00177E46" w:rsidRPr="00AE360A" w:rsidRDefault="00177E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B2D874" w14:textId="77777777" w:rsidR="006366B2" w:rsidRPr="00AE360A" w:rsidRDefault="006366B2" w:rsidP="00CA60C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826BB9F" w14:textId="77777777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EF7CF4">
        <w:rPr>
          <w:b/>
          <w:szCs w:val="22"/>
          <w:highlight w:val="lightGray"/>
        </w:rPr>
        <w:t>11.</w:t>
      </w:r>
      <w:r w:rsidRPr="00DC5499">
        <w:rPr>
          <w:b/>
          <w:szCs w:val="22"/>
        </w:rPr>
        <w:tab/>
        <w:t>Z</w:t>
      </w:r>
      <w:r w:rsidR="00273BCD" w:rsidRPr="00DC5499">
        <w:rPr>
          <w:b/>
          <w:szCs w:val="22"/>
        </w:rPr>
        <w:t>vláštní opatření pro uchovávání</w:t>
      </w:r>
    </w:p>
    <w:p w14:paraId="10F8A8AB" w14:textId="77777777" w:rsidR="006366B2" w:rsidRPr="00AE360A" w:rsidRDefault="006366B2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E6B5CCC" w14:textId="52A28A07" w:rsidR="006366B2" w:rsidRPr="00AE360A" w:rsidRDefault="00423EA7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>Uchovávejte mimo</w:t>
      </w:r>
      <w:r w:rsidR="00856733" w:rsidRPr="00AE360A">
        <w:t xml:space="preserve"> </w:t>
      </w:r>
      <w:r w:rsidR="00D548BD">
        <w:t>dohled a dosah dětí.</w:t>
      </w:r>
    </w:p>
    <w:p w14:paraId="67D3CC2F" w14:textId="77777777" w:rsidR="006366B2" w:rsidRPr="00AE360A" w:rsidRDefault="006366B2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34D0B41" w14:textId="2C4317F1" w:rsidR="006366B2" w:rsidRPr="00AE360A" w:rsidRDefault="00856733" w:rsidP="00CA60C8">
      <w:pPr>
        <w:jc w:val="both"/>
        <w:rPr>
          <w:szCs w:val="22"/>
        </w:rPr>
      </w:pPr>
      <w:r w:rsidRPr="00AE360A">
        <w:t>Uchovávejte v chladničce (2 °C</w:t>
      </w:r>
      <w:r w:rsidR="00C76D59">
        <w:t xml:space="preserve"> </w:t>
      </w:r>
      <w:r w:rsidRPr="00AE360A">
        <w:t>– 8 °C).</w:t>
      </w:r>
    </w:p>
    <w:p w14:paraId="39821B83" w14:textId="77777777" w:rsidR="006366B2" w:rsidRDefault="00856733" w:rsidP="00177E46">
      <w:pPr>
        <w:tabs>
          <w:tab w:val="clear" w:pos="567"/>
        </w:tabs>
        <w:spacing w:line="240" w:lineRule="auto"/>
        <w:jc w:val="both"/>
      </w:pPr>
      <w:r w:rsidRPr="00AE360A">
        <w:t>Chraňte před mrazem.</w:t>
      </w:r>
    </w:p>
    <w:p w14:paraId="6B3160F3" w14:textId="77777777" w:rsidR="00177E46" w:rsidRPr="00AE360A" w:rsidRDefault="00177E46" w:rsidP="00776D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664C3A" w14:textId="4B7765AF" w:rsidR="006366B2" w:rsidRPr="00AE360A" w:rsidRDefault="00856733" w:rsidP="00CA60C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Nepoužívejte tento veterinární léčivý přípravek po uplynutí doby použitelnosti uvedené na etiketě </w:t>
      </w:r>
      <w:r w:rsidR="00273BCD">
        <w:t>po Exp</w:t>
      </w:r>
      <w:r w:rsidRPr="00AE360A">
        <w:t xml:space="preserve">. </w:t>
      </w:r>
      <w:r w:rsidR="00177E46" w:rsidRPr="00177E46">
        <w:t>Doba použitelnosti končí posledním dnem v uvedeném měsíci.</w:t>
      </w:r>
    </w:p>
    <w:p w14:paraId="22872C88" w14:textId="3E84BC06" w:rsidR="006366B2" w:rsidRDefault="00856733" w:rsidP="00CA60C8">
      <w:pPr>
        <w:tabs>
          <w:tab w:val="clear" w:pos="567"/>
        </w:tabs>
        <w:spacing w:line="240" w:lineRule="auto"/>
        <w:jc w:val="both"/>
      </w:pPr>
      <w:r w:rsidRPr="00AE360A">
        <w:t xml:space="preserve">Doba použitelnosti po </w:t>
      </w:r>
      <w:r w:rsidR="00D548BD">
        <w:t xml:space="preserve">rekonstituci </w:t>
      </w:r>
      <w:r w:rsidRPr="00AE360A">
        <w:t>podle pokynů: 3 hodiny.</w:t>
      </w:r>
    </w:p>
    <w:p w14:paraId="3F66E484" w14:textId="77777777" w:rsidR="00177E46" w:rsidRPr="00AE360A" w:rsidRDefault="00177E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C4209E" w14:textId="77777777" w:rsidR="0091196E" w:rsidRPr="00AE360A" w:rsidRDefault="0091196E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24249E" w14:textId="4F5CB258" w:rsidR="006366B2" w:rsidRPr="00AE360A" w:rsidRDefault="00856733" w:rsidP="00CA60C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12.</w:t>
      </w:r>
      <w:r w:rsidRPr="00AE360A">
        <w:rPr>
          <w:b/>
          <w:szCs w:val="22"/>
        </w:rPr>
        <w:tab/>
      </w:r>
      <w:r w:rsidR="00273BCD">
        <w:rPr>
          <w:b/>
          <w:szCs w:val="22"/>
        </w:rPr>
        <w:t>Zvláštní opatření pro likvidaci</w:t>
      </w:r>
    </w:p>
    <w:p w14:paraId="0E9D855D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11EA98" w14:textId="61A115E8" w:rsidR="00273BCD" w:rsidRPr="00B41D57" w:rsidRDefault="00273BCD" w:rsidP="00273BC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661B0B1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C47095" w14:textId="77777777" w:rsidR="00273BCD" w:rsidRPr="00B41D57" w:rsidRDefault="00273BCD" w:rsidP="00273BC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  <w:r>
        <w:t xml:space="preserve"> </w:t>
      </w:r>
      <w:r w:rsidRPr="00B41D57">
        <w:t>Tato opatření napomáhají chránit životní prostředí.</w:t>
      </w:r>
    </w:p>
    <w:p w14:paraId="271FEEC1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0F1727CD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065E941B" w14:textId="77777777" w:rsidR="00273BCD" w:rsidRPr="00B41D57" w:rsidRDefault="00273BCD" w:rsidP="00273BCD">
      <w:pPr>
        <w:tabs>
          <w:tab w:val="clear" w:pos="567"/>
        </w:tabs>
        <w:spacing w:line="240" w:lineRule="auto"/>
        <w:rPr>
          <w:szCs w:val="22"/>
        </w:rPr>
      </w:pPr>
    </w:p>
    <w:p w14:paraId="4CC4E19F" w14:textId="77777777" w:rsidR="003E5246" w:rsidRDefault="003E524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1076BD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13.</w:t>
      </w:r>
      <w:r w:rsidRPr="00273BCD">
        <w:rPr>
          <w:b/>
          <w:szCs w:val="22"/>
        </w:rPr>
        <w:tab/>
        <w:t>Klasifikace veterinárních léčivých přípravků</w:t>
      </w:r>
    </w:p>
    <w:p w14:paraId="6AA812AA" w14:textId="77777777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E0F413" w14:textId="77777777" w:rsidR="00273BCD" w:rsidRPr="00B41D57" w:rsidRDefault="00273BCD" w:rsidP="00273BC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D00617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A7963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3A147F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14.</w:t>
      </w:r>
      <w:r w:rsidRPr="00273BCD">
        <w:rPr>
          <w:b/>
          <w:szCs w:val="22"/>
        </w:rPr>
        <w:tab/>
        <w:t>Registrační čísla a velikosti balení</w:t>
      </w:r>
    </w:p>
    <w:p w14:paraId="79310A2D" w14:textId="77777777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FCF840" w14:textId="77777777" w:rsidR="0064609D" w:rsidRDefault="0064609D" w:rsidP="006460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97/076/18-C</w:t>
      </w:r>
    </w:p>
    <w:p w14:paraId="6EE04E03" w14:textId="2E1DBDE8" w:rsidR="0064609D" w:rsidRDefault="0064609D" w:rsidP="00273BCD">
      <w:pPr>
        <w:jc w:val="both"/>
      </w:pPr>
    </w:p>
    <w:p w14:paraId="69604978" w14:textId="0F2A8FEE" w:rsidR="00273BCD" w:rsidRPr="00AE360A" w:rsidRDefault="00273BCD" w:rsidP="00273BCD">
      <w:pPr>
        <w:jc w:val="both"/>
        <w:rPr>
          <w:bCs/>
          <w:szCs w:val="22"/>
        </w:rPr>
      </w:pPr>
      <w:r w:rsidRPr="00AE360A">
        <w:t>Velikosti balení</w:t>
      </w:r>
      <w:r>
        <w:t>:</w:t>
      </w:r>
    </w:p>
    <w:p w14:paraId="572A31CB" w14:textId="77777777" w:rsidR="00273BCD" w:rsidRPr="00AE360A" w:rsidRDefault="00273BCD" w:rsidP="00273BCD">
      <w:pPr>
        <w:jc w:val="both"/>
        <w:rPr>
          <w:szCs w:val="22"/>
        </w:rPr>
      </w:pPr>
      <w:r w:rsidRPr="00AE360A">
        <w:t>Papírová krabička s 10 injekčními lahvičkami po 5000 dávkách vakcíny.</w:t>
      </w:r>
    </w:p>
    <w:p w14:paraId="08C50F5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EB3BBB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3BCD">
        <w:rPr>
          <w:szCs w:val="22"/>
        </w:rPr>
        <w:t>Na trhu nemusí být všechny velikosti balení</w:t>
      </w:r>
      <w:r>
        <w:rPr>
          <w:szCs w:val="22"/>
        </w:rPr>
        <w:t>.</w:t>
      </w:r>
    </w:p>
    <w:p w14:paraId="7D5F1958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5C4FD0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6EA85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15.</w:t>
      </w:r>
      <w:r w:rsidRPr="00273BCD">
        <w:rPr>
          <w:b/>
          <w:szCs w:val="22"/>
        </w:rPr>
        <w:tab/>
        <w:t>Datum poslední revize příbalové informace</w:t>
      </w:r>
    </w:p>
    <w:p w14:paraId="443DF4C4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D642D3" w14:textId="427CF8E0" w:rsidR="00273BCD" w:rsidRPr="00273BCD" w:rsidRDefault="00CD68B7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10</w:t>
      </w:r>
      <w:r w:rsidR="00EF2C26">
        <w:rPr>
          <w:szCs w:val="22"/>
        </w:rPr>
        <w:t>/2025</w:t>
      </w:r>
    </w:p>
    <w:p w14:paraId="5ECE6261" w14:textId="68365F96" w:rsid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3BCD">
        <w:rPr>
          <w:szCs w:val="22"/>
        </w:rPr>
        <w:lastRenderedPageBreak/>
        <w:t>Podrobné informace o tomto veterinárním léčivém přípravku jsou k dispozici v databázi přípravků Unie (</w:t>
      </w:r>
      <w:hyperlink r:id="rId10" w:history="1">
        <w:r w:rsidRPr="00273BCD">
          <w:rPr>
            <w:rStyle w:val="Hypertextovodkaz"/>
            <w:szCs w:val="22"/>
          </w:rPr>
          <w:t>https://medicines.health.europa.eu/veterinary</w:t>
        </w:r>
      </w:hyperlink>
      <w:r w:rsidRPr="00273BCD">
        <w:rPr>
          <w:szCs w:val="22"/>
        </w:rPr>
        <w:t>).</w:t>
      </w:r>
    </w:p>
    <w:p w14:paraId="08FDE546" w14:textId="0F515180" w:rsidR="00D548BD" w:rsidRDefault="00D548B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DE1DFA" w14:textId="77777777" w:rsidR="00D548BD" w:rsidRPr="00DD72A8" w:rsidRDefault="00D548BD" w:rsidP="00D548BD">
      <w:pPr>
        <w:rPr>
          <w:rStyle w:val="markedcontent"/>
          <w:szCs w:val="22"/>
        </w:rPr>
      </w:pPr>
      <w:r w:rsidRPr="00DD72A8">
        <w:rPr>
          <w:rStyle w:val="markedcontent"/>
          <w:szCs w:val="22"/>
        </w:rPr>
        <w:t>Podrobné informace o tomto veterinárním léčivém přípravku naleznete také v národní databázi (</w:t>
      </w:r>
      <w:hyperlink r:id="rId11" w:history="1">
        <w:r w:rsidRPr="00DD72A8">
          <w:rPr>
            <w:rStyle w:val="Hypertextovodkaz"/>
            <w:szCs w:val="22"/>
          </w:rPr>
          <w:t>https://www.uskvbl.cz</w:t>
        </w:r>
      </w:hyperlink>
      <w:r w:rsidRPr="00DD72A8">
        <w:rPr>
          <w:rStyle w:val="markedcontent"/>
          <w:szCs w:val="22"/>
        </w:rPr>
        <w:t xml:space="preserve">). </w:t>
      </w:r>
    </w:p>
    <w:p w14:paraId="2EA11940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52894F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6A8C77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F7CF4">
        <w:rPr>
          <w:b/>
          <w:szCs w:val="22"/>
          <w:highlight w:val="lightGray"/>
        </w:rPr>
        <w:t>16.</w:t>
      </w:r>
      <w:r w:rsidRPr="00273BCD">
        <w:rPr>
          <w:b/>
          <w:szCs w:val="22"/>
        </w:rPr>
        <w:tab/>
        <w:t>Kontaktní údaje</w:t>
      </w:r>
    </w:p>
    <w:p w14:paraId="649B994E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552AB7" w14:textId="09AE042F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bookmarkStart w:id="2" w:name="_Hlk73552578"/>
      <w:r w:rsidRPr="00273BCD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273BCD">
        <w:rPr>
          <w:szCs w:val="22"/>
        </w:rPr>
        <w:t>:</w:t>
      </w:r>
    </w:p>
    <w:bookmarkEnd w:id="2"/>
    <w:p w14:paraId="1E547F1B" w14:textId="77777777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A9CF35F" w14:textId="77777777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14399D">
        <w:rPr>
          <w:iCs/>
          <w:szCs w:val="22"/>
        </w:rPr>
        <w:t>Genera</w:t>
      </w:r>
      <w:proofErr w:type="spellEnd"/>
      <w:r w:rsidRPr="0014399D">
        <w:rPr>
          <w:iCs/>
          <w:szCs w:val="22"/>
        </w:rPr>
        <w:t xml:space="preserve"> </w:t>
      </w:r>
      <w:proofErr w:type="spellStart"/>
      <w:r w:rsidRPr="0014399D">
        <w:rPr>
          <w:iCs/>
          <w:szCs w:val="22"/>
        </w:rPr>
        <w:t>d.d</w:t>
      </w:r>
      <w:proofErr w:type="spellEnd"/>
      <w:r w:rsidRPr="0014399D">
        <w:rPr>
          <w:iCs/>
          <w:szCs w:val="22"/>
        </w:rPr>
        <w:t>.</w:t>
      </w:r>
    </w:p>
    <w:p w14:paraId="62313EB4" w14:textId="77777777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14399D">
        <w:rPr>
          <w:iCs/>
          <w:szCs w:val="22"/>
        </w:rPr>
        <w:t>Svetonedeljska</w:t>
      </w:r>
      <w:proofErr w:type="spellEnd"/>
      <w:r w:rsidRPr="0014399D">
        <w:rPr>
          <w:iCs/>
          <w:szCs w:val="22"/>
        </w:rPr>
        <w:t xml:space="preserve"> cesta 2, </w:t>
      </w:r>
      <w:proofErr w:type="spellStart"/>
      <w:r w:rsidRPr="0014399D">
        <w:rPr>
          <w:iCs/>
          <w:szCs w:val="22"/>
        </w:rPr>
        <w:t>Kalinovica</w:t>
      </w:r>
      <w:proofErr w:type="spellEnd"/>
    </w:p>
    <w:p w14:paraId="163F6C44" w14:textId="77777777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4399D">
        <w:rPr>
          <w:iCs/>
          <w:szCs w:val="22"/>
        </w:rPr>
        <w:t>10436 Rakov Potok</w:t>
      </w:r>
    </w:p>
    <w:p w14:paraId="1A291D42" w14:textId="77777777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4399D">
        <w:rPr>
          <w:iCs/>
          <w:szCs w:val="22"/>
        </w:rPr>
        <w:t>Chorvatsko</w:t>
      </w:r>
    </w:p>
    <w:p w14:paraId="36543B6D" w14:textId="46385E92" w:rsidR="00273BCD" w:rsidRPr="0014399D" w:rsidRDefault="00273BCD" w:rsidP="00273BC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4399D">
        <w:rPr>
          <w:iCs/>
          <w:szCs w:val="22"/>
        </w:rPr>
        <w:t>Tel:</w:t>
      </w:r>
      <w:r w:rsidRPr="0014399D">
        <w:rPr>
          <w:szCs w:val="22"/>
        </w:rPr>
        <w:t xml:space="preserve"> </w:t>
      </w:r>
      <w:r w:rsidR="0014399D">
        <w:rPr>
          <w:iCs/>
          <w:szCs w:val="22"/>
        </w:rPr>
        <w:t>+420</w:t>
      </w:r>
      <w:r w:rsidR="007A62A9">
        <w:rPr>
          <w:iCs/>
          <w:szCs w:val="22"/>
        </w:rPr>
        <w:t> 777 714 152</w:t>
      </w:r>
    </w:p>
    <w:p w14:paraId="5878A541" w14:textId="77777777" w:rsidR="00273BCD" w:rsidRPr="00273BCD" w:rsidRDefault="00273BCD" w:rsidP="00273B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946CA" w14:textId="77777777" w:rsidR="00273BCD" w:rsidRPr="00776DA2" w:rsidRDefault="00273BCD" w:rsidP="00273BC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5DD8B0D" w14:textId="77777777" w:rsidR="004C16E1" w:rsidRDefault="004C16E1" w:rsidP="004C16E1">
      <w:pPr>
        <w:pStyle w:val="Style1"/>
      </w:pPr>
      <w:r w:rsidRPr="00EF7CF4">
        <w:rPr>
          <w:highlight w:val="lightGray"/>
        </w:rPr>
        <w:t>17.</w:t>
      </w:r>
      <w:r w:rsidRPr="00B41D57">
        <w:tab/>
        <w:t>Další informace</w:t>
      </w:r>
    </w:p>
    <w:p w14:paraId="17FFBF07" w14:textId="77777777" w:rsidR="00177E46" w:rsidRPr="00B41D57" w:rsidRDefault="00177E46" w:rsidP="004C16E1">
      <w:pPr>
        <w:pStyle w:val="Style1"/>
      </w:pPr>
    </w:p>
    <w:p w14:paraId="2E9884CD" w14:textId="0CB83CDA" w:rsidR="004C16E1" w:rsidRPr="00AE360A" w:rsidRDefault="004C16E1" w:rsidP="004C16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Vakcína stimuluje aktivní imunitu proti viru infekční burzitidy u </w:t>
      </w:r>
      <w:r>
        <w:t>kura domácího</w:t>
      </w:r>
      <w:r w:rsidRPr="00AE360A">
        <w:t>.</w:t>
      </w:r>
    </w:p>
    <w:p w14:paraId="2C2B6FD6" w14:textId="77777777" w:rsidR="004C16E1" w:rsidRPr="00AE360A" w:rsidRDefault="004C16E1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8FFEAC" w14:textId="0479FDB2" w:rsidR="00F0436F" w:rsidRDefault="00F0436F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64AF0" w14:textId="2775B8A6" w:rsidR="00EF2C26" w:rsidRDefault="00EF2C2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444E2C" w14:textId="7552BDE1" w:rsidR="00EF2C26" w:rsidRDefault="00EF2C26" w:rsidP="00EF2C26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Registrační číslo s identifikací souběžného dovozu: 97/076/18-C/PI/</w:t>
      </w:r>
      <w:r w:rsidR="00EF7CF4">
        <w:rPr>
          <w:b/>
          <w:bCs/>
          <w:szCs w:val="22"/>
        </w:rPr>
        <w:t>11896/25</w:t>
      </w:r>
    </w:p>
    <w:p w14:paraId="6A397B83" w14:textId="77777777" w:rsidR="00EF2C26" w:rsidRPr="00474C50" w:rsidRDefault="00EF2C26" w:rsidP="00CA60C8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EF2C26" w:rsidRPr="00474C50" w:rsidSect="007F2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9167" w14:textId="77777777" w:rsidR="00EB6F90" w:rsidRDefault="00EB6F90">
      <w:pPr>
        <w:spacing w:line="240" w:lineRule="auto"/>
      </w:pPr>
      <w:r>
        <w:separator/>
      </w:r>
    </w:p>
  </w:endnote>
  <w:endnote w:type="continuationSeparator" w:id="0">
    <w:p w14:paraId="20500B60" w14:textId="77777777" w:rsidR="00EB6F90" w:rsidRDefault="00EB6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BF93" w14:textId="77777777" w:rsidR="001E2B90" w:rsidRDefault="001E2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E883" w14:textId="77777777" w:rsidR="006D6015" w:rsidRPr="00B94A1B" w:rsidRDefault="006D60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6B5B5" w14:textId="77777777" w:rsidR="006D6015" w:rsidRDefault="006D60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D571" w14:textId="77777777" w:rsidR="00EB6F90" w:rsidRDefault="00EB6F90">
      <w:pPr>
        <w:spacing w:line="240" w:lineRule="auto"/>
      </w:pPr>
      <w:r>
        <w:separator/>
      </w:r>
    </w:p>
  </w:footnote>
  <w:footnote w:type="continuationSeparator" w:id="0">
    <w:p w14:paraId="05E09BF6" w14:textId="77777777" w:rsidR="00EB6F90" w:rsidRDefault="00EB6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2B43" w14:textId="77777777" w:rsidR="001E2B90" w:rsidRDefault="001E2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E095" w14:textId="77138C24" w:rsidR="001E2B90" w:rsidRDefault="001E2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0E54" w14:textId="77777777" w:rsidR="001E2B90" w:rsidRDefault="001E2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45pt;height:7.4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16946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0E82DB9"/>
    <w:multiLevelType w:val="hybridMultilevel"/>
    <w:tmpl w:val="953C84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0A6D"/>
    <w:multiLevelType w:val="hybridMultilevel"/>
    <w:tmpl w:val="501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6113"/>
    <w:multiLevelType w:val="hybridMultilevel"/>
    <w:tmpl w:val="DFB6061E"/>
    <w:lvl w:ilvl="0" w:tplc="552011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6949"/>
    <w:multiLevelType w:val="hybridMultilevel"/>
    <w:tmpl w:val="D924F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1D01"/>
    <w:multiLevelType w:val="hybridMultilevel"/>
    <w:tmpl w:val="C7521198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703ADB"/>
    <w:multiLevelType w:val="hybridMultilevel"/>
    <w:tmpl w:val="529C92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F9E"/>
    <w:rsid w:val="00002356"/>
    <w:rsid w:val="000041F2"/>
    <w:rsid w:val="00021F26"/>
    <w:rsid w:val="000234DE"/>
    <w:rsid w:val="00024E21"/>
    <w:rsid w:val="00025D74"/>
    <w:rsid w:val="00036C50"/>
    <w:rsid w:val="00040BCC"/>
    <w:rsid w:val="000410D8"/>
    <w:rsid w:val="00043506"/>
    <w:rsid w:val="00044C32"/>
    <w:rsid w:val="00052D2B"/>
    <w:rsid w:val="00053B9A"/>
    <w:rsid w:val="00054F55"/>
    <w:rsid w:val="000560E4"/>
    <w:rsid w:val="00060271"/>
    <w:rsid w:val="00060BE1"/>
    <w:rsid w:val="00062442"/>
    <w:rsid w:val="00062945"/>
    <w:rsid w:val="00062F99"/>
    <w:rsid w:val="00066018"/>
    <w:rsid w:val="00067C9B"/>
    <w:rsid w:val="00077126"/>
    <w:rsid w:val="0008564F"/>
    <w:rsid w:val="000860CE"/>
    <w:rsid w:val="0009193B"/>
    <w:rsid w:val="000932B0"/>
    <w:rsid w:val="000938A6"/>
    <w:rsid w:val="000A1DF5"/>
    <w:rsid w:val="000B7873"/>
    <w:rsid w:val="000C1A15"/>
    <w:rsid w:val="000C1D4F"/>
    <w:rsid w:val="000C3200"/>
    <w:rsid w:val="000C4C18"/>
    <w:rsid w:val="000D0F9A"/>
    <w:rsid w:val="000D67D0"/>
    <w:rsid w:val="000E0401"/>
    <w:rsid w:val="000E149F"/>
    <w:rsid w:val="000E195C"/>
    <w:rsid w:val="000E1D15"/>
    <w:rsid w:val="000E3602"/>
    <w:rsid w:val="000E4DFD"/>
    <w:rsid w:val="000E5ECC"/>
    <w:rsid w:val="000F38DA"/>
    <w:rsid w:val="000F5822"/>
    <w:rsid w:val="000F796B"/>
    <w:rsid w:val="0010031E"/>
    <w:rsid w:val="00101257"/>
    <w:rsid w:val="001012EB"/>
    <w:rsid w:val="0010263B"/>
    <w:rsid w:val="001078D1"/>
    <w:rsid w:val="001106C5"/>
    <w:rsid w:val="00111856"/>
    <w:rsid w:val="001149DA"/>
    <w:rsid w:val="00115782"/>
    <w:rsid w:val="00116DC0"/>
    <w:rsid w:val="00124F36"/>
    <w:rsid w:val="00125C80"/>
    <w:rsid w:val="00131543"/>
    <w:rsid w:val="00132B2E"/>
    <w:rsid w:val="00135E8C"/>
    <w:rsid w:val="0013625C"/>
    <w:rsid w:val="00140DF6"/>
    <w:rsid w:val="0014399D"/>
    <w:rsid w:val="001444B2"/>
    <w:rsid w:val="00145CBB"/>
    <w:rsid w:val="00145D34"/>
    <w:rsid w:val="00146284"/>
    <w:rsid w:val="0014690F"/>
    <w:rsid w:val="001674D3"/>
    <w:rsid w:val="001675DB"/>
    <w:rsid w:val="00170985"/>
    <w:rsid w:val="00173608"/>
    <w:rsid w:val="00174DF4"/>
    <w:rsid w:val="00177E46"/>
    <w:rsid w:val="001803D2"/>
    <w:rsid w:val="0018228B"/>
    <w:rsid w:val="00184D7A"/>
    <w:rsid w:val="00185B50"/>
    <w:rsid w:val="00187DE7"/>
    <w:rsid w:val="00192045"/>
    <w:rsid w:val="00193B14"/>
    <w:rsid w:val="00193E72"/>
    <w:rsid w:val="00195267"/>
    <w:rsid w:val="0019600B"/>
    <w:rsid w:val="0019686E"/>
    <w:rsid w:val="001A28C9"/>
    <w:rsid w:val="001A34BC"/>
    <w:rsid w:val="001A4802"/>
    <w:rsid w:val="001A6885"/>
    <w:rsid w:val="001A69ED"/>
    <w:rsid w:val="001B01AD"/>
    <w:rsid w:val="001B06E8"/>
    <w:rsid w:val="001B1C77"/>
    <w:rsid w:val="001C5288"/>
    <w:rsid w:val="001C5B03"/>
    <w:rsid w:val="001C7AAE"/>
    <w:rsid w:val="001D2319"/>
    <w:rsid w:val="001E215A"/>
    <w:rsid w:val="001E240F"/>
    <w:rsid w:val="001E2B90"/>
    <w:rsid w:val="001E2CA9"/>
    <w:rsid w:val="001E7780"/>
    <w:rsid w:val="001F6622"/>
    <w:rsid w:val="001F70F6"/>
    <w:rsid w:val="001F759A"/>
    <w:rsid w:val="002002CE"/>
    <w:rsid w:val="00201DDB"/>
    <w:rsid w:val="002100FC"/>
    <w:rsid w:val="00211788"/>
    <w:rsid w:val="00213890"/>
    <w:rsid w:val="00214E52"/>
    <w:rsid w:val="002207C0"/>
    <w:rsid w:val="00221428"/>
    <w:rsid w:val="00227611"/>
    <w:rsid w:val="0023676E"/>
    <w:rsid w:val="0024124E"/>
    <w:rsid w:val="002414B6"/>
    <w:rsid w:val="002422EB"/>
    <w:rsid w:val="00242397"/>
    <w:rsid w:val="00250DD1"/>
    <w:rsid w:val="00251183"/>
    <w:rsid w:val="00251689"/>
    <w:rsid w:val="0025267C"/>
    <w:rsid w:val="00253B6B"/>
    <w:rsid w:val="00253C95"/>
    <w:rsid w:val="0025733B"/>
    <w:rsid w:val="00257E47"/>
    <w:rsid w:val="00257E94"/>
    <w:rsid w:val="00265656"/>
    <w:rsid w:val="00266155"/>
    <w:rsid w:val="0027270B"/>
    <w:rsid w:val="0027325B"/>
    <w:rsid w:val="00273BCD"/>
    <w:rsid w:val="0027742C"/>
    <w:rsid w:val="00281609"/>
    <w:rsid w:val="00290805"/>
    <w:rsid w:val="00290C2A"/>
    <w:rsid w:val="002931DD"/>
    <w:rsid w:val="002934DF"/>
    <w:rsid w:val="002A0E7C"/>
    <w:rsid w:val="002A21ED"/>
    <w:rsid w:val="002A24B4"/>
    <w:rsid w:val="002A3F88"/>
    <w:rsid w:val="002B40D6"/>
    <w:rsid w:val="002C1F59"/>
    <w:rsid w:val="002C38BA"/>
    <w:rsid w:val="002C40F3"/>
    <w:rsid w:val="002C592B"/>
    <w:rsid w:val="002E3A90"/>
    <w:rsid w:val="002E62CB"/>
    <w:rsid w:val="002E6DF1"/>
    <w:rsid w:val="002F0957"/>
    <w:rsid w:val="002F43F6"/>
    <w:rsid w:val="002F499B"/>
    <w:rsid w:val="002F7C63"/>
    <w:rsid w:val="003020BB"/>
    <w:rsid w:val="003028F5"/>
    <w:rsid w:val="00304393"/>
    <w:rsid w:val="00304EF0"/>
    <w:rsid w:val="00305AB2"/>
    <w:rsid w:val="0031032B"/>
    <w:rsid w:val="003105B3"/>
    <w:rsid w:val="0031371A"/>
    <w:rsid w:val="00316E87"/>
    <w:rsid w:val="003256AC"/>
    <w:rsid w:val="0033129D"/>
    <w:rsid w:val="003320ED"/>
    <w:rsid w:val="0033480E"/>
    <w:rsid w:val="00334ABA"/>
    <w:rsid w:val="00335440"/>
    <w:rsid w:val="0033698B"/>
    <w:rsid w:val="00337123"/>
    <w:rsid w:val="00337981"/>
    <w:rsid w:val="00341866"/>
    <w:rsid w:val="0034327D"/>
    <w:rsid w:val="00351450"/>
    <w:rsid w:val="003521A1"/>
    <w:rsid w:val="003525EA"/>
    <w:rsid w:val="003535E0"/>
    <w:rsid w:val="00364114"/>
    <w:rsid w:val="00366F56"/>
    <w:rsid w:val="003737C8"/>
    <w:rsid w:val="0037589D"/>
    <w:rsid w:val="00376BB1"/>
    <w:rsid w:val="0037723A"/>
    <w:rsid w:val="00377E23"/>
    <w:rsid w:val="0038277C"/>
    <w:rsid w:val="0038758E"/>
    <w:rsid w:val="003909E0"/>
    <w:rsid w:val="00395B15"/>
    <w:rsid w:val="00396026"/>
    <w:rsid w:val="003A1C5C"/>
    <w:rsid w:val="003A66BC"/>
    <w:rsid w:val="003A6CCB"/>
    <w:rsid w:val="003B48EB"/>
    <w:rsid w:val="003C33FF"/>
    <w:rsid w:val="003C359B"/>
    <w:rsid w:val="003C64A5"/>
    <w:rsid w:val="003D03CC"/>
    <w:rsid w:val="003D0C59"/>
    <w:rsid w:val="003D4BB7"/>
    <w:rsid w:val="003D4D4F"/>
    <w:rsid w:val="003D553A"/>
    <w:rsid w:val="003E0116"/>
    <w:rsid w:val="003E26C3"/>
    <w:rsid w:val="003E3D38"/>
    <w:rsid w:val="003E5246"/>
    <w:rsid w:val="003F0D6C"/>
    <w:rsid w:val="003F0F26"/>
    <w:rsid w:val="003F12D9"/>
    <w:rsid w:val="003F1B4C"/>
    <w:rsid w:val="004008F6"/>
    <w:rsid w:val="004045CA"/>
    <w:rsid w:val="00413FBF"/>
    <w:rsid w:val="00414B20"/>
    <w:rsid w:val="00417224"/>
    <w:rsid w:val="00417DE3"/>
    <w:rsid w:val="00423968"/>
    <w:rsid w:val="00423EA7"/>
    <w:rsid w:val="00427054"/>
    <w:rsid w:val="00430061"/>
    <w:rsid w:val="004304B1"/>
    <w:rsid w:val="00432E42"/>
    <w:rsid w:val="0043320A"/>
    <w:rsid w:val="00440179"/>
    <w:rsid w:val="0044734E"/>
    <w:rsid w:val="004518A6"/>
    <w:rsid w:val="00453E1D"/>
    <w:rsid w:val="00454589"/>
    <w:rsid w:val="00456ED0"/>
    <w:rsid w:val="00457550"/>
    <w:rsid w:val="0045780E"/>
    <w:rsid w:val="0046456E"/>
    <w:rsid w:val="00474C50"/>
    <w:rsid w:val="00484E4A"/>
    <w:rsid w:val="00486006"/>
    <w:rsid w:val="00486BAD"/>
    <w:rsid w:val="00486BBE"/>
    <w:rsid w:val="00487123"/>
    <w:rsid w:val="00491C8D"/>
    <w:rsid w:val="0049703B"/>
    <w:rsid w:val="004978DE"/>
    <w:rsid w:val="004A1BD5"/>
    <w:rsid w:val="004A5781"/>
    <w:rsid w:val="004A61E1"/>
    <w:rsid w:val="004A7D80"/>
    <w:rsid w:val="004B2344"/>
    <w:rsid w:val="004B2C65"/>
    <w:rsid w:val="004B4045"/>
    <w:rsid w:val="004B53AA"/>
    <w:rsid w:val="004B798E"/>
    <w:rsid w:val="004C16E1"/>
    <w:rsid w:val="004D3E58"/>
    <w:rsid w:val="004D6746"/>
    <w:rsid w:val="004E0F32"/>
    <w:rsid w:val="004E23A1"/>
    <w:rsid w:val="004E7ECE"/>
    <w:rsid w:val="005004EC"/>
    <w:rsid w:val="00502268"/>
    <w:rsid w:val="0050297A"/>
    <w:rsid w:val="00503D24"/>
    <w:rsid w:val="005062B9"/>
    <w:rsid w:val="00516B60"/>
    <w:rsid w:val="00523C53"/>
    <w:rsid w:val="00527B8F"/>
    <w:rsid w:val="00531949"/>
    <w:rsid w:val="00532087"/>
    <w:rsid w:val="00532610"/>
    <w:rsid w:val="00541880"/>
    <w:rsid w:val="00542012"/>
    <w:rsid w:val="00543DF5"/>
    <w:rsid w:val="005446FA"/>
    <w:rsid w:val="00546596"/>
    <w:rsid w:val="00550B6A"/>
    <w:rsid w:val="0055260D"/>
    <w:rsid w:val="00555810"/>
    <w:rsid w:val="00562DCA"/>
    <w:rsid w:val="00563253"/>
    <w:rsid w:val="0056568F"/>
    <w:rsid w:val="005663DA"/>
    <w:rsid w:val="00566D22"/>
    <w:rsid w:val="00571C9F"/>
    <w:rsid w:val="00580279"/>
    <w:rsid w:val="00582578"/>
    <w:rsid w:val="00582610"/>
    <w:rsid w:val="00586AC4"/>
    <w:rsid w:val="005874AC"/>
    <w:rsid w:val="00591BCD"/>
    <w:rsid w:val="0059427E"/>
    <w:rsid w:val="005A2316"/>
    <w:rsid w:val="005A5C0B"/>
    <w:rsid w:val="005B04A8"/>
    <w:rsid w:val="005B328D"/>
    <w:rsid w:val="005B3429"/>
    <w:rsid w:val="005B3503"/>
    <w:rsid w:val="005B4DCD"/>
    <w:rsid w:val="005B4FAD"/>
    <w:rsid w:val="005B52D9"/>
    <w:rsid w:val="005C1A45"/>
    <w:rsid w:val="005C23F0"/>
    <w:rsid w:val="005C3F7F"/>
    <w:rsid w:val="005C566F"/>
    <w:rsid w:val="005D380C"/>
    <w:rsid w:val="005D6E04"/>
    <w:rsid w:val="005D72E4"/>
    <w:rsid w:val="005D7A12"/>
    <w:rsid w:val="005E3781"/>
    <w:rsid w:val="005E53EE"/>
    <w:rsid w:val="005E70FA"/>
    <w:rsid w:val="005F0542"/>
    <w:rsid w:val="005F0F72"/>
    <w:rsid w:val="005F1C1F"/>
    <w:rsid w:val="005F346D"/>
    <w:rsid w:val="005F38FB"/>
    <w:rsid w:val="00601076"/>
    <w:rsid w:val="00604043"/>
    <w:rsid w:val="00606EA1"/>
    <w:rsid w:val="006128F0"/>
    <w:rsid w:val="0061726B"/>
    <w:rsid w:val="0062387A"/>
    <w:rsid w:val="006344BE"/>
    <w:rsid w:val="006349B1"/>
    <w:rsid w:val="00634A66"/>
    <w:rsid w:val="006366B2"/>
    <w:rsid w:val="00640336"/>
    <w:rsid w:val="00640FC9"/>
    <w:rsid w:val="00641BC9"/>
    <w:rsid w:val="006432F2"/>
    <w:rsid w:val="00643ACD"/>
    <w:rsid w:val="0064609D"/>
    <w:rsid w:val="00646DC3"/>
    <w:rsid w:val="0065320F"/>
    <w:rsid w:val="00653D64"/>
    <w:rsid w:val="00654E13"/>
    <w:rsid w:val="00665B65"/>
    <w:rsid w:val="00667489"/>
    <w:rsid w:val="00670D44"/>
    <w:rsid w:val="00675E12"/>
    <w:rsid w:val="00676AFC"/>
    <w:rsid w:val="006807CD"/>
    <w:rsid w:val="00682D43"/>
    <w:rsid w:val="00682F4C"/>
    <w:rsid w:val="00684018"/>
    <w:rsid w:val="00685BAF"/>
    <w:rsid w:val="00687A7B"/>
    <w:rsid w:val="006959DF"/>
    <w:rsid w:val="006A77DE"/>
    <w:rsid w:val="006B12CB"/>
    <w:rsid w:val="006B5916"/>
    <w:rsid w:val="006B7E6B"/>
    <w:rsid w:val="006C0966"/>
    <w:rsid w:val="006C0E4C"/>
    <w:rsid w:val="006C2405"/>
    <w:rsid w:val="006C4F4A"/>
    <w:rsid w:val="006C5E80"/>
    <w:rsid w:val="006C658E"/>
    <w:rsid w:val="006C7CEE"/>
    <w:rsid w:val="006D075E"/>
    <w:rsid w:val="006D6015"/>
    <w:rsid w:val="006D73CB"/>
    <w:rsid w:val="006D7C6E"/>
    <w:rsid w:val="006E010B"/>
    <w:rsid w:val="006E2F95"/>
    <w:rsid w:val="006F52F8"/>
    <w:rsid w:val="00705879"/>
    <w:rsid w:val="00705EAF"/>
    <w:rsid w:val="007101CC"/>
    <w:rsid w:val="00711812"/>
    <w:rsid w:val="00722858"/>
    <w:rsid w:val="00724E3B"/>
    <w:rsid w:val="00725EEA"/>
    <w:rsid w:val="00730CE9"/>
    <w:rsid w:val="0073373D"/>
    <w:rsid w:val="00736923"/>
    <w:rsid w:val="007439DB"/>
    <w:rsid w:val="00760ABB"/>
    <w:rsid w:val="00763BEC"/>
    <w:rsid w:val="00765316"/>
    <w:rsid w:val="007708C8"/>
    <w:rsid w:val="00776DA2"/>
    <w:rsid w:val="0077719D"/>
    <w:rsid w:val="00780DF0"/>
    <w:rsid w:val="00782F0F"/>
    <w:rsid w:val="007835BB"/>
    <w:rsid w:val="00783D3B"/>
    <w:rsid w:val="00787482"/>
    <w:rsid w:val="0079521F"/>
    <w:rsid w:val="00795B0F"/>
    <w:rsid w:val="007A286D"/>
    <w:rsid w:val="007A38DF"/>
    <w:rsid w:val="007A62A9"/>
    <w:rsid w:val="007A6D12"/>
    <w:rsid w:val="007A73BA"/>
    <w:rsid w:val="007B1688"/>
    <w:rsid w:val="007B20CF"/>
    <w:rsid w:val="007B2499"/>
    <w:rsid w:val="007B72E1"/>
    <w:rsid w:val="007B783A"/>
    <w:rsid w:val="007C1B95"/>
    <w:rsid w:val="007C5F6D"/>
    <w:rsid w:val="007C763E"/>
    <w:rsid w:val="007E2F2D"/>
    <w:rsid w:val="007F0AFA"/>
    <w:rsid w:val="007F1433"/>
    <w:rsid w:val="007F1491"/>
    <w:rsid w:val="007F179A"/>
    <w:rsid w:val="007F1DD8"/>
    <w:rsid w:val="007F2F03"/>
    <w:rsid w:val="007F4945"/>
    <w:rsid w:val="007F73DF"/>
    <w:rsid w:val="00800FE0"/>
    <w:rsid w:val="008066AD"/>
    <w:rsid w:val="008130C2"/>
    <w:rsid w:val="00814068"/>
    <w:rsid w:val="0081517F"/>
    <w:rsid w:val="00815370"/>
    <w:rsid w:val="00817939"/>
    <w:rsid w:val="00820530"/>
    <w:rsid w:val="008207AC"/>
    <w:rsid w:val="0082153D"/>
    <w:rsid w:val="00823170"/>
    <w:rsid w:val="00824F71"/>
    <w:rsid w:val="008255AA"/>
    <w:rsid w:val="0082620B"/>
    <w:rsid w:val="0082789F"/>
    <w:rsid w:val="00830FF3"/>
    <w:rsid w:val="0083397E"/>
    <w:rsid w:val="00836B8C"/>
    <w:rsid w:val="00837100"/>
    <w:rsid w:val="008410C5"/>
    <w:rsid w:val="00846C08"/>
    <w:rsid w:val="008530E7"/>
    <w:rsid w:val="00856733"/>
    <w:rsid w:val="00857675"/>
    <w:rsid w:val="00857A19"/>
    <w:rsid w:val="00860EDC"/>
    <w:rsid w:val="00863F5E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E6"/>
    <w:rsid w:val="00896EBD"/>
    <w:rsid w:val="0089767D"/>
    <w:rsid w:val="008A5665"/>
    <w:rsid w:val="008B24A8"/>
    <w:rsid w:val="008B2FDC"/>
    <w:rsid w:val="008B3D78"/>
    <w:rsid w:val="008C261B"/>
    <w:rsid w:val="008C4FCA"/>
    <w:rsid w:val="008C5A26"/>
    <w:rsid w:val="008C7882"/>
    <w:rsid w:val="008D2261"/>
    <w:rsid w:val="008D4BB2"/>
    <w:rsid w:val="008D4C28"/>
    <w:rsid w:val="008D4F3B"/>
    <w:rsid w:val="008D534F"/>
    <w:rsid w:val="008D577B"/>
    <w:rsid w:val="008D6B43"/>
    <w:rsid w:val="008E17C4"/>
    <w:rsid w:val="008E30A7"/>
    <w:rsid w:val="008E45C4"/>
    <w:rsid w:val="008E64B1"/>
    <w:rsid w:val="008E64FA"/>
    <w:rsid w:val="008E7A32"/>
    <w:rsid w:val="008F2A3F"/>
    <w:rsid w:val="008F4DEF"/>
    <w:rsid w:val="009048E1"/>
    <w:rsid w:val="0090774D"/>
    <w:rsid w:val="0091196E"/>
    <w:rsid w:val="00913885"/>
    <w:rsid w:val="00916FF1"/>
    <w:rsid w:val="0092729C"/>
    <w:rsid w:val="0093199D"/>
    <w:rsid w:val="00931D41"/>
    <w:rsid w:val="00933D18"/>
    <w:rsid w:val="00936B59"/>
    <w:rsid w:val="00942221"/>
    <w:rsid w:val="00950FBB"/>
    <w:rsid w:val="0095244C"/>
    <w:rsid w:val="00953349"/>
    <w:rsid w:val="00954E0C"/>
    <w:rsid w:val="00955EA5"/>
    <w:rsid w:val="0095680A"/>
    <w:rsid w:val="00956AED"/>
    <w:rsid w:val="00961156"/>
    <w:rsid w:val="0096229E"/>
    <w:rsid w:val="00962EEB"/>
    <w:rsid w:val="009631DD"/>
    <w:rsid w:val="00964E5D"/>
    <w:rsid w:val="00966C92"/>
    <w:rsid w:val="00966F1F"/>
    <w:rsid w:val="009672EE"/>
    <w:rsid w:val="00975732"/>
    <w:rsid w:val="00976556"/>
    <w:rsid w:val="00976D32"/>
    <w:rsid w:val="00980781"/>
    <w:rsid w:val="009844F7"/>
    <w:rsid w:val="009912A8"/>
    <w:rsid w:val="00991A8E"/>
    <w:rsid w:val="009920CF"/>
    <w:rsid w:val="009A05AA"/>
    <w:rsid w:val="009A2D5A"/>
    <w:rsid w:val="009A69A9"/>
    <w:rsid w:val="009B2049"/>
    <w:rsid w:val="009B2C7E"/>
    <w:rsid w:val="009C2E47"/>
    <w:rsid w:val="009C6780"/>
    <w:rsid w:val="009C6BFB"/>
    <w:rsid w:val="009D0C05"/>
    <w:rsid w:val="009D247F"/>
    <w:rsid w:val="009E2C00"/>
    <w:rsid w:val="009E70F4"/>
    <w:rsid w:val="009E733A"/>
    <w:rsid w:val="009F1AD2"/>
    <w:rsid w:val="009F5352"/>
    <w:rsid w:val="009F68E7"/>
    <w:rsid w:val="009F7652"/>
    <w:rsid w:val="00A11755"/>
    <w:rsid w:val="00A207FB"/>
    <w:rsid w:val="00A20DE9"/>
    <w:rsid w:val="00A26F44"/>
    <w:rsid w:val="00A37765"/>
    <w:rsid w:val="00A4313D"/>
    <w:rsid w:val="00A47986"/>
    <w:rsid w:val="00A47F87"/>
    <w:rsid w:val="00A50120"/>
    <w:rsid w:val="00A60351"/>
    <w:rsid w:val="00A61285"/>
    <w:rsid w:val="00A61C6D"/>
    <w:rsid w:val="00A63015"/>
    <w:rsid w:val="00A66BC7"/>
    <w:rsid w:val="00A678B4"/>
    <w:rsid w:val="00A67E76"/>
    <w:rsid w:val="00A704A3"/>
    <w:rsid w:val="00A710F1"/>
    <w:rsid w:val="00A75E23"/>
    <w:rsid w:val="00A80944"/>
    <w:rsid w:val="00A82AA0"/>
    <w:rsid w:val="00A82F8A"/>
    <w:rsid w:val="00A83627"/>
    <w:rsid w:val="00A84D23"/>
    <w:rsid w:val="00A9226B"/>
    <w:rsid w:val="00A9575C"/>
    <w:rsid w:val="00A95B56"/>
    <w:rsid w:val="00A969AF"/>
    <w:rsid w:val="00A972CA"/>
    <w:rsid w:val="00AA5CD0"/>
    <w:rsid w:val="00AB1A2E"/>
    <w:rsid w:val="00AB328A"/>
    <w:rsid w:val="00AB4918"/>
    <w:rsid w:val="00AB4BC8"/>
    <w:rsid w:val="00AB6BA7"/>
    <w:rsid w:val="00AC04DB"/>
    <w:rsid w:val="00AC0A67"/>
    <w:rsid w:val="00AD0710"/>
    <w:rsid w:val="00AD3832"/>
    <w:rsid w:val="00AD4DB9"/>
    <w:rsid w:val="00AD63C0"/>
    <w:rsid w:val="00AE1DAF"/>
    <w:rsid w:val="00AE35B2"/>
    <w:rsid w:val="00AE360A"/>
    <w:rsid w:val="00AE6AA0"/>
    <w:rsid w:val="00AF75E9"/>
    <w:rsid w:val="00AF7DED"/>
    <w:rsid w:val="00AF7EAE"/>
    <w:rsid w:val="00B00AA6"/>
    <w:rsid w:val="00B00F07"/>
    <w:rsid w:val="00B022DC"/>
    <w:rsid w:val="00B0681D"/>
    <w:rsid w:val="00B1079B"/>
    <w:rsid w:val="00B119A2"/>
    <w:rsid w:val="00B133BD"/>
    <w:rsid w:val="00B177F2"/>
    <w:rsid w:val="00B201F1"/>
    <w:rsid w:val="00B222A0"/>
    <w:rsid w:val="00B24045"/>
    <w:rsid w:val="00B257A5"/>
    <w:rsid w:val="00B25A8C"/>
    <w:rsid w:val="00B304E7"/>
    <w:rsid w:val="00B318B6"/>
    <w:rsid w:val="00B32EFD"/>
    <w:rsid w:val="00B33E40"/>
    <w:rsid w:val="00B36042"/>
    <w:rsid w:val="00B406D5"/>
    <w:rsid w:val="00B60AC9"/>
    <w:rsid w:val="00B67323"/>
    <w:rsid w:val="00B70852"/>
    <w:rsid w:val="00B72DCC"/>
    <w:rsid w:val="00B74071"/>
    <w:rsid w:val="00B7428E"/>
    <w:rsid w:val="00B74B67"/>
    <w:rsid w:val="00B75679"/>
    <w:rsid w:val="00B82ED4"/>
    <w:rsid w:val="00B83492"/>
    <w:rsid w:val="00B8424F"/>
    <w:rsid w:val="00B85EA0"/>
    <w:rsid w:val="00B86896"/>
    <w:rsid w:val="00B875A6"/>
    <w:rsid w:val="00B92939"/>
    <w:rsid w:val="00B93E4C"/>
    <w:rsid w:val="00B93FF2"/>
    <w:rsid w:val="00B94A1B"/>
    <w:rsid w:val="00B961C3"/>
    <w:rsid w:val="00BA5C89"/>
    <w:rsid w:val="00BA6905"/>
    <w:rsid w:val="00BB38EE"/>
    <w:rsid w:val="00BB4CE2"/>
    <w:rsid w:val="00BC0904"/>
    <w:rsid w:val="00BC0EFB"/>
    <w:rsid w:val="00BC2E39"/>
    <w:rsid w:val="00BC4583"/>
    <w:rsid w:val="00BC4F7D"/>
    <w:rsid w:val="00BD439C"/>
    <w:rsid w:val="00BE3261"/>
    <w:rsid w:val="00BE56FE"/>
    <w:rsid w:val="00BE6FC6"/>
    <w:rsid w:val="00BF3ACC"/>
    <w:rsid w:val="00BF58FC"/>
    <w:rsid w:val="00C01263"/>
    <w:rsid w:val="00C01F77"/>
    <w:rsid w:val="00C01FFC"/>
    <w:rsid w:val="00C06AE4"/>
    <w:rsid w:val="00C114FF"/>
    <w:rsid w:val="00C15E81"/>
    <w:rsid w:val="00C171A1"/>
    <w:rsid w:val="00C171A4"/>
    <w:rsid w:val="00C17F12"/>
    <w:rsid w:val="00C237E9"/>
    <w:rsid w:val="00C36883"/>
    <w:rsid w:val="00C37EC9"/>
    <w:rsid w:val="00C40928"/>
    <w:rsid w:val="00C41F4B"/>
    <w:rsid w:val="00C41FD6"/>
    <w:rsid w:val="00C43F01"/>
    <w:rsid w:val="00C470C4"/>
    <w:rsid w:val="00C47552"/>
    <w:rsid w:val="00C478FA"/>
    <w:rsid w:val="00C52083"/>
    <w:rsid w:val="00C57A81"/>
    <w:rsid w:val="00C60193"/>
    <w:rsid w:val="00C634D4"/>
    <w:rsid w:val="00C63AA5"/>
    <w:rsid w:val="00C65071"/>
    <w:rsid w:val="00C70D4D"/>
    <w:rsid w:val="00C71C7B"/>
    <w:rsid w:val="00C73F6D"/>
    <w:rsid w:val="00C74F6E"/>
    <w:rsid w:val="00C76D59"/>
    <w:rsid w:val="00C77FA4"/>
    <w:rsid w:val="00C77FFA"/>
    <w:rsid w:val="00C80401"/>
    <w:rsid w:val="00C81C97"/>
    <w:rsid w:val="00C840C2"/>
    <w:rsid w:val="00C84101"/>
    <w:rsid w:val="00C8535F"/>
    <w:rsid w:val="00C90EDA"/>
    <w:rsid w:val="00C920D9"/>
    <w:rsid w:val="00C959E7"/>
    <w:rsid w:val="00CA60C8"/>
    <w:rsid w:val="00CB0C17"/>
    <w:rsid w:val="00CC1E65"/>
    <w:rsid w:val="00CC567A"/>
    <w:rsid w:val="00CD4059"/>
    <w:rsid w:val="00CD4E5A"/>
    <w:rsid w:val="00CD68B7"/>
    <w:rsid w:val="00CE03CE"/>
    <w:rsid w:val="00CE0DC1"/>
    <w:rsid w:val="00CF0DFF"/>
    <w:rsid w:val="00CF3200"/>
    <w:rsid w:val="00CF418E"/>
    <w:rsid w:val="00D0359D"/>
    <w:rsid w:val="00D04DED"/>
    <w:rsid w:val="00D103CA"/>
    <w:rsid w:val="00D1089A"/>
    <w:rsid w:val="00D116BD"/>
    <w:rsid w:val="00D12C1B"/>
    <w:rsid w:val="00D147F3"/>
    <w:rsid w:val="00D15EAD"/>
    <w:rsid w:val="00D17822"/>
    <w:rsid w:val="00D25340"/>
    <w:rsid w:val="00D26E14"/>
    <w:rsid w:val="00D317ED"/>
    <w:rsid w:val="00D3691A"/>
    <w:rsid w:val="00D377E2"/>
    <w:rsid w:val="00D42448"/>
    <w:rsid w:val="00D42814"/>
    <w:rsid w:val="00D42DCB"/>
    <w:rsid w:val="00D46DF2"/>
    <w:rsid w:val="00D472DC"/>
    <w:rsid w:val="00D47674"/>
    <w:rsid w:val="00D5338C"/>
    <w:rsid w:val="00D53AB8"/>
    <w:rsid w:val="00D540CB"/>
    <w:rsid w:val="00D548BD"/>
    <w:rsid w:val="00D606B2"/>
    <w:rsid w:val="00D65777"/>
    <w:rsid w:val="00D728A0"/>
    <w:rsid w:val="00D80135"/>
    <w:rsid w:val="00D84FDE"/>
    <w:rsid w:val="00D86030"/>
    <w:rsid w:val="00D8795D"/>
    <w:rsid w:val="00D87BE9"/>
    <w:rsid w:val="00D97E7D"/>
    <w:rsid w:val="00D97F9C"/>
    <w:rsid w:val="00DA0AB3"/>
    <w:rsid w:val="00DA116D"/>
    <w:rsid w:val="00DA1299"/>
    <w:rsid w:val="00DA4802"/>
    <w:rsid w:val="00DA7784"/>
    <w:rsid w:val="00DB0004"/>
    <w:rsid w:val="00DB3439"/>
    <w:rsid w:val="00DC21B6"/>
    <w:rsid w:val="00DC2946"/>
    <w:rsid w:val="00DC3E77"/>
    <w:rsid w:val="00DC5499"/>
    <w:rsid w:val="00DC550F"/>
    <w:rsid w:val="00DC64FD"/>
    <w:rsid w:val="00DD2119"/>
    <w:rsid w:val="00DD3969"/>
    <w:rsid w:val="00DD3F6E"/>
    <w:rsid w:val="00DD4E0D"/>
    <w:rsid w:val="00DE127F"/>
    <w:rsid w:val="00DE424A"/>
    <w:rsid w:val="00DE4419"/>
    <w:rsid w:val="00DF0ACA"/>
    <w:rsid w:val="00DF2245"/>
    <w:rsid w:val="00DF2BAF"/>
    <w:rsid w:val="00DF4670"/>
    <w:rsid w:val="00DF49C4"/>
    <w:rsid w:val="00DF75EF"/>
    <w:rsid w:val="00DF77CF"/>
    <w:rsid w:val="00DF77F1"/>
    <w:rsid w:val="00E00677"/>
    <w:rsid w:val="00E026E8"/>
    <w:rsid w:val="00E02A77"/>
    <w:rsid w:val="00E0390A"/>
    <w:rsid w:val="00E14C47"/>
    <w:rsid w:val="00E22698"/>
    <w:rsid w:val="00E25B7C"/>
    <w:rsid w:val="00E30FFE"/>
    <w:rsid w:val="00E348F2"/>
    <w:rsid w:val="00E3725B"/>
    <w:rsid w:val="00E41CC9"/>
    <w:rsid w:val="00E434D1"/>
    <w:rsid w:val="00E4482E"/>
    <w:rsid w:val="00E47627"/>
    <w:rsid w:val="00E54CF1"/>
    <w:rsid w:val="00E555B4"/>
    <w:rsid w:val="00E56CBB"/>
    <w:rsid w:val="00E61212"/>
    <w:rsid w:val="00E61E51"/>
    <w:rsid w:val="00E6552A"/>
    <w:rsid w:val="00E65A0A"/>
    <w:rsid w:val="00E6707D"/>
    <w:rsid w:val="00E70E7C"/>
    <w:rsid w:val="00E71313"/>
    <w:rsid w:val="00E72606"/>
    <w:rsid w:val="00E73C3E"/>
    <w:rsid w:val="00E8276A"/>
    <w:rsid w:val="00E84E9D"/>
    <w:rsid w:val="00E935AF"/>
    <w:rsid w:val="00E9524B"/>
    <w:rsid w:val="00EA1173"/>
    <w:rsid w:val="00EB0366"/>
    <w:rsid w:val="00EB0E20"/>
    <w:rsid w:val="00EB2C7E"/>
    <w:rsid w:val="00EB6F90"/>
    <w:rsid w:val="00EC4F3A"/>
    <w:rsid w:val="00EC63DB"/>
    <w:rsid w:val="00EC6CCA"/>
    <w:rsid w:val="00ED02AE"/>
    <w:rsid w:val="00ED2539"/>
    <w:rsid w:val="00ED594D"/>
    <w:rsid w:val="00ED6CF5"/>
    <w:rsid w:val="00EE36E1"/>
    <w:rsid w:val="00EE654D"/>
    <w:rsid w:val="00EF25C8"/>
    <w:rsid w:val="00EF2C26"/>
    <w:rsid w:val="00EF7CF4"/>
    <w:rsid w:val="00F0054D"/>
    <w:rsid w:val="00F02467"/>
    <w:rsid w:val="00F0436F"/>
    <w:rsid w:val="00F115C5"/>
    <w:rsid w:val="00F12214"/>
    <w:rsid w:val="00F12565"/>
    <w:rsid w:val="00F14ACA"/>
    <w:rsid w:val="00F14C50"/>
    <w:rsid w:val="00F22411"/>
    <w:rsid w:val="00F23927"/>
    <w:rsid w:val="00F2416B"/>
    <w:rsid w:val="00F26A05"/>
    <w:rsid w:val="00F26F36"/>
    <w:rsid w:val="00F307CE"/>
    <w:rsid w:val="00F32B51"/>
    <w:rsid w:val="00F34188"/>
    <w:rsid w:val="00F34AF8"/>
    <w:rsid w:val="00F35EE7"/>
    <w:rsid w:val="00F36844"/>
    <w:rsid w:val="00F36ADD"/>
    <w:rsid w:val="00F37108"/>
    <w:rsid w:val="00F42871"/>
    <w:rsid w:val="00F4349C"/>
    <w:rsid w:val="00F43FF5"/>
    <w:rsid w:val="00F45451"/>
    <w:rsid w:val="00F46E85"/>
    <w:rsid w:val="00F4789B"/>
    <w:rsid w:val="00F47BAA"/>
    <w:rsid w:val="00F52BF4"/>
    <w:rsid w:val="00F52EAB"/>
    <w:rsid w:val="00F6261F"/>
    <w:rsid w:val="00F65D37"/>
    <w:rsid w:val="00F67A2D"/>
    <w:rsid w:val="00F70A1B"/>
    <w:rsid w:val="00F70B91"/>
    <w:rsid w:val="00F72FDF"/>
    <w:rsid w:val="00F74D16"/>
    <w:rsid w:val="00F75960"/>
    <w:rsid w:val="00F76B02"/>
    <w:rsid w:val="00F82526"/>
    <w:rsid w:val="00F82702"/>
    <w:rsid w:val="00F84672"/>
    <w:rsid w:val="00F84802"/>
    <w:rsid w:val="00F9060F"/>
    <w:rsid w:val="00FA06FD"/>
    <w:rsid w:val="00FA3547"/>
    <w:rsid w:val="00FA515B"/>
    <w:rsid w:val="00FA6B90"/>
    <w:rsid w:val="00FA74CB"/>
    <w:rsid w:val="00FB2886"/>
    <w:rsid w:val="00FB466E"/>
    <w:rsid w:val="00FB6E97"/>
    <w:rsid w:val="00FC0A9B"/>
    <w:rsid w:val="00FC28B3"/>
    <w:rsid w:val="00FC3298"/>
    <w:rsid w:val="00FD0492"/>
    <w:rsid w:val="00FD13EC"/>
    <w:rsid w:val="00FD2A59"/>
    <w:rsid w:val="00FD4DA8"/>
    <w:rsid w:val="00FD4EEF"/>
    <w:rsid w:val="00FD5238"/>
    <w:rsid w:val="00FD5461"/>
    <w:rsid w:val="00FD5C22"/>
    <w:rsid w:val="00FD6BDB"/>
    <w:rsid w:val="00FD6F00"/>
    <w:rsid w:val="00FD78B9"/>
    <w:rsid w:val="00FD7B98"/>
    <w:rsid w:val="00FF0384"/>
    <w:rsid w:val="00FF18D2"/>
    <w:rsid w:val="00FF22F5"/>
    <w:rsid w:val="00FF4664"/>
    <w:rsid w:val="00FF590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E7511"/>
  <w15:chartTrackingRefBased/>
  <w15:docId w15:val="{64A4E55C-53B8-4019-9F37-2494C660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11">
    <w:name w:val="Colorful Shading - Accent 11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paragraph" w:customStyle="1" w:styleId="Style4">
    <w:name w:val="Style4"/>
    <w:basedOn w:val="Normln"/>
    <w:uiPriority w:val="99"/>
    <w:rsid w:val="00502268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Calibri" w:cs="Arial Unicode MS"/>
      <w:sz w:val="24"/>
      <w:szCs w:val="24"/>
      <w:lang w:eastAsia="hr-HR"/>
    </w:rPr>
  </w:style>
  <w:style w:type="character" w:customStyle="1" w:styleId="FontStyle41">
    <w:name w:val="Font Style41"/>
    <w:uiPriority w:val="99"/>
    <w:rsid w:val="0050226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sid w:val="0050226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ZhlavChar">
    <w:name w:val="Záhlaví Char"/>
    <w:link w:val="Zhlav"/>
    <w:uiPriority w:val="99"/>
    <w:rsid w:val="00B83492"/>
    <w:rPr>
      <w:rFonts w:ascii="Helvetica" w:hAnsi="Helvetica"/>
      <w:lang w:val="cs-CZ" w:eastAsia="en-US"/>
    </w:rPr>
  </w:style>
  <w:style w:type="character" w:customStyle="1" w:styleId="apple-converted-space">
    <w:name w:val="apple-converted-space"/>
    <w:rsid w:val="008F2A3F"/>
  </w:style>
  <w:style w:type="character" w:customStyle="1" w:styleId="ZkladntextodsazenChar">
    <w:name w:val="Základní text odsazený Char"/>
    <w:link w:val="Zkladntextodsazen"/>
    <w:rsid w:val="00503D24"/>
    <w:rPr>
      <w:b/>
      <w:sz w:val="22"/>
      <w:lang w:val="cs-CZ" w:eastAsia="en-US"/>
    </w:rPr>
  </w:style>
  <w:style w:type="paragraph" w:customStyle="1" w:styleId="Einr150">
    <w:name w:val="Einr150"/>
    <w:basedOn w:val="Normln"/>
    <w:rsid w:val="00A84D23"/>
    <w:pPr>
      <w:tabs>
        <w:tab w:val="clear" w:pos="567"/>
      </w:tabs>
      <w:spacing w:line="240" w:lineRule="auto"/>
      <w:ind w:firstLine="737"/>
    </w:pPr>
    <w:rPr>
      <w:rFonts w:ascii="Arial" w:hAnsi="Arial"/>
      <w:sz w:val="24"/>
      <w:lang w:eastAsia="de-DE"/>
    </w:rPr>
  </w:style>
  <w:style w:type="paragraph" w:customStyle="1" w:styleId="ColorfulList-Accent11">
    <w:name w:val="Colorful List - Accent 11"/>
    <w:basedOn w:val="Normln"/>
    <w:uiPriority w:val="34"/>
    <w:qFormat/>
    <w:rsid w:val="00432E42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Revize">
    <w:name w:val="Revision"/>
    <w:hidden/>
    <w:uiPriority w:val="99"/>
    <w:semiHidden/>
    <w:rsid w:val="00B75679"/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273BCD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4C16E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customStyle="1" w:styleId="markedcontent">
    <w:name w:val="markedcontent"/>
    <w:rsid w:val="00D5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935A-E19C-48B6-844C-9004B8B0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8733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10193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keywords/>
  <cp:lastModifiedBy>Langrová Lenka</cp:lastModifiedBy>
  <cp:revision>2</cp:revision>
  <cp:lastPrinted>2024-11-11T08:49:00Z</cp:lastPrinted>
  <dcterms:created xsi:type="dcterms:W3CDTF">2025-12-18T11:24:00Z</dcterms:created>
  <dcterms:modified xsi:type="dcterms:W3CDTF">2025-12-18T11:24:00Z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s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30/10/2012 16:42:44</vt:lpwstr>
  </property>
  <property fmtid="{D5CDD505-2E9C-101B-9397-08002B2CF9AE}" pid="5" name="DM_Creator_Name">
    <vt:lpwstr>Prizzi Monica</vt:lpwstr>
  </property>
  <property fmtid="{D5CDD505-2E9C-101B-9397-08002B2CF9AE}" pid="6" name="DM_DocRefId">
    <vt:lpwstr>EMA/418124/2012</vt:lpwstr>
  </property>
  <property fmtid="{D5CDD505-2E9C-101B-9397-08002B2CF9AE}" pid="7" name="DM_emea_bcc">
    <vt:lpwstr/>
  </property>
  <property fmtid="{D5CDD505-2E9C-101B-9397-08002B2CF9AE}" pid="8" name="DM_emea_cc">
    <vt:lpwstr/>
  </property>
  <property fmtid="{D5CDD505-2E9C-101B-9397-08002B2CF9AE}" pid="9" name="DM_emea_doc_category">
    <vt:lpwstr>General</vt:lpwstr>
  </property>
  <property fmtid="{D5CDD505-2E9C-101B-9397-08002B2CF9AE}" pid="10" name="DM_emea_doc_lang">
    <vt:lpwstr/>
  </property>
  <property fmtid="{D5CDD505-2E9C-101B-9397-08002B2CF9AE}" pid="11" name="DM_emea_doc_number">
    <vt:lpwstr>201224</vt:lpwstr>
  </property>
  <property fmtid="{D5CDD505-2E9C-101B-9397-08002B2CF9AE}" pid="12" name="DM_emea_doc_ref_id">
    <vt:lpwstr>EMA/418124/2012</vt:lpwstr>
  </property>
  <property fmtid="{D5CDD505-2E9C-101B-9397-08002B2CF9AE}" pid="13" name="DM_emea_from">
    <vt:lpwstr/>
  </property>
  <property fmtid="{D5CDD505-2E9C-101B-9397-08002B2CF9AE}" pid="14" name="DM_emea_internal_label">
    <vt:lpwstr>EMA</vt:lpwstr>
  </property>
  <property fmtid="{D5CDD505-2E9C-101B-9397-08002B2CF9AE}" pid="15" name="DM_emea_legal_date">
    <vt:lpwstr>nulldate</vt:lpwstr>
  </property>
  <property fmtid="{D5CDD505-2E9C-101B-9397-08002B2CF9AE}" pid="16" name="DM_emea_meeting_action">
    <vt:lpwstr/>
  </property>
  <property fmtid="{D5CDD505-2E9C-101B-9397-08002B2CF9AE}" pid="17" name="DM_emea_meeting_flags">
    <vt:lpwstr/>
  </property>
  <property fmtid="{D5CDD505-2E9C-101B-9397-08002B2CF9AE}" pid="18" name="DM_emea_meeting_hyperlink">
    <vt:lpwstr/>
  </property>
  <property fmtid="{D5CDD505-2E9C-101B-9397-08002B2CF9AE}" pid="19" name="DM_emea_meeting_ref">
    <vt:lpwstr/>
  </property>
  <property fmtid="{D5CDD505-2E9C-101B-9397-08002B2CF9AE}" pid="20" name="DM_emea_meeting_status">
    <vt:lpwstr/>
  </property>
  <property fmtid="{D5CDD505-2E9C-101B-9397-08002B2CF9AE}" pid="21" name="DM_emea_meeting_title">
    <vt:lpwstr/>
  </property>
  <property fmtid="{D5CDD505-2E9C-101B-9397-08002B2CF9AE}" pid="22" name="DM_emea_message_subject">
    <vt:lpwstr/>
  </property>
  <property fmtid="{D5CDD505-2E9C-101B-9397-08002B2CF9AE}" pid="23" name="DM_emea_received_date">
    <vt:lpwstr>nulldate</vt:lpwstr>
  </property>
  <property fmtid="{D5CDD505-2E9C-101B-9397-08002B2CF9AE}" pid="24" name="DM_emea_resp_body">
    <vt:lpwstr/>
  </property>
  <property fmtid="{D5CDD505-2E9C-101B-9397-08002B2CF9AE}" pid="25" name="DM_emea_revision_label">
    <vt:lpwstr/>
  </property>
  <property fmtid="{D5CDD505-2E9C-101B-9397-08002B2CF9AE}" pid="26" name="DM_emea_sent_date">
    <vt:lpwstr>nulldate</vt:lpwstr>
  </property>
  <property fmtid="{D5CDD505-2E9C-101B-9397-08002B2CF9AE}" pid="27" name="DM_emea_to">
    <vt:lpwstr/>
  </property>
  <property fmtid="{D5CDD505-2E9C-101B-9397-08002B2CF9AE}" pid="28" name="DM_emea_year">
    <vt:lpwstr>2010</vt:lpwstr>
  </property>
  <property fmtid="{D5CDD505-2E9C-101B-9397-08002B2CF9AE}" pid="29" name="DM_Keywords">
    <vt:lpwstr/>
  </property>
  <property fmtid="{D5CDD505-2E9C-101B-9397-08002B2CF9AE}" pid="30" name="DM_Language">
    <vt:lpwstr/>
  </property>
  <property fmtid="{D5CDD505-2E9C-101B-9397-08002B2CF9AE}" pid="31" name="DM_Modifer_Name">
    <vt:lpwstr>Prizzi Monica</vt:lpwstr>
  </property>
  <property fmtid="{D5CDD505-2E9C-101B-9397-08002B2CF9AE}" pid="32" name="DM_Modified_Date">
    <vt:lpwstr>30/10/2012 17:03:10</vt:lpwstr>
  </property>
  <property fmtid="{D5CDD505-2E9C-101B-9397-08002B2CF9AE}" pid="33" name="DM_Modifier_Name">
    <vt:lpwstr>Prizzi Monica</vt:lpwstr>
  </property>
  <property fmtid="{D5CDD505-2E9C-101B-9397-08002B2CF9AE}" pid="34" name="DM_Modify_Date">
    <vt:lpwstr>30/10/2012 17:03:10</vt:lpwstr>
  </property>
  <property fmtid="{D5CDD505-2E9C-101B-9397-08002B2CF9AE}" pid="35" name="DM_Name">
    <vt:lpwstr>EN_qrd_veterinary template_v.8 en</vt:lpwstr>
  </property>
  <property fmtid="{D5CDD505-2E9C-101B-9397-08002B2CF9AE}" pid="36" name="DM_Owner">
    <vt:lpwstr>Prizzi Monica</vt:lpwstr>
  </property>
  <property fmtid="{D5CDD505-2E9C-101B-9397-08002B2CF9AE}" pid="37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38" name="DM_Status">
    <vt:lpwstr/>
  </property>
  <property fmtid="{D5CDD505-2E9C-101B-9397-08002B2CF9AE}" pid="39" name="DM_Subject">
    <vt:lpwstr>General-EMA/201224/2010</vt:lpwstr>
  </property>
  <property fmtid="{D5CDD505-2E9C-101B-9397-08002B2CF9AE}" pid="40" name="DM_Title">
    <vt:lpwstr/>
  </property>
  <property fmtid="{D5CDD505-2E9C-101B-9397-08002B2CF9AE}" pid="41" name="DM_Type">
    <vt:lpwstr>emea_document</vt:lpwstr>
  </property>
  <property fmtid="{D5CDD505-2E9C-101B-9397-08002B2CF9AE}" pid="42" name="DM_Version">
    <vt:lpwstr>CURRENT,2.3</vt:lpwstr>
  </property>
  <property fmtid="{D5CDD505-2E9C-101B-9397-08002B2CF9AE}" pid="43" name="EMEADocClassificationCode">
    <vt:lpwstr/>
  </property>
  <property fmtid="{D5CDD505-2E9C-101B-9397-08002B2CF9AE}" pid="44" name="EMEADocClassificationHidden">
    <vt:lpwstr>N</vt:lpwstr>
  </property>
  <property fmtid="{D5CDD505-2E9C-101B-9397-08002B2CF9AE}" pid="45" name="EMEADocClassificationText">
    <vt:lpwstr/>
  </property>
  <property fmtid="{D5CDD505-2E9C-101B-9397-08002B2CF9AE}" pid="46" name="EMEADocDate">
    <vt:lpwstr>20020723</vt:lpwstr>
  </property>
  <property fmtid="{D5CDD505-2E9C-101B-9397-08002B2CF9AE}" pid="47" name="EMEADocDateDay">
    <vt:lpwstr>23</vt:lpwstr>
  </property>
  <property fmtid="{D5CDD505-2E9C-101B-9397-08002B2CF9AE}" pid="48" name="EMEADocDateMonth">
    <vt:lpwstr>July</vt:lpwstr>
  </property>
  <property fmtid="{D5CDD505-2E9C-101B-9397-08002B2CF9AE}" pid="49" name="EMEADocDateYear">
    <vt:lpwstr>2002</vt:lpwstr>
  </property>
  <property fmtid="{D5CDD505-2E9C-101B-9397-08002B2CF9AE}" pid="50" name="EMEADocExtCatTitle">
    <vt:lpwstr>The Title will not be included in the External Catalogue.</vt:lpwstr>
  </property>
  <property fmtid="{D5CDD505-2E9C-101B-9397-08002B2CF9AE}" pid="51" name="EMEADocLanguage">
    <vt:lpwstr>en</vt:lpwstr>
  </property>
  <property fmtid="{D5CDD505-2E9C-101B-9397-08002B2CF9AE}" pid="52" name="EMEADocRefFull">
    <vt:lpwstr>EMEA/18389/02/en</vt:lpwstr>
  </property>
  <property fmtid="{D5CDD505-2E9C-101B-9397-08002B2CF9AE}" pid="53" name="EMEADocRefNum">
    <vt:lpwstr>18389</vt:lpwstr>
  </property>
  <property fmtid="{D5CDD505-2E9C-101B-9397-08002B2CF9AE}" pid="54" name="EMEADocRefPart0">
    <vt:lpwstr>EMEA</vt:lpwstr>
  </property>
  <property fmtid="{D5CDD505-2E9C-101B-9397-08002B2CF9AE}" pid="55" name="EMEADocRefPart1">
    <vt:lpwstr/>
  </property>
  <property fmtid="{D5CDD505-2E9C-101B-9397-08002B2CF9AE}" pid="56" name="EMEADocRefPart2">
    <vt:lpwstr/>
  </property>
  <property fmtid="{D5CDD505-2E9C-101B-9397-08002B2CF9AE}" pid="57" name="EMEADocRefPart3">
    <vt:lpwstr/>
  </property>
  <property fmtid="{D5CDD505-2E9C-101B-9397-08002B2CF9AE}" pid="58" name="EMEADocRefPartFreeText">
    <vt:lpwstr/>
  </property>
  <property fmtid="{D5CDD505-2E9C-101B-9397-08002B2CF9AE}" pid="59" name="EMEADocRefRoot">
    <vt:lpwstr>EMEA/18389/02</vt:lpwstr>
  </property>
  <property fmtid="{D5CDD505-2E9C-101B-9397-08002B2CF9AE}" pid="60" name="EMEADocRefYear">
    <vt:lpwstr>02</vt:lpwstr>
  </property>
  <property fmtid="{D5CDD505-2E9C-101B-9397-08002B2CF9AE}" pid="61" name="EMEADocStatus">
    <vt:lpwstr/>
  </property>
  <property fmtid="{D5CDD505-2E9C-101B-9397-08002B2CF9AE}" pid="62" name="EMEADocTitle">
    <vt:lpwstr> SPC veterinary template</vt:lpwstr>
  </property>
  <property fmtid="{D5CDD505-2E9C-101B-9397-08002B2CF9AE}" pid="63" name="EMEADocTypeCode">
    <vt:lpwstr>tran</vt:lpwstr>
  </property>
  <property fmtid="{D5CDD505-2E9C-101B-9397-08002B2CF9AE}" pid="64" name="EMEADocVersion">
    <vt:lpwstr/>
  </property>
</Properties>
</file>