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09D13D" w14:textId="13B35EC1" w:rsidR="00854DBF" w:rsidRPr="00F01861" w:rsidRDefault="00A37FA8" w:rsidP="00F01861">
      <w:pPr>
        <w:spacing w:after="120"/>
        <w:rPr>
          <w:b/>
          <w:sz w:val="28"/>
          <w:szCs w:val="28"/>
        </w:rPr>
      </w:pPr>
      <w:r w:rsidRPr="00F01861">
        <w:rPr>
          <w:b/>
          <w:sz w:val="28"/>
          <w:szCs w:val="28"/>
        </w:rPr>
        <w:t>J</w:t>
      </w:r>
      <w:r w:rsidR="00B055E9">
        <w:rPr>
          <w:b/>
          <w:sz w:val="28"/>
          <w:szCs w:val="28"/>
        </w:rPr>
        <w:t>O</w:t>
      </w:r>
      <w:r w:rsidRPr="00F01861">
        <w:rPr>
          <w:b/>
          <w:sz w:val="28"/>
          <w:szCs w:val="28"/>
        </w:rPr>
        <w:t>D A JEHO ZAŘAZENÍ DO JEDNOLIVÝCH KATEGORIÍ</w:t>
      </w:r>
      <w:r w:rsidR="00C937D0" w:rsidRPr="00F01861">
        <w:rPr>
          <w:b/>
          <w:sz w:val="28"/>
          <w:szCs w:val="28"/>
        </w:rPr>
        <w:t xml:space="preserve"> DLE PLATNÝCH PRÁVNÍCH PŘEDPISŮ</w:t>
      </w:r>
    </w:p>
    <w:sdt>
      <w:sdtPr>
        <w:rPr>
          <w:rFonts w:ascii="Calibri" w:eastAsia="Calibri" w:hAnsi="Calibri" w:cs="Times New Roman"/>
          <w:b w:val="0"/>
          <w:bCs w:val="0"/>
          <w:color w:val="auto"/>
          <w:sz w:val="22"/>
          <w:szCs w:val="22"/>
          <w:lang w:eastAsia="en-US"/>
        </w:rPr>
        <w:id w:val="-102119960"/>
        <w:docPartObj>
          <w:docPartGallery w:val="Table of Contents"/>
          <w:docPartUnique/>
        </w:docPartObj>
      </w:sdtPr>
      <w:sdtEndPr/>
      <w:sdtContent>
        <w:p w14:paraId="2BAD1868" w14:textId="77777777" w:rsidR="00700B0F" w:rsidRPr="00F01861" w:rsidRDefault="00700B0F" w:rsidP="00F01861">
          <w:pPr>
            <w:pStyle w:val="Nadpisobsahu"/>
            <w:spacing w:before="0" w:after="120"/>
            <w:rPr>
              <w:rFonts w:asciiTheme="minorHAnsi" w:hAnsiTheme="minorHAnsi"/>
            </w:rPr>
          </w:pPr>
          <w:r w:rsidRPr="00F01861">
            <w:rPr>
              <w:rFonts w:asciiTheme="minorHAnsi" w:hAnsiTheme="minorHAnsi"/>
            </w:rPr>
            <w:t>Obsah</w:t>
          </w:r>
        </w:p>
        <w:p w14:paraId="2A8E2260" w14:textId="596DDB06" w:rsidR="00700B0F" w:rsidRPr="00F01861" w:rsidRDefault="00700B0F" w:rsidP="00F01861">
          <w:pPr>
            <w:pStyle w:val="Obsah1"/>
            <w:tabs>
              <w:tab w:val="right" w:leader="dot" w:pos="9062"/>
            </w:tabs>
            <w:spacing w:before="0" w:after="120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cs-CZ"/>
            </w:rPr>
          </w:pPr>
          <w:r w:rsidRPr="00F01861">
            <w:rPr>
              <w:rFonts w:asciiTheme="minorHAnsi" w:hAnsiTheme="minorHAnsi"/>
              <w:sz w:val="22"/>
              <w:szCs w:val="22"/>
            </w:rPr>
            <w:fldChar w:fldCharType="begin"/>
          </w:r>
          <w:r w:rsidRPr="00F01861">
            <w:rPr>
              <w:rFonts w:asciiTheme="minorHAnsi" w:hAnsiTheme="minorHAnsi"/>
              <w:sz w:val="22"/>
              <w:szCs w:val="22"/>
            </w:rPr>
            <w:instrText xml:space="preserve"> TOC \o "1-3" \h \z \u </w:instrText>
          </w:r>
          <w:r w:rsidRPr="00F01861">
            <w:rPr>
              <w:rFonts w:asciiTheme="minorHAnsi" w:hAnsiTheme="minorHAnsi"/>
              <w:sz w:val="22"/>
              <w:szCs w:val="22"/>
            </w:rPr>
            <w:fldChar w:fldCharType="separate"/>
          </w:r>
          <w:hyperlink w:anchor="_Toc427317864" w:history="1">
            <w:r w:rsidRPr="00F01861">
              <w:rPr>
                <w:rStyle w:val="Hypertextovodkaz"/>
                <w:rFonts w:asciiTheme="minorHAnsi" w:hAnsiTheme="minorHAnsi"/>
                <w:noProof/>
                <w:sz w:val="22"/>
                <w:szCs w:val="22"/>
              </w:rPr>
              <w:t>ÚVOD</w:t>
            </w:r>
            <w:r w:rsidRPr="00F01861">
              <w:rPr>
                <w:rFonts w:asciiTheme="minorHAnsi" w:hAnsiTheme="minorHAnsi"/>
                <w:noProof/>
                <w:webHidden/>
                <w:sz w:val="22"/>
                <w:szCs w:val="22"/>
              </w:rPr>
              <w:tab/>
            </w:r>
            <w:r w:rsidRPr="00F01861">
              <w:rPr>
                <w:rFonts w:asciiTheme="minorHAnsi" w:hAnsiTheme="minorHAnsi"/>
                <w:noProof/>
                <w:webHidden/>
                <w:sz w:val="22"/>
                <w:szCs w:val="22"/>
              </w:rPr>
              <w:fldChar w:fldCharType="begin"/>
            </w:r>
            <w:r w:rsidRPr="00F01861">
              <w:rPr>
                <w:rFonts w:asciiTheme="minorHAnsi" w:hAnsiTheme="minorHAnsi"/>
                <w:noProof/>
                <w:webHidden/>
                <w:sz w:val="22"/>
                <w:szCs w:val="22"/>
              </w:rPr>
              <w:instrText xml:space="preserve"> PAGEREF _Toc427317864 \h </w:instrText>
            </w:r>
            <w:r w:rsidRPr="00F01861">
              <w:rPr>
                <w:rFonts w:asciiTheme="minorHAnsi" w:hAnsiTheme="minorHAnsi"/>
                <w:noProof/>
                <w:webHidden/>
                <w:sz w:val="22"/>
                <w:szCs w:val="22"/>
              </w:rPr>
            </w:r>
            <w:r w:rsidRPr="00F01861">
              <w:rPr>
                <w:rFonts w:asciiTheme="minorHAnsi" w:hAnsiTheme="minorHAnsi"/>
                <w:noProof/>
                <w:webHidden/>
                <w:sz w:val="22"/>
                <w:szCs w:val="22"/>
              </w:rPr>
              <w:fldChar w:fldCharType="separate"/>
            </w:r>
            <w:r w:rsidR="00042A76">
              <w:rPr>
                <w:rFonts w:asciiTheme="minorHAnsi" w:hAnsiTheme="minorHAnsi"/>
                <w:noProof/>
                <w:webHidden/>
                <w:sz w:val="22"/>
                <w:szCs w:val="22"/>
              </w:rPr>
              <w:t>2</w:t>
            </w:r>
            <w:r w:rsidRPr="00F01861">
              <w:rPr>
                <w:rFonts w:asciiTheme="minorHAnsi" w:hAnsi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29C9997D" w14:textId="45B77056" w:rsidR="00700B0F" w:rsidRPr="00F01861" w:rsidRDefault="00AF1FE6" w:rsidP="00F01861">
          <w:pPr>
            <w:pStyle w:val="Obsah1"/>
            <w:tabs>
              <w:tab w:val="right" w:leader="dot" w:pos="9062"/>
            </w:tabs>
            <w:spacing w:before="0" w:after="120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cs-CZ"/>
            </w:rPr>
          </w:pPr>
          <w:hyperlink w:anchor="_Toc427317865" w:history="1">
            <w:r w:rsidR="00700B0F" w:rsidRPr="00F01861">
              <w:rPr>
                <w:rStyle w:val="Hypertextovodkaz"/>
                <w:rFonts w:asciiTheme="minorHAnsi" w:hAnsiTheme="minorHAnsi"/>
                <w:noProof/>
                <w:sz w:val="22"/>
                <w:szCs w:val="22"/>
              </w:rPr>
              <w:t>Zařazení do kategorie biocidních přípravků</w:t>
            </w:r>
            <w:r w:rsidR="00700B0F" w:rsidRPr="00F01861">
              <w:rPr>
                <w:rFonts w:asciiTheme="minorHAnsi" w:hAnsiTheme="minorHAnsi"/>
                <w:noProof/>
                <w:webHidden/>
                <w:sz w:val="22"/>
                <w:szCs w:val="22"/>
              </w:rPr>
              <w:tab/>
            </w:r>
            <w:r w:rsidR="00700B0F" w:rsidRPr="00F01861">
              <w:rPr>
                <w:rFonts w:asciiTheme="minorHAnsi" w:hAnsiTheme="minorHAnsi"/>
                <w:noProof/>
                <w:webHidden/>
                <w:sz w:val="22"/>
                <w:szCs w:val="22"/>
              </w:rPr>
              <w:fldChar w:fldCharType="begin"/>
            </w:r>
            <w:r w:rsidR="00700B0F" w:rsidRPr="00F01861">
              <w:rPr>
                <w:rFonts w:asciiTheme="minorHAnsi" w:hAnsiTheme="minorHAnsi"/>
                <w:noProof/>
                <w:webHidden/>
                <w:sz w:val="22"/>
                <w:szCs w:val="22"/>
              </w:rPr>
              <w:instrText xml:space="preserve"> PAGEREF _Toc427317865 \h </w:instrText>
            </w:r>
            <w:r w:rsidR="00700B0F" w:rsidRPr="00F01861">
              <w:rPr>
                <w:rFonts w:asciiTheme="minorHAnsi" w:hAnsiTheme="minorHAnsi"/>
                <w:noProof/>
                <w:webHidden/>
                <w:sz w:val="22"/>
                <w:szCs w:val="22"/>
              </w:rPr>
            </w:r>
            <w:r w:rsidR="00700B0F" w:rsidRPr="00F01861">
              <w:rPr>
                <w:rFonts w:asciiTheme="minorHAnsi" w:hAnsiTheme="minorHAnsi"/>
                <w:noProof/>
                <w:webHidden/>
                <w:sz w:val="22"/>
                <w:szCs w:val="22"/>
              </w:rPr>
              <w:fldChar w:fldCharType="separate"/>
            </w:r>
            <w:r w:rsidR="00042A76">
              <w:rPr>
                <w:rFonts w:asciiTheme="minorHAnsi" w:hAnsiTheme="minorHAnsi"/>
                <w:noProof/>
                <w:webHidden/>
                <w:sz w:val="22"/>
                <w:szCs w:val="22"/>
              </w:rPr>
              <w:t>2</w:t>
            </w:r>
            <w:r w:rsidR="00700B0F" w:rsidRPr="00F01861">
              <w:rPr>
                <w:rFonts w:asciiTheme="minorHAnsi" w:hAnsi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3612175E" w14:textId="4CB493F8" w:rsidR="00700B0F" w:rsidRPr="00F01861" w:rsidRDefault="00AF1FE6" w:rsidP="00F01861">
          <w:pPr>
            <w:pStyle w:val="Obsah1"/>
            <w:tabs>
              <w:tab w:val="right" w:leader="dot" w:pos="9062"/>
            </w:tabs>
            <w:spacing w:before="0" w:after="120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cs-CZ"/>
            </w:rPr>
          </w:pPr>
          <w:hyperlink w:anchor="_Toc427317866" w:history="1">
            <w:r w:rsidR="00700B0F" w:rsidRPr="00F01861">
              <w:rPr>
                <w:rStyle w:val="Hypertextovodkaz"/>
                <w:rFonts w:asciiTheme="minorHAnsi" w:hAnsiTheme="minorHAnsi"/>
                <w:noProof/>
                <w:sz w:val="22"/>
                <w:szCs w:val="22"/>
              </w:rPr>
              <w:t>Zařazení do kategorie veterinárních léčivých přípravků</w:t>
            </w:r>
            <w:r w:rsidR="00700B0F" w:rsidRPr="00F01861">
              <w:rPr>
                <w:rFonts w:asciiTheme="minorHAnsi" w:hAnsiTheme="minorHAnsi"/>
                <w:noProof/>
                <w:webHidden/>
                <w:sz w:val="22"/>
                <w:szCs w:val="22"/>
              </w:rPr>
              <w:tab/>
            </w:r>
            <w:r w:rsidR="00700B0F" w:rsidRPr="00F01861">
              <w:rPr>
                <w:rFonts w:asciiTheme="minorHAnsi" w:hAnsiTheme="minorHAnsi"/>
                <w:noProof/>
                <w:webHidden/>
                <w:sz w:val="22"/>
                <w:szCs w:val="22"/>
              </w:rPr>
              <w:fldChar w:fldCharType="begin"/>
            </w:r>
            <w:r w:rsidR="00700B0F" w:rsidRPr="00F01861">
              <w:rPr>
                <w:rFonts w:asciiTheme="minorHAnsi" w:hAnsiTheme="minorHAnsi"/>
                <w:noProof/>
                <w:webHidden/>
                <w:sz w:val="22"/>
                <w:szCs w:val="22"/>
              </w:rPr>
              <w:instrText xml:space="preserve"> PAGEREF _Toc427317866 \h </w:instrText>
            </w:r>
            <w:r w:rsidR="00700B0F" w:rsidRPr="00F01861">
              <w:rPr>
                <w:rFonts w:asciiTheme="minorHAnsi" w:hAnsiTheme="minorHAnsi"/>
                <w:noProof/>
                <w:webHidden/>
                <w:sz w:val="22"/>
                <w:szCs w:val="22"/>
              </w:rPr>
            </w:r>
            <w:r w:rsidR="00700B0F" w:rsidRPr="00F01861">
              <w:rPr>
                <w:rFonts w:asciiTheme="minorHAnsi" w:hAnsiTheme="minorHAnsi"/>
                <w:noProof/>
                <w:webHidden/>
                <w:sz w:val="22"/>
                <w:szCs w:val="22"/>
              </w:rPr>
              <w:fldChar w:fldCharType="separate"/>
            </w:r>
            <w:r w:rsidR="00042A76">
              <w:rPr>
                <w:rFonts w:asciiTheme="minorHAnsi" w:hAnsiTheme="minorHAnsi"/>
                <w:noProof/>
                <w:webHidden/>
                <w:sz w:val="22"/>
                <w:szCs w:val="22"/>
              </w:rPr>
              <w:t>2</w:t>
            </w:r>
            <w:r w:rsidR="00700B0F" w:rsidRPr="00F01861">
              <w:rPr>
                <w:rFonts w:asciiTheme="minorHAnsi" w:hAnsi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6F174B82" w14:textId="4F7C0385" w:rsidR="00700B0F" w:rsidRPr="00F01861" w:rsidRDefault="00AF1FE6" w:rsidP="00F01861">
          <w:pPr>
            <w:pStyle w:val="Obsah1"/>
            <w:tabs>
              <w:tab w:val="right" w:leader="dot" w:pos="9062"/>
            </w:tabs>
            <w:spacing w:before="0" w:after="120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cs-CZ"/>
            </w:rPr>
          </w:pPr>
          <w:hyperlink w:anchor="_Toc427317867" w:history="1">
            <w:r w:rsidR="00700B0F" w:rsidRPr="00F01861">
              <w:rPr>
                <w:rStyle w:val="Hypertextovodkaz"/>
                <w:rFonts w:asciiTheme="minorHAnsi" w:hAnsiTheme="minorHAnsi"/>
                <w:noProof/>
                <w:sz w:val="22"/>
                <w:szCs w:val="22"/>
              </w:rPr>
              <w:t>Zařazení do kategorie veterinárních přípravků</w:t>
            </w:r>
            <w:r w:rsidR="00700B0F" w:rsidRPr="00F01861">
              <w:rPr>
                <w:rFonts w:asciiTheme="minorHAnsi" w:hAnsiTheme="minorHAnsi"/>
                <w:noProof/>
                <w:webHidden/>
                <w:sz w:val="22"/>
                <w:szCs w:val="22"/>
              </w:rPr>
              <w:tab/>
            </w:r>
            <w:r w:rsidR="00700B0F" w:rsidRPr="00F01861">
              <w:rPr>
                <w:rFonts w:asciiTheme="minorHAnsi" w:hAnsiTheme="minorHAnsi"/>
                <w:noProof/>
                <w:webHidden/>
                <w:sz w:val="22"/>
                <w:szCs w:val="22"/>
              </w:rPr>
              <w:fldChar w:fldCharType="begin"/>
            </w:r>
            <w:r w:rsidR="00700B0F" w:rsidRPr="00F01861">
              <w:rPr>
                <w:rFonts w:asciiTheme="minorHAnsi" w:hAnsiTheme="minorHAnsi"/>
                <w:noProof/>
                <w:webHidden/>
                <w:sz w:val="22"/>
                <w:szCs w:val="22"/>
              </w:rPr>
              <w:instrText xml:space="preserve"> PAGEREF _Toc427317867 \h </w:instrText>
            </w:r>
            <w:r w:rsidR="00700B0F" w:rsidRPr="00F01861">
              <w:rPr>
                <w:rFonts w:asciiTheme="minorHAnsi" w:hAnsiTheme="minorHAnsi"/>
                <w:noProof/>
                <w:webHidden/>
                <w:sz w:val="22"/>
                <w:szCs w:val="22"/>
              </w:rPr>
            </w:r>
            <w:r w:rsidR="00700B0F" w:rsidRPr="00F01861">
              <w:rPr>
                <w:rFonts w:asciiTheme="minorHAnsi" w:hAnsiTheme="minorHAnsi"/>
                <w:noProof/>
                <w:webHidden/>
                <w:sz w:val="22"/>
                <w:szCs w:val="22"/>
              </w:rPr>
              <w:fldChar w:fldCharType="separate"/>
            </w:r>
            <w:r w:rsidR="00042A76">
              <w:rPr>
                <w:rFonts w:asciiTheme="minorHAnsi" w:hAnsiTheme="minorHAnsi"/>
                <w:noProof/>
                <w:webHidden/>
                <w:sz w:val="22"/>
                <w:szCs w:val="22"/>
              </w:rPr>
              <w:t>3</w:t>
            </w:r>
            <w:r w:rsidR="00700B0F" w:rsidRPr="00F01861">
              <w:rPr>
                <w:rFonts w:asciiTheme="minorHAnsi" w:hAnsi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6BB8BCAD" w14:textId="01F0043F" w:rsidR="00700B0F" w:rsidRPr="00F01861" w:rsidRDefault="00AF1FE6" w:rsidP="00F01861">
          <w:pPr>
            <w:pStyle w:val="Obsah2"/>
            <w:tabs>
              <w:tab w:val="left" w:pos="440"/>
              <w:tab w:val="right" w:leader="dot" w:pos="9062"/>
            </w:tabs>
            <w:spacing w:before="0" w:after="120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eastAsia="cs-CZ"/>
            </w:rPr>
          </w:pPr>
          <w:hyperlink w:anchor="_Toc427317868" w:history="1">
            <w:r w:rsidR="00700B0F" w:rsidRPr="00F01861">
              <w:rPr>
                <w:rStyle w:val="Hypertextovodkaz"/>
                <w:rFonts w:asciiTheme="minorHAnsi" w:hAnsiTheme="minorHAnsi"/>
                <w:noProof/>
                <w:sz w:val="22"/>
                <w:szCs w:val="22"/>
              </w:rPr>
              <w:t>I.</w:t>
            </w:r>
            <w:r w:rsidR="00700B0F" w:rsidRPr="00F01861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  <w:lang w:eastAsia="cs-CZ"/>
              </w:rPr>
              <w:tab/>
            </w:r>
            <w:r w:rsidR="00700B0F" w:rsidRPr="00F01861">
              <w:rPr>
                <w:rStyle w:val="Hypertextovodkaz"/>
                <w:rFonts w:asciiTheme="minorHAnsi" w:hAnsiTheme="minorHAnsi"/>
                <w:noProof/>
                <w:sz w:val="22"/>
                <w:szCs w:val="22"/>
              </w:rPr>
              <w:t>Bezpečnost přípravku z pohledu reziduí potravinových zvířat  (zaměřeno na přípravky k ošetření mléčné žlázy)</w:t>
            </w:r>
            <w:r w:rsidR="00700B0F" w:rsidRPr="00F01861">
              <w:rPr>
                <w:rFonts w:asciiTheme="minorHAnsi" w:hAnsiTheme="minorHAnsi"/>
                <w:noProof/>
                <w:webHidden/>
                <w:sz w:val="22"/>
                <w:szCs w:val="22"/>
              </w:rPr>
              <w:tab/>
            </w:r>
            <w:r w:rsidR="00700B0F" w:rsidRPr="00F01861">
              <w:rPr>
                <w:rFonts w:asciiTheme="minorHAnsi" w:hAnsiTheme="minorHAnsi"/>
                <w:noProof/>
                <w:webHidden/>
                <w:sz w:val="22"/>
                <w:szCs w:val="22"/>
              </w:rPr>
              <w:fldChar w:fldCharType="begin"/>
            </w:r>
            <w:r w:rsidR="00700B0F" w:rsidRPr="00F01861">
              <w:rPr>
                <w:rFonts w:asciiTheme="minorHAnsi" w:hAnsiTheme="minorHAnsi"/>
                <w:noProof/>
                <w:webHidden/>
                <w:sz w:val="22"/>
                <w:szCs w:val="22"/>
              </w:rPr>
              <w:instrText xml:space="preserve"> PAGEREF _Toc427317868 \h </w:instrText>
            </w:r>
            <w:r w:rsidR="00700B0F" w:rsidRPr="00F01861">
              <w:rPr>
                <w:rFonts w:asciiTheme="minorHAnsi" w:hAnsiTheme="minorHAnsi"/>
                <w:noProof/>
                <w:webHidden/>
                <w:sz w:val="22"/>
                <w:szCs w:val="22"/>
              </w:rPr>
            </w:r>
            <w:r w:rsidR="00700B0F" w:rsidRPr="00F01861">
              <w:rPr>
                <w:rFonts w:asciiTheme="minorHAnsi" w:hAnsiTheme="minorHAnsi"/>
                <w:noProof/>
                <w:webHidden/>
                <w:sz w:val="22"/>
                <w:szCs w:val="22"/>
              </w:rPr>
              <w:fldChar w:fldCharType="separate"/>
            </w:r>
            <w:r w:rsidR="00042A76">
              <w:rPr>
                <w:rFonts w:asciiTheme="minorHAnsi" w:hAnsiTheme="minorHAnsi"/>
                <w:noProof/>
                <w:webHidden/>
                <w:sz w:val="22"/>
                <w:szCs w:val="22"/>
              </w:rPr>
              <w:t>4</w:t>
            </w:r>
            <w:r w:rsidR="00700B0F" w:rsidRPr="00F01861">
              <w:rPr>
                <w:rFonts w:asciiTheme="minorHAnsi" w:hAnsi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292B1BD4" w14:textId="18E8DDB1" w:rsidR="00700B0F" w:rsidRPr="00F01861" w:rsidRDefault="00AF1FE6" w:rsidP="00F01861">
          <w:pPr>
            <w:pStyle w:val="Obsah2"/>
            <w:tabs>
              <w:tab w:val="left" w:pos="440"/>
              <w:tab w:val="right" w:leader="dot" w:pos="9062"/>
            </w:tabs>
            <w:spacing w:before="0" w:after="120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eastAsia="cs-CZ"/>
            </w:rPr>
          </w:pPr>
          <w:hyperlink w:anchor="_Toc427317876" w:history="1">
            <w:r w:rsidR="00700B0F" w:rsidRPr="00F01861">
              <w:rPr>
                <w:rStyle w:val="Hypertextovodkaz"/>
                <w:rFonts w:asciiTheme="minorHAnsi" w:hAnsiTheme="minorHAnsi"/>
                <w:noProof/>
                <w:sz w:val="22"/>
                <w:szCs w:val="22"/>
              </w:rPr>
              <w:t>II.</w:t>
            </w:r>
            <w:r w:rsidR="00700B0F" w:rsidRPr="00F01861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  <w:lang w:eastAsia="cs-CZ"/>
              </w:rPr>
              <w:tab/>
            </w:r>
            <w:r w:rsidR="00700B0F" w:rsidRPr="00F01861">
              <w:rPr>
                <w:rStyle w:val="Hypertextovodkaz"/>
                <w:rFonts w:asciiTheme="minorHAnsi" w:hAnsiTheme="minorHAnsi"/>
                <w:noProof/>
                <w:sz w:val="22"/>
                <w:szCs w:val="22"/>
              </w:rPr>
              <w:t>Přípravek z pohledu účinnosti a rezistence</w:t>
            </w:r>
            <w:r w:rsidR="00700B0F" w:rsidRPr="00F01861">
              <w:rPr>
                <w:rFonts w:asciiTheme="minorHAnsi" w:hAnsiTheme="minorHAnsi"/>
                <w:noProof/>
                <w:webHidden/>
                <w:sz w:val="22"/>
                <w:szCs w:val="22"/>
              </w:rPr>
              <w:tab/>
            </w:r>
            <w:r w:rsidR="00700B0F" w:rsidRPr="00F01861">
              <w:rPr>
                <w:rFonts w:asciiTheme="minorHAnsi" w:hAnsiTheme="minorHAnsi"/>
                <w:noProof/>
                <w:webHidden/>
                <w:sz w:val="22"/>
                <w:szCs w:val="22"/>
              </w:rPr>
              <w:fldChar w:fldCharType="begin"/>
            </w:r>
            <w:r w:rsidR="00700B0F" w:rsidRPr="00F01861">
              <w:rPr>
                <w:rFonts w:asciiTheme="minorHAnsi" w:hAnsiTheme="minorHAnsi"/>
                <w:noProof/>
                <w:webHidden/>
                <w:sz w:val="22"/>
                <w:szCs w:val="22"/>
              </w:rPr>
              <w:instrText xml:space="preserve"> PAGEREF _Toc427317876 \h </w:instrText>
            </w:r>
            <w:r w:rsidR="00700B0F" w:rsidRPr="00F01861">
              <w:rPr>
                <w:rFonts w:asciiTheme="minorHAnsi" w:hAnsiTheme="minorHAnsi"/>
                <w:noProof/>
                <w:webHidden/>
                <w:sz w:val="22"/>
                <w:szCs w:val="22"/>
              </w:rPr>
            </w:r>
            <w:r w:rsidR="00700B0F" w:rsidRPr="00F01861">
              <w:rPr>
                <w:rFonts w:asciiTheme="minorHAnsi" w:hAnsiTheme="minorHAnsi"/>
                <w:noProof/>
                <w:webHidden/>
                <w:sz w:val="22"/>
                <w:szCs w:val="22"/>
              </w:rPr>
              <w:fldChar w:fldCharType="separate"/>
            </w:r>
            <w:r w:rsidR="00042A76">
              <w:rPr>
                <w:rFonts w:asciiTheme="minorHAnsi" w:hAnsiTheme="minorHAnsi"/>
                <w:noProof/>
                <w:webHidden/>
                <w:sz w:val="22"/>
                <w:szCs w:val="22"/>
              </w:rPr>
              <w:t>5</w:t>
            </w:r>
            <w:r w:rsidR="00700B0F" w:rsidRPr="00F01861">
              <w:rPr>
                <w:rFonts w:asciiTheme="minorHAnsi" w:hAnsi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75D76BE7" w14:textId="17F854A1" w:rsidR="00700B0F" w:rsidRPr="00F01861" w:rsidRDefault="00AF1FE6" w:rsidP="00F01861">
          <w:pPr>
            <w:pStyle w:val="Obsah1"/>
            <w:tabs>
              <w:tab w:val="right" w:leader="dot" w:pos="9062"/>
            </w:tabs>
            <w:spacing w:before="0" w:after="120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cs-CZ"/>
            </w:rPr>
          </w:pPr>
          <w:hyperlink w:anchor="_Toc427317877" w:history="1">
            <w:r w:rsidR="00700B0F" w:rsidRPr="00F01861">
              <w:rPr>
                <w:rStyle w:val="Hypertextovodkaz"/>
                <w:rFonts w:asciiTheme="minorHAnsi" w:hAnsiTheme="minorHAnsi"/>
                <w:noProof/>
                <w:sz w:val="22"/>
                <w:szCs w:val="22"/>
              </w:rPr>
              <w:t>Podmínky pro zařazení přípravku s obsahem jódu do veterinárních kosmetických přípravků</w:t>
            </w:r>
            <w:r w:rsidR="00700B0F" w:rsidRPr="00F01861">
              <w:rPr>
                <w:rFonts w:asciiTheme="minorHAnsi" w:hAnsiTheme="minorHAnsi"/>
                <w:noProof/>
                <w:webHidden/>
                <w:sz w:val="22"/>
                <w:szCs w:val="22"/>
              </w:rPr>
              <w:tab/>
            </w:r>
            <w:r w:rsidR="00700B0F" w:rsidRPr="00F01861">
              <w:rPr>
                <w:rFonts w:asciiTheme="minorHAnsi" w:hAnsiTheme="minorHAnsi"/>
                <w:noProof/>
                <w:webHidden/>
                <w:sz w:val="22"/>
                <w:szCs w:val="22"/>
              </w:rPr>
              <w:fldChar w:fldCharType="begin"/>
            </w:r>
            <w:r w:rsidR="00700B0F" w:rsidRPr="00F01861">
              <w:rPr>
                <w:rFonts w:asciiTheme="minorHAnsi" w:hAnsiTheme="minorHAnsi"/>
                <w:noProof/>
                <w:webHidden/>
                <w:sz w:val="22"/>
                <w:szCs w:val="22"/>
              </w:rPr>
              <w:instrText xml:space="preserve"> PAGEREF _Toc427317877 \h </w:instrText>
            </w:r>
            <w:r w:rsidR="00700B0F" w:rsidRPr="00F01861">
              <w:rPr>
                <w:rFonts w:asciiTheme="minorHAnsi" w:hAnsiTheme="minorHAnsi"/>
                <w:noProof/>
                <w:webHidden/>
                <w:sz w:val="22"/>
                <w:szCs w:val="22"/>
              </w:rPr>
            </w:r>
            <w:r w:rsidR="00700B0F" w:rsidRPr="00F01861">
              <w:rPr>
                <w:rFonts w:asciiTheme="minorHAnsi" w:hAnsiTheme="minorHAnsi"/>
                <w:noProof/>
                <w:webHidden/>
                <w:sz w:val="22"/>
                <w:szCs w:val="22"/>
              </w:rPr>
              <w:fldChar w:fldCharType="separate"/>
            </w:r>
            <w:r w:rsidR="00042A76">
              <w:rPr>
                <w:rFonts w:asciiTheme="minorHAnsi" w:hAnsiTheme="minorHAnsi"/>
                <w:noProof/>
                <w:webHidden/>
                <w:sz w:val="22"/>
                <w:szCs w:val="22"/>
              </w:rPr>
              <w:t>6</w:t>
            </w:r>
            <w:r w:rsidR="00700B0F" w:rsidRPr="00F01861">
              <w:rPr>
                <w:rFonts w:asciiTheme="minorHAnsi" w:hAnsi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64537F97" w14:textId="49107471" w:rsidR="00700B0F" w:rsidRPr="00F01861" w:rsidRDefault="00700B0F" w:rsidP="00F01861">
          <w:pPr>
            <w:spacing w:after="120"/>
          </w:pPr>
          <w:r w:rsidRPr="00F01861">
            <w:rPr>
              <w:rFonts w:asciiTheme="minorHAnsi" w:hAnsiTheme="minorHAnsi"/>
              <w:b/>
              <w:bCs/>
            </w:rPr>
            <w:fldChar w:fldCharType="end"/>
          </w:r>
        </w:p>
      </w:sdtContent>
    </w:sdt>
    <w:p w14:paraId="7252BBAA" w14:textId="77777777" w:rsidR="00A37FA8" w:rsidRPr="00F01861" w:rsidRDefault="00A37FA8" w:rsidP="00F01861">
      <w:pPr>
        <w:spacing w:after="120"/>
      </w:pPr>
      <w:r w:rsidRPr="00F01861">
        <w:br w:type="page"/>
      </w:r>
    </w:p>
    <w:p w14:paraId="6AF6539A" w14:textId="77777777" w:rsidR="00843F6C" w:rsidRPr="00F01861" w:rsidRDefault="00843F6C" w:rsidP="00F01861">
      <w:pPr>
        <w:spacing w:after="120"/>
      </w:pPr>
    </w:p>
    <w:p w14:paraId="06F23C0D" w14:textId="77777777" w:rsidR="00843F6C" w:rsidRPr="00F01861" w:rsidRDefault="00843F6C" w:rsidP="00F01861">
      <w:pPr>
        <w:spacing w:after="120"/>
      </w:pPr>
    </w:p>
    <w:p w14:paraId="15F67101" w14:textId="77777777" w:rsidR="00A37FA8" w:rsidRPr="00F01861" w:rsidRDefault="00A37FA8" w:rsidP="00F01861">
      <w:pPr>
        <w:pStyle w:val="Nadpis1"/>
        <w:spacing w:before="0" w:after="120"/>
      </w:pPr>
      <w:bookmarkStart w:id="0" w:name="_Toc427317864"/>
      <w:r w:rsidRPr="00F01861">
        <w:t>ÚVOD</w:t>
      </w:r>
      <w:bookmarkEnd w:id="0"/>
    </w:p>
    <w:p w14:paraId="2A59E245" w14:textId="1A7AE5EA" w:rsidR="00C5031A" w:rsidRPr="00F01861" w:rsidRDefault="00A37FA8" w:rsidP="00F01861">
      <w:pPr>
        <w:spacing w:after="120"/>
      </w:pPr>
      <w:r w:rsidRPr="00F01861">
        <w:tab/>
        <w:t xml:space="preserve">Z důvodu opakujících se dotazů a požadavků o zařazení produktů obsahující jód v závislosti na množství </w:t>
      </w:r>
      <w:r w:rsidR="003E5498" w:rsidRPr="00F01861">
        <w:t>uvolnitelného</w:t>
      </w:r>
      <w:r w:rsidR="00C5031A" w:rsidRPr="00F01861">
        <w:t xml:space="preserve"> jódu v přípravku a účelu použití přípravku, ÚSKVBL přistoupil k podrobnějšímu popisu jednotlivých případů a z nich vyplývající</w:t>
      </w:r>
      <w:r w:rsidR="000A40CF" w:rsidRPr="00F01861">
        <w:t>ch</w:t>
      </w:r>
      <w:r w:rsidR="00C5031A" w:rsidRPr="00F01861">
        <w:t xml:space="preserve"> kategorizací.</w:t>
      </w:r>
    </w:p>
    <w:p w14:paraId="554A3FAA" w14:textId="77777777" w:rsidR="00C5031A" w:rsidRPr="00F01861" w:rsidRDefault="00C5031A" w:rsidP="00F01861">
      <w:pPr>
        <w:spacing w:after="120"/>
      </w:pPr>
    </w:p>
    <w:p w14:paraId="1C794B5B" w14:textId="77777777" w:rsidR="00C5031A" w:rsidRPr="00F01861" w:rsidRDefault="00A37FA8" w:rsidP="00F01861">
      <w:pPr>
        <w:pStyle w:val="Nadpis1"/>
        <w:spacing w:before="0" w:after="120"/>
      </w:pPr>
      <w:r w:rsidRPr="00F01861">
        <w:t xml:space="preserve"> </w:t>
      </w:r>
      <w:bookmarkStart w:id="1" w:name="_Toc427317865"/>
      <w:r w:rsidR="00C5031A" w:rsidRPr="00F01861">
        <w:t>Zařazení do kategorie biocidních přípravků</w:t>
      </w:r>
      <w:bookmarkEnd w:id="1"/>
    </w:p>
    <w:p w14:paraId="744C996E" w14:textId="27E2DDE6" w:rsidR="00A37FA8" w:rsidRPr="00F01861" w:rsidRDefault="00617A48" w:rsidP="00F01861">
      <w:pPr>
        <w:spacing w:after="120"/>
        <w:jc w:val="both"/>
        <w:rPr>
          <w:rFonts w:asciiTheme="minorHAnsi" w:hAnsiTheme="minorHAnsi"/>
        </w:rPr>
      </w:pPr>
      <w:r w:rsidRPr="00F01861">
        <w:tab/>
      </w:r>
      <w:r w:rsidRPr="00F01861">
        <w:rPr>
          <w:rFonts w:asciiTheme="minorHAnsi" w:hAnsiTheme="minorHAnsi"/>
        </w:rPr>
        <w:t>V současné době</w:t>
      </w:r>
      <w:r w:rsidR="003E5498" w:rsidRPr="00F01861">
        <w:rPr>
          <w:rFonts w:asciiTheme="minorHAnsi" w:hAnsiTheme="minorHAnsi"/>
        </w:rPr>
        <w:t xml:space="preserve"> </w:t>
      </w:r>
      <w:r w:rsidR="00ED7608" w:rsidRPr="00F01861">
        <w:rPr>
          <w:rFonts w:asciiTheme="minorHAnsi" w:hAnsiTheme="minorHAnsi"/>
        </w:rPr>
        <w:t>jednou z možností zařazení jodu, včetně komplexu jodu s </w:t>
      </w:r>
      <w:proofErr w:type="spellStart"/>
      <w:r w:rsidR="00ED7608" w:rsidRPr="00F01861">
        <w:rPr>
          <w:rFonts w:asciiTheme="minorHAnsi" w:hAnsiTheme="minorHAnsi"/>
        </w:rPr>
        <w:t>polyvinylpyrrolidonem</w:t>
      </w:r>
      <w:proofErr w:type="spellEnd"/>
      <w:r w:rsidR="00ED7608" w:rsidRPr="00F01861">
        <w:rPr>
          <w:rFonts w:asciiTheme="minorHAnsi" w:hAnsiTheme="minorHAnsi"/>
        </w:rPr>
        <w:t xml:space="preserve"> je zařazení do kategorie biocidních přípravků</w:t>
      </w:r>
      <w:r w:rsidR="009E6C04" w:rsidRPr="00F01861">
        <w:rPr>
          <w:rFonts w:asciiTheme="minorHAnsi" w:hAnsiTheme="minorHAnsi"/>
        </w:rPr>
        <w:t xml:space="preserve">. </w:t>
      </w:r>
    </w:p>
    <w:p w14:paraId="39A6F3B8" w14:textId="206F5375" w:rsidR="009E6C04" w:rsidRPr="00F01861" w:rsidRDefault="009E6C04" w:rsidP="00F01861">
      <w:pPr>
        <w:pStyle w:val="CM1"/>
        <w:spacing w:after="120"/>
        <w:jc w:val="both"/>
        <w:rPr>
          <w:rFonts w:ascii="Calibri" w:hAnsi="Calibri" w:cs="EUAlbertina"/>
          <w:color w:val="000000"/>
          <w:sz w:val="22"/>
          <w:szCs w:val="22"/>
        </w:rPr>
      </w:pPr>
      <w:r w:rsidRPr="00F01861">
        <w:rPr>
          <w:rFonts w:ascii="Calibri" w:hAnsi="Calibri" w:cs="EUAlbertina"/>
          <w:color w:val="000000"/>
          <w:sz w:val="22"/>
          <w:szCs w:val="22"/>
        </w:rPr>
        <w:t xml:space="preserve">Jod, včetně komplexu jodu s </w:t>
      </w:r>
      <w:proofErr w:type="spellStart"/>
      <w:r w:rsidRPr="00F01861">
        <w:rPr>
          <w:rFonts w:ascii="Calibri" w:hAnsi="Calibri" w:cs="EUAlbertina"/>
          <w:color w:val="000000"/>
          <w:sz w:val="22"/>
          <w:szCs w:val="22"/>
        </w:rPr>
        <w:t>polyvinylpyrrolidonem</w:t>
      </w:r>
      <w:proofErr w:type="spellEnd"/>
      <w:r w:rsidRPr="00F01861">
        <w:rPr>
          <w:rFonts w:ascii="Calibri" w:hAnsi="Calibri" w:cs="EUAlbertina"/>
          <w:color w:val="000000"/>
          <w:sz w:val="22"/>
          <w:szCs w:val="22"/>
        </w:rPr>
        <w:t xml:space="preserve">, </w:t>
      </w:r>
      <w:r w:rsidR="00935165" w:rsidRPr="00F01861">
        <w:rPr>
          <w:rFonts w:ascii="Calibri" w:hAnsi="Calibri" w:cs="EUAlbertina"/>
          <w:color w:val="000000"/>
          <w:sz w:val="22"/>
          <w:szCs w:val="22"/>
        </w:rPr>
        <w:t>byl</w:t>
      </w:r>
      <w:r w:rsidRPr="00F01861">
        <w:rPr>
          <w:rFonts w:ascii="Calibri" w:hAnsi="Calibri" w:cs="EUAlbertina"/>
          <w:color w:val="000000"/>
          <w:sz w:val="22"/>
          <w:szCs w:val="22"/>
        </w:rPr>
        <w:t xml:space="preserve"> schválen </w:t>
      </w:r>
      <w:r w:rsidR="00042A76">
        <w:rPr>
          <w:rFonts w:ascii="Calibri" w:hAnsi="Calibri" w:cs="EUAlbertina"/>
          <w:color w:val="000000"/>
          <w:sz w:val="22"/>
          <w:szCs w:val="22"/>
        </w:rPr>
        <w:t>P</w:t>
      </w:r>
      <w:r w:rsidRPr="00F01861">
        <w:rPr>
          <w:rFonts w:ascii="Calibri" w:hAnsi="Calibri" w:cs="EUAlbertina"/>
          <w:color w:val="000000"/>
          <w:sz w:val="22"/>
          <w:szCs w:val="22"/>
        </w:rPr>
        <w:t>rováděcím nařízením Komise (EU) č.</w:t>
      </w:r>
      <w:r w:rsidR="00F50586">
        <w:rPr>
          <w:rFonts w:ascii="Calibri" w:hAnsi="Calibri" w:cs="EUAlbertina"/>
          <w:color w:val="000000"/>
          <w:sz w:val="22"/>
          <w:szCs w:val="22"/>
        </w:rPr>
        <w:t xml:space="preserve"> </w:t>
      </w:r>
      <w:r w:rsidRPr="00F01861">
        <w:rPr>
          <w:rFonts w:ascii="Calibri" w:hAnsi="Calibri" w:cs="EUAlbertina"/>
          <w:color w:val="000000"/>
          <w:sz w:val="22"/>
          <w:szCs w:val="22"/>
        </w:rPr>
        <w:t>94/2014 ze dne 31.1.2014, jako účinná látka pro použití v biocidníc</w:t>
      </w:r>
      <w:r w:rsidR="00935165" w:rsidRPr="00F01861">
        <w:rPr>
          <w:rFonts w:ascii="Calibri" w:hAnsi="Calibri" w:cs="EUAlbertina"/>
          <w:color w:val="000000"/>
          <w:sz w:val="22"/>
          <w:szCs w:val="22"/>
        </w:rPr>
        <w:t xml:space="preserve">h přípravcích určených pro typy </w:t>
      </w:r>
      <w:r w:rsidRPr="00F01861">
        <w:rPr>
          <w:rFonts w:ascii="Calibri" w:hAnsi="Calibri" w:cs="EUAlbertina"/>
          <w:color w:val="000000"/>
          <w:sz w:val="22"/>
          <w:szCs w:val="22"/>
        </w:rPr>
        <w:t xml:space="preserve">přípravku 1, 3, 4 a 22, s výhradou požadavků a podmínek stanovených v příloze nařízení. </w:t>
      </w:r>
      <w:r w:rsidR="00935165" w:rsidRPr="00F01861">
        <w:rPr>
          <w:rFonts w:ascii="Calibri" w:hAnsi="Calibri" w:cs="EUAlbertina"/>
          <w:color w:val="000000"/>
          <w:sz w:val="22"/>
          <w:szCs w:val="22"/>
        </w:rPr>
        <w:t xml:space="preserve"> Při vlastním hodnocení přípravku s touto účinnou látkou se musí věnovat pozornost zejména expozici, rizikům a účinnosti spojené s jakýmkoli použitím, na které se vztahuje žádost o povolení, ale pro které neplatí hodnocení rizik účinné látky na úrovni Unie.</w:t>
      </w:r>
    </w:p>
    <w:p w14:paraId="54E09CE7" w14:textId="1442387A" w:rsidR="009E6C04" w:rsidRPr="00F01861" w:rsidRDefault="009E6C04" w:rsidP="00F01861">
      <w:pPr>
        <w:spacing w:after="120"/>
        <w:jc w:val="both"/>
        <w:rPr>
          <w:rFonts w:asciiTheme="minorHAnsi" w:hAnsiTheme="minorHAnsi"/>
        </w:rPr>
      </w:pPr>
      <w:r w:rsidRPr="00F01861">
        <w:rPr>
          <w:rFonts w:asciiTheme="minorHAnsi" w:hAnsiTheme="minorHAnsi" w:cs="EUAlbertina"/>
          <w:color w:val="000000"/>
        </w:rPr>
        <w:t>Biocidním přípravkem se dle zákona</w:t>
      </w:r>
      <w:r w:rsidR="00F50586">
        <w:rPr>
          <w:rFonts w:asciiTheme="minorHAnsi" w:hAnsiTheme="minorHAnsi" w:cs="EUAlbertina"/>
          <w:color w:val="000000"/>
        </w:rPr>
        <w:t xml:space="preserve"> č.</w:t>
      </w:r>
      <w:r w:rsidRPr="00F01861">
        <w:rPr>
          <w:rFonts w:asciiTheme="minorHAnsi" w:hAnsiTheme="minorHAnsi" w:cs="EUAlbertina"/>
          <w:color w:val="000000"/>
        </w:rPr>
        <w:t xml:space="preserve"> 120/2002 Sb., </w:t>
      </w:r>
      <w:r w:rsidRPr="00F01861">
        <w:rPr>
          <w:rFonts w:asciiTheme="minorHAnsi" w:hAnsiTheme="minorHAnsi"/>
        </w:rPr>
        <w:t xml:space="preserve">o podmínkách uvádění biocidních přípravků a účinných látek na trh a o změně některých souvisejících zákonů, ve znění pozdějších předpisů </w:t>
      </w:r>
      <w:r w:rsidR="002F6B2F" w:rsidRPr="00F01861">
        <w:rPr>
          <w:rFonts w:asciiTheme="minorHAnsi" w:hAnsiTheme="minorHAnsi"/>
        </w:rPr>
        <w:t xml:space="preserve">(dále jen ,,zákon o biocidech“) </w:t>
      </w:r>
      <w:r w:rsidRPr="00F01861">
        <w:rPr>
          <w:rFonts w:asciiTheme="minorHAnsi" w:hAnsiTheme="minorHAnsi"/>
        </w:rPr>
        <w:t>rozumí</w:t>
      </w:r>
      <w:r w:rsidR="002F6B2F" w:rsidRPr="00F01861">
        <w:rPr>
          <w:rFonts w:asciiTheme="minorHAnsi" w:hAnsiTheme="minorHAnsi"/>
        </w:rPr>
        <w:t>:</w:t>
      </w:r>
      <w:r w:rsidRPr="00F01861">
        <w:rPr>
          <w:rFonts w:asciiTheme="minorHAnsi" w:hAnsiTheme="minorHAnsi"/>
        </w:rPr>
        <w:t xml:space="preserve"> účinná látka nebo přípravek obsahující jednu nebo více účinných látek ve formě, v jaké jsou dodávány uživateli, určené k hubení, odpuzování, zneškodňování, zabránění účinku nebo dosažení jiného regulačního účinku na jakýkoliv škodlivý organismus chemickým nebo biologickým způsobem, přičemž účinnou látkou se dle téhož zákona míní chemická látka nebo mikroorganismus, včetně virů a hub, které svým specifickým nebo obecným účinkem působí na škodlivé organismy.</w:t>
      </w:r>
    </w:p>
    <w:p w14:paraId="65DD1583" w14:textId="66BF59DB" w:rsidR="009E6C04" w:rsidRPr="00F01861" w:rsidRDefault="00F01861" w:rsidP="00F01861">
      <w:pPr>
        <w:spacing w:after="120"/>
        <w:jc w:val="both"/>
      </w:pPr>
      <w:r w:rsidRPr="00F01861">
        <w:t xml:space="preserve">V oblasti veterinární hygieny se dle přílohy biocidního zákona jedná konkrétně o biocidní přípravky typ 3 </w:t>
      </w:r>
      <w:proofErr w:type="gramStart"/>
      <w:r w:rsidRPr="00F01861">
        <w:t>-  Přípravky</w:t>
      </w:r>
      <w:proofErr w:type="gramEnd"/>
      <w:r w:rsidRPr="00F01861">
        <w:t xml:space="preserve"> používané pro veterinárně-hygienické účely včetně přípravků používaných v prostorech, ve kterých se chovají, zdržují nebo přepravují zvířata. Zahrnuje přípravky určené k celkové dezinfekci zvířat, ale nezahrnuje přípravky, které mají léčivý účinek.</w:t>
      </w:r>
    </w:p>
    <w:p w14:paraId="6D8F3860" w14:textId="55E72111" w:rsidR="0044454C" w:rsidRPr="00F01861" w:rsidRDefault="0044454C" w:rsidP="00F01861">
      <w:pPr>
        <w:spacing w:after="120"/>
        <w:jc w:val="both"/>
      </w:pPr>
      <w:r w:rsidRPr="00F01861">
        <w:t>V současné době je</w:t>
      </w:r>
      <w:r w:rsidR="00A82BCD" w:rsidRPr="00F01861">
        <w:t xml:space="preserve"> kategorie biocidních přípravků v oblasti veterinární uplatňována pro přípravky určené výhradně za účelem dezinfekce ať už prostorů</w:t>
      </w:r>
      <w:r w:rsidR="00F01861" w:rsidRPr="00F01861">
        <w:t>,</w:t>
      </w:r>
      <w:r w:rsidR="00A82BCD" w:rsidRPr="00F01861">
        <w:t xml:space="preserve"> ve kterých se </w:t>
      </w:r>
      <w:r w:rsidR="008B4237" w:rsidRPr="00F01861">
        <w:t>zvířata chovají, zdržují</w:t>
      </w:r>
      <w:r w:rsidR="00A82BCD" w:rsidRPr="00F01861">
        <w:t xml:space="preserve"> nebo přepravují či k přímé dezinfekci zvířat. Takové přípravky</w:t>
      </w:r>
      <w:r w:rsidR="008B4237" w:rsidRPr="00F01861">
        <w:t>, které</w:t>
      </w:r>
      <w:r w:rsidR="00A82BCD" w:rsidRPr="00F01861">
        <w:t xml:space="preserve"> </w:t>
      </w:r>
      <w:r w:rsidR="008B4237" w:rsidRPr="00F01861">
        <w:t xml:space="preserve">byly </w:t>
      </w:r>
      <w:r w:rsidR="00150BA5" w:rsidRPr="00F01861">
        <w:t xml:space="preserve">doposud </w:t>
      </w:r>
      <w:r w:rsidR="008B4237" w:rsidRPr="00F01861">
        <w:t xml:space="preserve">oznámeny Ministerstvu zdravotnictví, jakožto kompetentnímu orgánu, obsahují v největší míře jako účinnou látku jod v podobě komplexu jodu a </w:t>
      </w:r>
      <w:proofErr w:type="spellStart"/>
      <w:r w:rsidR="008B4237" w:rsidRPr="00F01861">
        <w:t>povidonu</w:t>
      </w:r>
      <w:proofErr w:type="spellEnd"/>
      <w:r w:rsidR="008B4237" w:rsidRPr="00F01861">
        <w:t xml:space="preserve"> (</w:t>
      </w:r>
      <w:proofErr w:type="spellStart"/>
      <w:r w:rsidR="008B4237" w:rsidRPr="00F01861">
        <w:t>polyvinylpyrrolidonu</w:t>
      </w:r>
      <w:proofErr w:type="spellEnd"/>
      <w:r w:rsidR="008B4237" w:rsidRPr="00F01861">
        <w:t>, PVP). Konce</w:t>
      </w:r>
      <w:r w:rsidR="00150BA5" w:rsidRPr="00F01861">
        <w:t>n</w:t>
      </w:r>
      <w:r w:rsidR="008B4237" w:rsidRPr="00F01861">
        <w:t xml:space="preserve">trace těchto oznámených přípravků </w:t>
      </w:r>
      <w:r w:rsidR="00150BA5" w:rsidRPr="00F01861">
        <w:t xml:space="preserve">se pohybuje </w:t>
      </w:r>
      <w:r w:rsidR="00041A88" w:rsidRPr="00F01861">
        <w:t xml:space="preserve">v rozmezí 1500 </w:t>
      </w:r>
      <w:proofErr w:type="spellStart"/>
      <w:r w:rsidR="00041A88" w:rsidRPr="00F01861">
        <w:t>ppm</w:t>
      </w:r>
      <w:proofErr w:type="spellEnd"/>
      <w:r w:rsidR="00041A88" w:rsidRPr="00F01861">
        <w:t xml:space="preserve"> a vyšší.</w:t>
      </w:r>
    </w:p>
    <w:p w14:paraId="2A72A965" w14:textId="77777777" w:rsidR="00041A88" w:rsidRPr="00F01861" w:rsidRDefault="00041A88" w:rsidP="00F01861">
      <w:pPr>
        <w:spacing w:after="120"/>
        <w:jc w:val="both"/>
      </w:pPr>
    </w:p>
    <w:p w14:paraId="0BD95E89" w14:textId="77777777" w:rsidR="00041A88" w:rsidRPr="00F01861" w:rsidRDefault="00041A88" w:rsidP="00F01861">
      <w:pPr>
        <w:pStyle w:val="Nadpis1"/>
        <w:spacing w:before="0" w:after="120"/>
      </w:pPr>
      <w:bookmarkStart w:id="2" w:name="_Toc427317866"/>
      <w:r w:rsidRPr="00F01861">
        <w:t>Zařazení do kategorie veterinárních léčivých přípravků</w:t>
      </w:r>
      <w:bookmarkEnd w:id="2"/>
    </w:p>
    <w:p w14:paraId="2D0C7541" w14:textId="4B7D6E2C" w:rsidR="00041A88" w:rsidRPr="00F01861" w:rsidRDefault="00041A88" w:rsidP="00F01861">
      <w:pPr>
        <w:spacing w:after="120"/>
        <w:jc w:val="both"/>
      </w:pPr>
      <w:r w:rsidRPr="00F01861">
        <w:tab/>
      </w:r>
      <w:r w:rsidR="00BC5FB5" w:rsidRPr="00F01861">
        <w:t xml:space="preserve">V případě, že žadatel </w:t>
      </w:r>
      <w:r w:rsidR="00850CC1" w:rsidRPr="00F01861">
        <w:t>chce uvést na trh ČR příp</w:t>
      </w:r>
      <w:r w:rsidR="009C3F6F" w:rsidRPr="00F01861">
        <w:t>ravek</w:t>
      </w:r>
      <w:r w:rsidR="00BC5FB5" w:rsidRPr="00F01861">
        <w:t xml:space="preserve"> obsahující látku či kombinace látek, prezentovanou s tím, že má léčebné nebo preventivní vlastnosti v případě onemocnění zvířat</w:t>
      </w:r>
      <w:r w:rsidR="00A77F53" w:rsidRPr="00F01861">
        <w:t>,</w:t>
      </w:r>
      <w:r w:rsidR="00554276" w:rsidRPr="00F01861">
        <w:t xml:space="preserve"> v takovém případě je přípravek nutno zařadit dle zákona č.</w:t>
      </w:r>
      <w:r w:rsidR="00F50586">
        <w:t xml:space="preserve"> </w:t>
      </w:r>
      <w:r w:rsidR="00554276" w:rsidRPr="00F01861">
        <w:t xml:space="preserve">378/2007 Sb., o léčivech, ve znění pozdějších předpisů, jako </w:t>
      </w:r>
      <w:r w:rsidR="00755FE3" w:rsidRPr="00F01861">
        <w:t xml:space="preserve">veterinární léčivý přípravek. Při hodnocení přípravku Ústavem pro kontrolu </w:t>
      </w:r>
      <w:r w:rsidR="00755FE3" w:rsidRPr="00F01861">
        <w:lastRenderedPageBreak/>
        <w:t>veterinárních biopreparátů a léčiv</w:t>
      </w:r>
      <w:r w:rsidR="00C005C5" w:rsidRPr="00F01861">
        <w:t xml:space="preserve"> (dále jen </w:t>
      </w:r>
      <w:r w:rsidR="0012442B" w:rsidRPr="00F01861">
        <w:t>„</w:t>
      </w:r>
      <w:r w:rsidR="00C005C5" w:rsidRPr="00F01861">
        <w:t>ÚSKVBL“)</w:t>
      </w:r>
      <w:r w:rsidR="00755FE3" w:rsidRPr="00F01861">
        <w:t xml:space="preserve">, jakožto kompetentního orgánu, se posuzuje jeho kvalita, </w:t>
      </w:r>
      <w:r w:rsidR="0012442B" w:rsidRPr="00F01861">
        <w:t>bezpečnost – zejména</w:t>
      </w:r>
      <w:r w:rsidR="00755FE3" w:rsidRPr="00F01861">
        <w:t xml:space="preserve"> z hlediska použití u zvířat a vlivu přípravku na životní prostředí a také z hlediska reziduí. Dále se hodnotí účinnost přípravku.</w:t>
      </w:r>
    </w:p>
    <w:p w14:paraId="51FAFD07" w14:textId="25F85D43" w:rsidR="00755FE3" w:rsidRPr="00F01861" w:rsidRDefault="00755FE3" w:rsidP="00F01861">
      <w:pPr>
        <w:spacing w:after="120"/>
        <w:jc w:val="both"/>
      </w:pPr>
      <w:r w:rsidRPr="00F01861">
        <w:t xml:space="preserve">V současné době jsou registrovány přípravky </w:t>
      </w:r>
      <w:r w:rsidR="00B72A12" w:rsidRPr="00F01861">
        <w:t xml:space="preserve">na bázi jodu s léčebnou indikací prevence mastitid. Koncentrace dostupného jodu se v těchto přípravcích pohybuje v rozmezí 1500 </w:t>
      </w:r>
      <w:proofErr w:type="spellStart"/>
      <w:r w:rsidR="00B72A12" w:rsidRPr="00F01861">
        <w:t>ppm</w:t>
      </w:r>
      <w:proofErr w:type="spellEnd"/>
      <w:r w:rsidR="00B72A12" w:rsidRPr="00F01861">
        <w:t xml:space="preserve"> – 2500</w:t>
      </w:r>
      <w:r w:rsidR="00F50586">
        <w:t xml:space="preserve"> </w:t>
      </w:r>
      <w:proofErr w:type="spellStart"/>
      <w:r w:rsidR="00B72A12" w:rsidRPr="00F01861">
        <w:t>ppm</w:t>
      </w:r>
      <w:proofErr w:type="spellEnd"/>
      <w:r w:rsidR="00B72A12" w:rsidRPr="00F01861">
        <w:t>.</w:t>
      </w:r>
    </w:p>
    <w:p w14:paraId="24C9DB26" w14:textId="77777777" w:rsidR="00657343" w:rsidRPr="00F01861" w:rsidRDefault="00657343" w:rsidP="00F01861">
      <w:pPr>
        <w:spacing w:after="120"/>
        <w:jc w:val="both"/>
      </w:pPr>
    </w:p>
    <w:p w14:paraId="6EE8FFF7" w14:textId="645C0347" w:rsidR="00657343" w:rsidRPr="00F01861" w:rsidRDefault="005C1396" w:rsidP="00F01861">
      <w:pPr>
        <w:spacing w:after="120"/>
        <w:jc w:val="both"/>
        <w:rPr>
          <w:b/>
        </w:rPr>
      </w:pPr>
      <w:r w:rsidRPr="00F01861">
        <w:rPr>
          <w:b/>
        </w:rPr>
        <w:t xml:space="preserve">Obě zmíněné kategorie náleží do tzv. harmonizované sféry, tj. oblasti, jejíž legislativa je zpracována na úrovni Evropské </w:t>
      </w:r>
      <w:r w:rsidR="0012442B" w:rsidRPr="00F01861">
        <w:rPr>
          <w:b/>
        </w:rPr>
        <w:t>Unie,</w:t>
      </w:r>
      <w:r w:rsidRPr="00F01861">
        <w:rPr>
          <w:b/>
        </w:rPr>
        <w:t xml:space="preserve"> a tudíž je závazná pro všechny členské státy EU.</w:t>
      </w:r>
    </w:p>
    <w:p w14:paraId="7BB0ABA6" w14:textId="77777777" w:rsidR="006B5384" w:rsidRPr="00F01861" w:rsidRDefault="006B5384" w:rsidP="00F01861">
      <w:pPr>
        <w:spacing w:after="120"/>
        <w:jc w:val="both"/>
        <w:rPr>
          <w:b/>
        </w:rPr>
      </w:pPr>
    </w:p>
    <w:p w14:paraId="43B60880" w14:textId="438335D8" w:rsidR="006B5384" w:rsidRPr="00F01861" w:rsidRDefault="006B5384" w:rsidP="00F01861">
      <w:pPr>
        <w:spacing w:after="120"/>
        <w:jc w:val="both"/>
      </w:pPr>
      <w:r w:rsidRPr="00F01861">
        <w:t xml:space="preserve">Další kategorií pro možné zařazení přípravků v rámci České republiky je kategorie </w:t>
      </w:r>
      <w:r w:rsidR="005A5150" w:rsidRPr="00F01861">
        <w:t xml:space="preserve">veterinárních přípravků, jejíž pravidla jsou </w:t>
      </w:r>
      <w:r w:rsidR="00A60E0B" w:rsidRPr="00F01861">
        <w:t>regulována</w:t>
      </w:r>
      <w:r w:rsidR="005A5150" w:rsidRPr="00F01861">
        <w:t xml:space="preserve"> </w:t>
      </w:r>
      <w:r w:rsidR="00A60E0B" w:rsidRPr="00F01861">
        <w:t>zákonem</w:t>
      </w:r>
      <w:r w:rsidR="005A5150" w:rsidRPr="00F01861">
        <w:t xml:space="preserve"> o veterinární péči č. 166/1999 Sb., ve znění pozdějších předpisů</w:t>
      </w:r>
      <w:r w:rsidR="00A93D81" w:rsidRPr="00F01861">
        <w:t xml:space="preserve"> (dále </w:t>
      </w:r>
      <w:r w:rsidR="0012442B" w:rsidRPr="00F01861">
        <w:t>jen „veterinární</w:t>
      </w:r>
      <w:r w:rsidR="00A93D81" w:rsidRPr="00F01861">
        <w:t xml:space="preserve"> zákon“)</w:t>
      </w:r>
      <w:r w:rsidR="005A5150" w:rsidRPr="00F01861">
        <w:t>.</w:t>
      </w:r>
    </w:p>
    <w:p w14:paraId="3970E074" w14:textId="77777777" w:rsidR="007221A5" w:rsidRPr="00F01861" w:rsidRDefault="007221A5" w:rsidP="00F01861">
      <w:pPr>
        <w:spacing w:after="120"/>
        <w:jc w:val="both"/>
      </w:pPr>
    </w:p>
    <w:p w14:paraId="3A5FA6B2" w14:textId="77777777" w:rsidR="005A5150" w:rsidRPr="00F01861" w:rsidRDefault="005A5150" w:rsidP="00F01861">
      <w:pPr>
        <w:pStyle w:val="Nadpis1"/>
        <w:spacing w:before="0" w:after="120"/>
      </w:pPr>
      <w:bookmarkStart w:id="3" w:name="_Toc427317867"/>
      <w:r w:rsidRPr="00F01861">
        <w:t>Zařazení do kategorie veterinárních přípravků</w:t>
      </w:r>
      <w:bookmarkEnd w:id="3"/>
    </w:p>
    <w:p w14:paraId="028ACB5E" w14:textId="77777777" w:rsidR="00294EA1" w:rsidRPr="00F01861" w:rsidRDefault="00294EA1" w:rsidP="00F01861">
      <w:pPr>
        <w:spacing w:after="120"/>
        <w:ind w:firstLine="708"/>
        <w:jc w:val="both"/>
      </w:pPr>
      <w:r w:rsidRPr="00F01861">
        <w:t xml:space="preserve">Jako další z možností zařazení přípravků s obsahem jodu, které nenaplňují kritéria pro zařazení do výše uvedených kategorií je zařazení do </w:t>
      </w:r>
      <w:r w:rsidRPr="00F01861">
        <w:rPr>
          <w:u w:val="single"/>
        </w:rPr>
        <w:t>kosmetických přípravků</w:t>
      </w:r>
      <w:r w:rsidRPr="00F01861">
        <w:t xml:space="preserve"> kategorie veterinárních přípravků.</w:t>
      </w:r>
    </w:p>
    <w:p w14:paraId="21A87A51" w14:textId="77777777" w:rsidR="00A60E0B" w:rsidRPr="00F01861" w:rsidRDefault="00A60E0B" w:rsidP="00F01861">
      <w:pPr>
        <w:spacing w:after="120"/>
        <w:jc w:val="both"/>
      </w:pPr>
      <w:r w:rsidRPr="00F01861">
        <w:t xml:space="preserve">Pro účely </w:t>
      </w:r>
      <w:r w:rsidR="005C1396" w:rsidRPr="00F01861">
        <w:t>veterinárního</w:t>
      </w:r>
      <w:r w:rsidRPr="00F01861">
        <w:t xml:space="preserve"> zákona se rozumí veterinárními přípravky hromadně vyráběné přípravky, které jsou určeny pro zvířata, zejména dietetické, vitaminové, minerální a kosmetické přípravky, anebo pro specifickou laboratorní diagnostiku nákaz zvířat či původců onemocnění z potravin živočišného původu; za veterinární přípravky se nepovažují výrobky, které podléhají zvláštním právním předpisům.</w:t>
      </w:r>
    </w:p>
    <w:p w14:paraId="57692C80" w14:textId="77777777" w:rsidR="005C1396" w:rsidRPr="00F01861" w:rsidRDefault="005C1396" w:rsidP="00F01861">
      <w:pPr>
        <w:spacing w:after="120"/>
        <w:jc w:val="both"/>
      </w:pPr>
      <w:r w:rsidRPr="00F01861">
        <w:t>Veterinární přípravky můžeme obecně definovat jako výrobky, které jsou určeny pro zvířata nebo přichází do styku se zvířaty nebo slouží k in vitro diagnostice v oblasti veterinární medicíny a nejde o léčivé přípravky, biocidy, krmiva a dále o výrobky, které neovlivňují fyziologické funkce zvířat a které nepředstavují riziko nepříznivého ovlivnění zdraví či pohody zvířat. Složení veterinárních přípravků, při náležitém použití dle informací uvedených na obalu nebo v příbalové informaci, nesmí vyvolat zdravotní riziko pro chovatele a zvíře nebo zanechávat nežádoucí rezidua u potravinových</w:t>
      </w:r>
      <w:r w:rsidR="00FE06A9" w:rsidRPr="00F01861">
        <w:t xml:space="preserve"> zvířat nebo</w:t>
      </w:r>
      <w:r w:rsidRPr="00F01861">
        <w:t xml:space="preserve"> negativním způsobem měnit kvalitu potravin živočišného původu. Neškodnost přípravku je nadřazena jakémukoli důvodu používání veterinárního přípravku. </w:t>
      </w:r>
    </w:p>
    <w:p w14:paraId="78DD0862" w14:textId="77777777" w:rsidR="005C1396" w:rsidRPr="00F01861" w:rsidRDefault="005C1396" w:rsidP="00F01861">
      <w:pPr>
        <w:spacing w:after="120"/>
        <w:jc w:val="both"/>
      </w:pPr>
      <w:r w:rsidRPr="00F01861">
        <w:t>Z hlediska použití, veterinární přípravky mohou mít blahodárný, příznivý, revitalizující, uvolňující, osvěžující, vzpružující a utišující účinek, mohou napomáhat, usnadňovat a podporovat hojení nebo doplňovat léčbu a příznivě působit na zdraví zvířat. Léčebné nebo hojivé vlastnosti, pokud není stanoveno jinak, jsou pouze okrajovou schopností přípravku, která vyplývá z charakteru a koncentrace účinných látek obsažených v přípravku.</w:t>
      </w:r>
    </w:p>
    <w:p w14:paraId="5297884B" w14:textId="77777777" w:rsidR="005C1396" w:rsidRPr="00F01861" w:rsidRDefault="005C1396" w:rsidP="00F01861">
      <w:pPr>
        <w:spacing w:after="120"/>
        <w:jc w:val="both"/>
      </w:pPr>
    </w:p>
    <w:p w14:paraId="1A548648" w14:textId="57B2FB32" w:rsidR="00E65868" w:rsidRPr="00F01861" w:rsidRDefault="00E65868" w:rsidP="00F01861">
      <w:pPr>
        <w:spacing w:after="120"/>
        <w:ind w:firstLine="708"/>
        <w:jc w:val="both"/>
      </w:pPr>
      <w:r w:rsidRPr="00F01861">
        <w:rPr>
          <w:bCs/>
        </w:rPr>
        <w:t xml:space="preserve">Za </w:t>
      </w:r>
      <w:r w:rsidRPr="00F01861">
        <w:rPr>
          <w:b/>
        </w:rPr>
        <w:t xml:space="preserve">kosmetické </w:t>
      </w:r>
      <w:r w:rsidRPr="00F01861">
        <w:rPr>
          <w:bCs/>
        </w:rPr>
        <w:t xml:space="preserve">veterinární přípravky jsou považovány zejména šampony, ale patří sem </w:t>
      </w:r>
      <w:r w:rsidRPr="00F01861">
        <w:t xml:space="preserve">nejrůznější aplikační formy, mezi které patří například masti, krémy, </w:t>
      </w:r>
      <w:r w:rsidR="00294EA1" w:rsidRPr="00F01861">
        <w:t xml:space="preserve">gely, </w:t>
      </w:r>
      <w:r w:rsidRPr="00F01861">
        <w:t xml:space="preserve">koupele atd. </w:t>
      </w:r>
      <w:r w:rsidR="005C1396" w:rsidRPr="00F01861">
        <w:t>Velké množství</w:t>
      </w:r>
      <w:r w:rsidRPr="00F01861">
        <w:t xml:space="preserve"> kožních onemocnění nepříznivě ovlivňuje většinu povrchu těla zvířat. Prosté použití kosmetického přípravku často vede ke zle</w:t>
      </w:r>
      <w:r w:rsidR="00294EA1" w:rsidRPr="00F01861">
        <w:t>pšení hojení a příznivě působí na zdraví zvířat.</w:t>
      </w:r>
      <w:r w:rsidRPr="00F01861">
        <w:t xml:space="preserve"> Použití kosmetických přípravků je jednoduché a významně podporuje dodání účinných látek k povrchu kůže zvláště u zvířat s hustou srstí, ale i k ošetření kůže bez chlupů (mléčná žláza) nebo rohoviny či žíní.</w:t>
      </w:r>
      <w:r w:rsidR="0071347D" w:rsidRPr="00F01861">
        <w:t xml:space="preserve"> Kosmetické </w:t>
      </w:r>
      <w:r w:rsidR="0071347D" w:rsidRPr="00F01861">
        <w:lastRenderedPageBreak/>
        <w:t>veterinární přípravky mohou obsahovat farmakologicky účinné látky</w:t>
      </w:r>
      <w:r w:rsidR="00CA67DF" w:rsidRPr="00F01861">
        <w:t xml:space="preserve"> jak</w:t>
      </w:r>
      <w:r w:rsidR="00F01861" w:rsidRPr="00F01861">
        <w:t>o</w:t>
      </w:r>
      <w:r w:rsidR="00CA67DF" w:rsidRPr="00F01861">
        <w:t xml:space="preserve"> např. bylinné extrakty, či látk</w:t>
      </w:r>
      <w:r w:rsidR="00F01861" w:rsidRPr="00F01861">
        <w:t>y</w:t>
      </w:r>
      <w:r w:rsidR="00CA67DF" w:rsidRPr="00F01861">
        <w:t xml:space="preserve"> běžně používané v humánních kosmetických přípravcích</w:t>
      </w:r>
      <w:r w:rsidR="00F01861" w:rsidRPr="00F01861">
        <w:t xml:space="preserve"> (např. </w:t>
      </w:r>
      <w:proofErr w:type="spellStart"/>
      <w:r w:rsidR="00F01861" w:rsidRPr="00F01861">
        <w:t>chlorhexidin</w:t>
      </w:r>
      <w:proofErr w:type="spellEnd"/>
      <w:r w:rsidR="00F01861" w:rsidRPr="00F01861">
        <w:t>)</w:t>
      </w:r>
      <w:r w:rsidR="0071347D" w:rsidRPr="00F01861">
        <w:t>,</w:t>
      </w:r>
      <w:r w:rsidR="00CA67DF" w:rsidRPr="00F01861">
        <w:t xml:space="preserve"> a to</w:t>
      </w:r>
      <w:r w:rsidR="0071347D" w:rsidRPr="00F01861">
        <w:t xml:space="preserve"> pouze v koncentracích, které nelze považovat za léčivé</w:t>
      </w:r>
      <w:r w:rsidR="00CA67DF" w:rsidRPr="00F01861">
        <w:t xml:space="preserve">, a nejedná se o léčivé látky u nichž je nutno použití kontrolovat, ať už například z důvodu toxicity </w:t>
      </w:r>
      <w:proofErr w:type="spellStart"/>
      <w:r w:rsidR="00CA67DF" w:rsidRPr="00F01861">
        <w:t>l.l</w:t>
      </w:r>
      <w:proofErr w:type="spellEnd"/>
      <w:r w:rsidR="00CA67DF" w:rsidRPr="00F01861">
        <w:t>., či rizika vzniku antibiotické rezistence</w:t>
      </w:r>
      <w:r w:rsidR="0071347D" w:rsidRPr="00F01861">
        <w:t>.</w:t>
      </w:r>
      <w:r w:rsidRPr="00F01861">
        <w:t xml:space="preserve"> </w:t>
      </w:r>
      <w:r w:rsidR="00DD63DE" w:rsidRPr="00F01861">
        <w:t>To znamená</w:t>
      </w:r>
      <w:r w:rsidR="004813F2" w:rsidRPr="00F01861">
        <w:t>, nemají významný účinek na metabolismus a životní funkce organismu zvířete.</w:t>
      </w:r>
      <w:r w:rsidR="00330404" w:rsidRPr="00F01861">
        <w:t xml:space="preserve"> </w:t>
      </w:r>
      <w:r w:rsidRPr="00F01861">
        <w:t>Mezi veterinární kosmetické přípravky nepatří přípravky určen</w:t>
      </w:r>
      <w:r w:rsidR="00294EA1" w:rsidRPr="00F01861">
        <w:t xml:space="preserve">é pouze a výhradně ke krášlení </w:t>
      </w:r>
      <w:r w:rsidRPr="00F01861">
        <w:t xml:space="preserve">zvířat. </w:t>
      </w:r>
    </w:p>
    <w:p w14:paraId="37B03440" w14:textId="77777777" w:rsidR="00E65868" w:rsidRPr="00F01861" w:rsidRDefault="00E65868" w:rsidP="00F01861">
      <w:pPr>
        <w:spacing w:after="120"/>
        <w:jc w:val="both"/>
      </w:pPr>
    </w:p>
    <w:p w14:paraId="7DD148A6" w14:textId="77777777" w:rsidR="00AA1E03" w:rsidRPr="00F01861" w:rsidRDefault="00AA1E03" w:rsidP="00F01861">
      <w:pPr>
        <w:spacing w:after="120"/>
        <w:jc w:val="both"/>
      </w:pPr>
      <w:r w:rsidRPr="00F01861">
        <w:t>Pro možnost zařazení přípravků s obsahem jodu mezi veterinární kosmetické přípravky bylo nezbytné posoudit zejména následující:</w:t>
      </w:r>
    </w:p>
    <w:p w14:paraId="60DCFA7E" w14:textId="77777777" w:rsidR="00310B05" w:rsidRPr="00F01861" w:rsidRDefault="00AA1E03" w:rsidP="00F01861">
      <w:pPr>
        <w:pStyle w:val="Nadpis2"/>
        <w:numPr>
          <w:ilvl w:val="0"/>
          <w:numId w:val="7"/>
        </w:numPr>
        <w:spacing w:before="0" w:after="120"/>
      </w:pPr>
      <w:bookmarkStart w:id="4" w:name="_Toc427317868"/>
      <w:r w:rsidRPr="00F01861">
        <w:t xml:space="preserve">Bezpečnost přípravku z pohledu </w:t>
      </w:r>
      <w:r w:rsidR="00850CC1" w:rsidRPr="00F01861">
        <w:t>reziduí</w:t>
      </w:r>
      <w:r w:rsidR="004A10DF" w:rsidRPr="00F01861">
        <w:t xml:space="preserve"> </w:t>
      </w:r>
      <w:r w:rsidR="00503920" w:rsidRPr="00F01861">
        <w:t xml:space="preserve">u </w:t>
      </w:r>
      <w:r w:rsidR="004A10DF" w:rsidRPr="00F01861">
        <w:t xml:space="preserve">potravinových zvířat </w:t>
      </w:r>
      <w:r w:rsidR="00450BDC" w:rsidRPr="00F01861">
        <w:rPr>
          <w:i w:val="0"/>
        </w:rPr>
        <w:br/>
      </w:r>
      <w:r w:rsidR="00310B05" w:rsidRPr="00F01861">
        <w:t>(zaměřeno na přípravky k ošetření mléčné žlázy)</w:t>
      </w:r>
      <w:bookmarkEnd w:id="4"/>
    </w:p>
    <w:p w14:paraId="1882AD16" w14:textId="77777777" w:rsidR="00450BDC" w:rsidRPr="00F01861" w:rsidRDefault="00450BDC" w:rsidP="00F01861">
      <w:pPr>
        <w:spacing w:after="120"/>
      </w:pPr>
    </w:p>
    <w:p w14:paraId="6836DB63" w14:textId="4A7E899E" w:rsidR="004A10DF" w:rsidRPr="00F01861" w:rsidRDefault="000877E9" w:rsidP="00F01861">
      <w:pPr>
        <w:spacing w:after="120"/>
        <w:ind w:left="360"/>
        <w:jc w:val="both"/>
        <w:rPr>
          <w:rFonts w:cs="EUAlbertina"/>
          <w:bCs/>
        </w:rPr>
      </w:pPr>
      <w:r w:rsidRPr="00F01861">
        <w:rPr>
          <w:rFonts w:cs="EUAlbertina"/>
          <w:bCs/>
        </w:rPr>
        <w:t>Jod a anorganické sloučeniny jódu je</w:t>
      </w:r>
      <w:r w:rsidR="00042A76">
        <w:rPr>
          <w:rFonts w:cs="EUAlbertina"/>
          <w:bCs/>
        </w:rPr>
        <w:t xml:space="preserve"> dle</w:t>
      </w:r>
      <w:r w:rsidRPr="00F01861">
        <w:rPr>
          <w:rFonts w:cs="EUAlbertina"/>
          <w:bCs/>
        </w:rPr>
        <w:t xml:space="preserve"> </w:t>
      </w:r>
      <w:r w:rsidR="00042A76">
        <w:rPr>
          <w:rFonts w:cs="EUAlbertina"/>
          <w:bCs/>
        </w:rPr>
        <w:t>N</w:t>
      </w:r>
      <w:r w:rsidRPr="00F01861">
        <w:rPr>
          <w:rFonts w:cs="EUAlbertina"/>
          <w:bCs/>
        </w:rPr>
        <w:t xml:space="preserve">ařízení Komise </w:t>
      </w:r>
      <w:r w:rsidR="00042A76">
        <w:rPr>
          <w:rFonts w:cs="EUAlbertina"/>
          <w:bCs/>
        </w:rPr>
        <w:t>č.</w:t>
      </w:r>
      <w:r w:rsidRPr="00F01861">
        <w:rPr>
          <w:rFonts w:cs="EUAlbertina"/>
          <w:bCs/>
        </w:rPr>
        <w:t xml:space="preserve"> 7/2010 z pohledu MRL (maximální reziduální limity) zařazen následovně:</w:t>
      </w:r>
    </w:p>
    <w:tbl>
      <w:tblPr>
        <w:tblStyle w:val="Mkatabulky"/>
        <w:tblW w:w="9493" w:type="dxa"/>
        <w:tblInd w:w="0" w:type="dxa"/>
        <w:tblLook w:val="04A0" w:firstRow="1" w:lastRow="0" w:firstColumn="1" w:lastColumn="0" w:noHBand="0" w:noVBand="1"/>
      </w:tblPr>
      <w:tblGrid>
        <w:gridCol w:w="2005"/>
        <w:gridCol w:w="1536"/>
        <w:gridCol w:w="1192"/>
        <w:gridCol w:w="1147"/>
        <w:gridCol w:w="1186"/>
        <w:gridCol w:w="2427"/>
      </w:tblGrid>
      <w:tr w:rsidR="000877E9" w:rsidRPr="00F01861" w14:paraId="3F0D2A02" w14:textId="77777777" w:rsidTr="00F01861"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B6039" w14:textId="0637D9CA" w:rsidR="000877E9" w:rsidRPr="00F01861" w:rsidRDefault="000877E9" w:rsidP="00F01861">
            <w:pPr>
              <w:spacing w:after="120"/>
              <w:rPr>
                <w:rFonts w:asciiTheme="minorHAnsi" w:hAnsiTheme="minorHAnsi" w:cs="EUAlbertina"/>
                <w:b/>
                <w:bCs/>
                <w:color w:val="FF0000"/>
                <w:sz w:val="20"/>
                <w:szCs w:val="20"/>
                <w:lang w:val="cs-CZ"/>
              </w:rPr>
            </w:pPr>
            <w:r w:rsidRPr="00F01861">
              <w:rPr>
                <w:rFonts w:asciiTheme="minorHAnsi" w:hAnsiTheme="minorHAnsi"/>
                <w:b/>
                <w:bCs/>
                <w:sz w:val="20"/>
                <w:szCs w:val="20"/>
                <w:lang w:val="cs-CZ" w:eastAsia="cs-CZ"/>
              </w:rPr>
              <w:t>Farmakologicky účinná (-é) látka(y</w:t>
            </w:r>
            <w:r w:rsidR="00F01861">
              <w:rPr>
                <w:rFonts w:asciiTheme="minorHAnsi" w:hAnsiTheme="minorHAnsi"/>
                <w:b/>
                <w:bCs/>
                <w:sz w:val="20"/>
                <w:szCs w:val="20"/>
                <w:lang w:val="cs-CZ" w:eastAsia="cs-CZ"/>
              </w:rPr>
              <w:t>)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73CD4" w14:textId="77777777" w:rsidR="000877E9" w:rsidRPr="00F01861" w:rsidRDefault="000877E9" w:rsidP="00F01861">
            <w:pPr>
              <w:spacing w:after="120"/>
              <w:rPr>
                <w:rFonts w:asciiTheme="minorHAnsi" w:hAnsiTheme="minorHAnsi" w:cs="EUAlbertina"/>
                <w:b/>
                <w:bCs/>
                <w:color w:val="FF0000"/>
                <w:sz w:val="20"/>
                <w:szCs w:val="20"/>
                <w:lang w:val="cs-CZ"/>
              </w:rPr>
            </w:pPr>
            <w:r w:rsidRPr="00F01861">
              <w:rPr>
                <w:rFonts w:asciiTheme="minorHAnsi" w:hAnsiTheme="minorHAnsi"/>
                <w:b/>
                <w:bCs/>
                <w:sz w:val="20"/>
                <w:szCs w:val="20"/>
                <w:lang w:val="cs-CZ" w:eastAsia="cs-CZ"/>
              </w:rPr>
              <w:t>Indikátorové reziduum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56DDA" w14:textId="77777777" w:rsidR="000877E9" w:rsidRPr="00F01861" w:rsidRDefault="000877E9" w:rsidP="00F01861">
            <w:pPr>
              <w:spacing w:after="120"/>
              <w:rPr>
                <w:rFonts w:asciiTheme="minorHAnsi" w:hAnsiTheme="minorHAnsi" w:cs="EUAlbertina"/>
                <w:b/>
                <w:bCs/>
                <w:color w:val="FF0000"/>
                <w:sz w:val="20"/>
                <w:szCs w:val="20"/>
                <w:lang w:val="cs-CZ"/>
              </w:rPr>
            </w:pPr>
            <w:r w:rsidRPr="00F01861">
              <w:rPr>
                <w:rFonts w:asciiTheme="minorHAnsi" w:hAnsiTheme="minorHAnsi"/>
                <w:b/>
                <w:bCs/>
                <w:sz w:val="20"/>
                <w:szCs w:val="20"/>
                <w:lang w:val="cs-CZ" w:eastAsia="cs-CZ"/>
              </w:rPr>
              <w:t>Druh zvířat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200E" w14:textId="77777777" w:rsidR="000877E9" w:rsidRPr="00F01861" w:rsidRDefault="000877E9" w:rsidP="00F01861">
            <w:pPr>
              <w:spacing w:after="120"/>
              <w:rPr>
                <w:rFonts w:asciiTheme="minorHAnsi" w:hAnsiTheme="minorHAnsi" w:cs="EUAlbertina"/>
                <w:b/>
                <w:bCs/>
                <w:color w:val="FF0000"/>
                <w:sz w:val="20"/>
                <w:szCs w:val="20"/>
                <w:lang w:val="cs-CZ"/>
              </w:rPr>
            </w:pPr>
            <w:r w:rsidRPr="00F01861">
              <w:rPr>
                <w:rFonts w:asciiTheme="minorHAnsi" w:hAnsiTheme="minorHAnsi"/>
                <w:b/>
                <w:bCs/>
                <w:sz w:val="20"/>
                <w:szCs w:val="20"/>
                <w:lang w:val="cs-CZ" w:eastAsia="cs-CZ"/>
              </w:rPr>
              <w:t>MRL </w:t>
            </w:r>
          </w:p>
          <w:p w14:paraId="403EAD73" w14:textId="77777777" w:rsidR="000877E9" w:rsidRPr="00F01861" w:rsidRDefault="000877E9" w:rsidP="00F01861">
            <w:pPr>
              <w:spacing w:after="120"/>
              <w:ind w:left="2829"/>
              <w:jc w:val="both"/>
              <w:rPr>
                <w:rFonts w:asciiTheme="minorHAnsi" w:hAnsiTheme="minorHAnsi" w:cs="EUAlbertina"/>
                <w:sz w:val="20"/>
                <w:szCs w:val="20"/>
                <w:lang w:val="cs-CZ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0F1FD" w14:textId="77777777" w:rsidR="000877E9" w:rsidRPr="00F01861" w:rsidRDefault="000877E9" w:rsidP="00F01861">
            <w:pPr>
              <w:spacing w:after="120"/>
              <w:rPr>
                <w:rFonts w:asciiTheme="minorHAnsi" w:hAnsiTheme="minorHAnsi" w:cs="EUAlbertina"/>
                <w:b/>
                <w:bCs/>
                <w:color w:val="FF0000"/>
                <w:sz w:val="20"/>
                <w:szCs w:val="20"/>
                <w:lang w:val="cs-CZ"/>
              </w:rPr>
            </w:pPr>
            <w:r w:rsidRPr="00F01861">
              <w:rPr>
                <w:rFonts w:asciiTheme="minorHAnsi" w:hAnsiTheme="minorHAnsi"/>
                <w:b/>
                <w:bCs/>
                <w:sz w:val="20"/>
                <w:szCs w:val="20"/>
                <w:lang w:val="cs-CZ" w:eastAsia="cs-CZ"/>
              </w:rPr>
              <w:t>Cílové tkáně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04F40" w14:textId="64D2CE0E" w:rsidR="000877E9" w:rsidRPr="00F01861" w:rsidRDefault="000877E9" w:rsidP="00F01861">
            <w:pPr>
              <w:spacing w:after="120"/>
              <w:rPr>
                <w:rFonts w:asciiTheme="minorHAnsi" w:hAnsiTheme="minorHAnsi"/>
                <w:b/>
                <w:bCs/>
                <w:sz w:val="20"/>
                <w:szCs w:val="20"/>
                <w:lang w:val="cs-CZ" w:eastAsia="cs-CZ"/>
              </w:rPr>
            </w:pPr>
            <w:r w:rsidRPr="00F01861">
              <w:rPr>
                <w:rFonts w:asciiTheme="minorHAnsi" w:hAnsiTheme="minorHAnsi"/>
                <w:i/>
                <w:iCs/>
                <w:sz w:val="20"/>
                <w:szCs w:val="20"/>
                <w:lang w:val="cs-CZ"/>
              </w:rPr>
              <w:t>Další ustanovení (podle čl.14 odst.7</w:t>
            </w:r>
            <w:r w:rsidR="00F01861">
              <w:rPr>
                <w:rFonts w:asciiTheme="minorHAnsi" w:hAnsiTheme="minorHAnsi"/>
                <w:i/>
                <w:iCs/>
                <w:sz w:val="20"/>
                <w:szCs w:val="20"/>
                <w:lang w:val="cs-CZ"/>
              </w:rPr>
              <w:t xml:space="preserve"> N</w:t>
            </w:r>
            <w:r w:rsidRPr="00F01861">
              <w:rPr>
                <w:rFonts w:asciiTheme="minorHAnsi" w:hAnsiTheme="minorHAnsi"/>
                <w:i/>
                <w:iCs/>
                <w:sz w:val="20"/>
                <w:szCs w:val="20"/>
                <w:lang w:val="cs-CZ"/>
              </w:rPr>
              <w:t>ařízení (ES) č.</w:t>
            </w:r>
            <w:r w:rsidR="00F01861">
              <w:rPr>
                <w:rFonts w:asciiTheme="minorHAnsi" w:hAnsiTheme="minorHAnsi"/>
                <w:i/>
                <w:iCs/>
                <w:sz w:val="20"/>
                <w:szCs w:val="20"/>
                <w:lang w:val="cs-CZ"/>
              </w:rPr>
              <w:t xml:space="preserve"> </w:t>
            </w:r>
            <w:r w:rsidRPr="00F01861">
              <w:rPr>
                <w:rFonts w:asciiTheme="minorHAnsi" w:hAnsiTheme="minorHAnsi"/>
                <w:i/>
                <w:iCs/>
                <w:sz w:val="20"/>
                <w:szCs w:val="20"/>
                <w:lang w:val="cs-CZ"/>
              </w:rPr>
              <w:t>470/2009)</w:t>
            </w:r>
          </w:p>
        </w:tc>
      </w:tr>
      <w:tr w:rsidR="000877E9" w:rsidRPr="00F01861" w14:paraId="5D02C86B" w14:textId="77777777" w:rsidTr="00F01861"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16DCF" w14:textId="77777777" w:rsidR="000877E9" w:rsidRPr="00F01861" w:rsidRDefault="000877E9" w:rsidP="00F01861">
            <w:pPr>
              <w:pStyle w:val="Default"/>
              <w:spacing w:after="120"/>
              <w:rPr>
                <w:rFonts w:asciiTheme="minorHAnsi" w:hAnsiTheme="minorHAnsi"/>
                <w:sz w:val="20"/>
                <w:szCs w:val="20"/>
                <w:lang w:val="cs-CZ"/>
              </w:rPr>
            </w:pPr>
            <w:r w:rsidRPr="00F01861">
              <w:rPr>
                <w:rFonts w:asciiTheme="minorHAnsi" w:hAnsiTheme="minorHAnsi"/>
                <w:sz w:val="20"/>
                <w:szCs w:val="20"/>
                <w:lang w:val="cs-CZ"/>
              </w:rPr>
              <w:t>Jód a anorganické sloučeniny jódu včetně:</w:t>
            </w:r>
          </w:p>
          <w:p w14:paraId="72AE8B4B" w14:textId="77777777" w:rsidR="000877E9" w:rsidRPr="00F01861" w:rsidRDefault="000877E9" w:rsidP="00F01861">
            <w:pPr>
              <w:pStyle w:val="Default"/>
              <w:spacing w:after="120"/>
              <w:rPr>
                <w:rFonts w:asciiTheme="minorHAnsi" w:hAnsiTheme="minorHAnsi"/>
                <w:sz w:val="20"/>
                <w:szCs w:val="20"/>
                <w:lang w:val="cs-CZ"/>
              </w:rPr>
            </w:pPr>
            <w:r w:rsidRPr="00F01861">
              <w:rPr>
                <w:rFonts w:asciiTheme="minorHAnsi" w:hAnsiTheme="minorHAnsi"/>
                <w:sz w:val="20"/>
                <w:szCs w:val="20"/>
                <w:lang w:val="cs-CZ"/>
              </w:rPr>
              <w:t>—</w:t>
            </w:r>
          </w:p>
          <w:p w14:paraId="2D22A812" w14:textId="77777777" w:rsidR="000877E9" w:rsidRPr="00F01861" w:rsidRDefault="000877E9" w:rsidP="00F01861">
            <w:pPr>
              <w:pStyle w:val="Default"/>
              <w:spacing w:after="120"/>
              <w:rPr>
                <w:rFonts w:asciiTheme="minorHAnsi" w:hAnsiTheme="minorHAnsi"/>
                <w:sz w:val="20"/>
                <w:szCs w:val="20"/>
                <w:lang w:val="cs-CZ"/>
              </w:rPr>
            </w:pPr>
            <w:r w:rsidRPr="00F01861">
              <w:rPr>
                <w:rFonts w:asciiTheme="minorHAnsi" w:hAnsiTheme="minorHAnsi"/>
                <w:sz w:val="20"/>
                <w:szCs w:val="20"/>
                <w:lang w:val="cs-CZ"/>
              </w:rPr>
              <w:t>jodidu sodného a draselného —</w:t>
            </w:r>
          </w:p>
          <w:p w14:paraId="25967CB4" w14:textId="77777777" w:rsidR="000877E9" w:rsidRPr="00F01861" w:rsidRDefault="000877E9" w:rsidP="00F01861">
            <w:pPr>
              <w:pStyle w:val="Default"/>
              <w:spacing w:after="120"/>
              <w:rPr>
                <w:rFonts w:asciiTheme="minorHAnsi" w:hAnsiTheme="minorHAnsi"/>
                <w:sz w:val="20"/>
                <w:szCs w:val="20"/>
                <w:lang w:val="cs-CZ"/>
              </w:rPr>
            </w:pPr>
            <w:r w:rsidRPr="00F01861">
              <w:rPr>
                <w:rFonts w:asciiTheme="minorHAnsi" w:hAnsiTheme="minorHAnsi"/>
                <w:sz w:val="20"/>
                <w:szCs w:val="20"/>
                <w:lang w:val="cs-CZ"/>
              </w:rPr>
              <w:t>jodičnanu sodného a draselného—</w:t>
            </w:r>
          </w:p>
          <w:p w14:paraId="193AC7C8" w14:textId="77777777" w:rsidR="000877E9" w:rsidRPr="00F01861" w:rsidRDefault="000877E9" w:rsidP="00F01861">
            <w:pPr>
              <w:spacing w:after="120"/>
              <w:rPr>
                <w:rFonts w:asciiTheme="minorHAnsi" w:hAnsiTheme="minorHAnsi" w:cs="EUAlbertina"/>
                <w:b/>
                <w:bCs/>
                <w:color w:val="FF0000"/>
                <w:sz w:val="20"/>
                <w:szCs w:val="20"/>
                <w:lang w:val="cs-CZ"/>
              </w:rPr>
            </w:pPr>
            <w:proofErr w:type="spellStart"/>
            <w:r w:rsidRPr="00F01861">
              <w:rPr>
                <w:rFonts w:asciiTheme="minorHAnsi" w:hAnsiTheme="minorHAnsi"/>
                <w:sz w:val="20"/>
                <w:szCs w:val="20"/>
                <w:lang w:val="cs-CZ"/>
              </w:rPr>
              <w:t>jodoforů</w:t>
            </w:r>
            <w:proofErr w:type="spellEnd"/>
            <w:r w:rsidRPr="00F01861">
              <w:rPr>
                <w:rFonts w:asciiTheme="minorHAnsi" w:hAnsiTheme="minorHAnsi"/>
                <w:sz w:val="20"/>
                <w:szCs w:val="20"/>
                <w:lang w:val="cs-CZ"/>
              </w:rPr>
              <w:t xml:space="preserve"> včetně </w:t>
            </w:r>
            <w:proofErr w:type="spellStart"/>
            <w:r w:rsidRPr="00F01861">
              <w:rPr>
                <w:rFonts w:asciiTheme="minorHAnsi" w:hAnsiTheme="minorHAnsi"/>
                <w:sz w:val="20"/>
                <w:szCs w:val="20"/>
                <w:lang w:val="cs-CZ"/>
              </w:rPr>
              <w:t>polyvinylpyrolidonu</w:t>
            </w:r>
            <w:proofErr w:type="spellEnd"/>
            <w:r w:rsidRPr="00F01861">
              <w:rPr>
                <w:rFonts w:asciiTheme="minorHAnsi" w:hAnsiTheme="minorHAnsi"/>
                <w:sz w:val="20"/>
                <w:szCs w:val="20"/>
                <w:lang w:val="cs-CZ"/>
              </w:rPr>
              <w:t xml:space="preserve"> s komplexně vázaným jódem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EF495" w14:textId="77777777" w:rsidR="000877E9" w:rsidRPr="00F01861" w:rsidRDefault="000877E9" w:rsidP="00F01861">
            <w:pPr>
              <w:spacing w:after="120"/>
              <w:rPr>
                <w:rFonts w:asciiTheme="minorHAnsi" w:hAnsiTheme="minorHAnsi" w:cs="EUAlbertina"/>
                <w:b/>
                <w:bCs/>
                <w:color w:val="FF0000"/>
                <w:sz w:val="20"/>
                <w:szCs w:val="20"/>
                <w:lang w:val="cs-CZ"/>
              </w:rPr>
            </w:pPr>
            <w:r w:rsidRPr="00F01861">
              <w:rPr>
                <w:rFonts w:asciiTheme="minorHAnsi" w:hAnsiTheme="minorHAnsi"/>
                <w:sz w:val="20"/>
                <w:szCs w:val="20"/>
                <w:lang w:val="cs-CZ" w:eastAsia="cs-CZ"/>
              </w:rPr>
              <w:t>Netýká se této položky.</w:t>
            </w:r>
          </w:p>
          <w:p w14:paraId="7BC9E96B" w14:textId="77777777" w:rsidR="000877E9" w:rsidRPr="00F01861" w:rsidRDefault="000877E9" w:rsidP="00F01861">
            <w:pPr>
              <w:spacing w:after="120"/>
              <w:ind w:left="2829"/>
              <w:jc w:val="both"/>
              <w:rPr>
                <w:rFonts w:asciiTheme="minorHAnsi" w:hAnsiTheme="minorHAnsi" w:cs="EUAlbertina"/>
                <w:sz w:val="20"/>
                <w:szCs w:val="20"/>
                <w:lang w:val="cs-CZ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CA04A" w14:textId="77777777" w:rsidR="000877E9" w:rsidRPr="00F01861" w:rsidRDefault="000877E9" w:rsidP="00F01861">
            <w:pPr>
              <w:pStyle w:val="Default"/>
              <w:spacing w:after="120"/>
              <w:rPr>
                <w:rFonts w:asciiTheme="minorHAnsi" w:hAnsiTheme="minorHAnsi"/>
                <w:sz w:val="20"/>
                <w:szCs w:val="20"/>
                <w:lang w:val="cs-CZ"/>
              </w:rPr>
            </w:pPr>
            <w:r w:rsidRPr="00F01861">
              <w:rPr>
                <w:rFonts w:asciiTheme="minorHAnsi" w:hAnsiTheme="minorHAnsi"/>
                <w:sz w:val="20"/>
                <w:szCs w:val="20"/>
                <w:lang w:val="cs-CZ"/>
              </w:rPr>
              <w:t>Všechny druhy zvířat určené k produkci potravin</w:t>
            </w:r>
          </w:p>
          <w:p w14:paraId="5B6DF872" w14:textId="77777777" w:rsidR="000877E9" w:rsidRPr="00F01861" w:rsidRDefault="000877E9" w:rsidP="00F01861">
            <w:pPr>
              <w:spacing w:after="120"/>
              <w:rPr>
                <w:rFonts w:asciiTheme="minorHAnsi" w:hAnsiTheme="minorHAnsi" w:cs="EUAlbertina"/>
                <w:b/>
                <w:bCs/>
                <w:color w:val="FF0000"/>
                <w:sz w:val="20"/>
                <w:szCs w:val="20"/>
                <w:lang w:val="cs-CZ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104C8" w14:textId="77777777" w:rsidR="000877E9" w:rsidRPr="00F01861" w:rsidRDefault="000877E9" w:rsidP="00F01861">
            <w:pPr>
              <w:pStyle w:val="Default"/>
              <w:spacing w:after="120"/>
              <w:rPr>
                <w:rFonts w:asciiTheme="minorHAnsi" w:hAnsiTheme="minorHAnsi"/>
                <w:sz w:val="20"/>
                <w:szCs w:val="20"/>
                <w:lang w:val="cs-CZ"/>
              </w:rPr>
            </w:pPr>
            <w:r w:rsidRPr="00F01861">
              <w:rPr>
                <w:rFonts w:asciiTheme="minorHAnsi" w:hAnsiTheme="minorHAnsi"/>
                <w:sz w:val="20"/>
                <w:szCs w:val="20"/>
                <w:lang w:val="cs-CZ"/>
              </w:rPr>
              <w:t>Není nutné stanovit MRL.</w:t>
            </w:r>
          </w:p>
          <w:p w14:paraId="67813E8D" w14:textId="77777777" w:rsidR="000877E9" w:rsidRPr="00F01861" w:rsidRDefault="000877E9" w:rsidP="00F01861">
            <w:pPr>
              <w:spacing w:after="120"/>
              <w:rPr>
                <w:rFonts w:asciiTheme="minorHAnsi" w:hAnsiTheme="minorHAnsi" w:cs="EUAlbertina"/>
                <w:b/>
                <w:bCs/>
                <w:color w:val="FF0000"/>
                <w:sz w:val="20"/>
                <w:szCs w:val="20"/>
                <w:lang w:val="cs-CZ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99584" w14:textId="77777777" w:rsidR="000877E9" w:rsidRPr="00F01861" w:rsidRDefault="000877E9" w:rsidP="00F01861">
            <w:pPr>
              <w:spacing w:after="120"/>
              <w:rPr>
                <w:rFonts w:asciiTheme="minorHAnsi" w:hAnsiTheme="minorHAnsi" w:cs="EUAlbertina"/>
                <w:b/>
                <w:bCs/>
                <w:color w:val="FF0000"/>
                <w:sz w:val="20"/>
                <w:szCs w:val="20"/>
                <w:lang w:val="cs-CZ"/>
              </w:rPr>
            </w:pPr>
            <w:r w:rsidRPr="00F01861">
              <w:rPr>
                <w:rFonts w:asciiTheme="minorHAnsi" w:hAnsiTheme="minorHAnsi"/>
                <w:sz w:val="20"/>
                <w:szCs w:val="20"/>
                <w:lang w:val="cs-CZ" w:eastAsia="cs-CZ"/>
              </w:rPr>
              <w:t>Netýká se této položky.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9D12D" w14:textId="77777777" w:rsidR="000877E9" w:rsidRPr="00F01861" w:rsidRDefault="000877E9" w:rsidP="00F01861">
            <w:pPr>
              <w:spacing w:after="120"/>
              <w:rPr>
                <w:rFonts w:asciiTheme="minorHAnsi" w:hAnsiTheme="minorHAnsi" w:cs="EUAlbertina"/>
                <w:bCs/>
                <w:sz w:val="20"/>
                <w:szCs w:val="20"/>
                <w:lang w:val="cs-CZ"/>
              </w:rPr>
            </w:pPr>
            <w:r w:rsidRPr="00F01861">
              <w:rPr>
                <w:rFonts w:asciiTheme="minorHAnsi" w:hAnsiTheme="minorHAnsi" w:cs="EUAlbertina"/>
                <w:bCs/>
                <w:sz w:val="20"/>
                <w:szCs w:val="20"/>
                <w:lang w:val="cs-CZ"/>
              </w:rPr>
              <w:t>Žádná</w:t>
            </w:r>
          </w:p>
          <w:p w14:paraId="0BDA9E97" w14:textId="77777777" w:rsidR="000877E9" w:rsidRPr="00F01861" w:rsidRDefault="000877E9" w:rsidP="00F01861">
            <w:pPr>
              <w:spacing w:after="120"/>
              <w:ind w:left="2829"/>
              <w:jc w:val="both"/>
              <w:rPr>
                <w:rFonts w:asciiTheme="minorHAnsi" w:hAnsiTheme="minorHAnsi" w:cs="EUAlbertina"/>
                <w:sz w:val="20"/>
                <w:szCs w:val="20"/>
                <w:lang w:val="cs-CZ"/>
              </w:rPr>
            </w:pPr>
          </w:p>
        </w:tc>
      </w:tr>
    </w:tbl>
    <w:p w14:paraId="4ECF883D" w14:textId="77777777" w:rsidR="000877E9" w:rsidRPr="00F01861" w:rsidRDefault="000877E9" w:rsidP="00F01861">
      <w:pPr>
        <w:spacing w:after="120"/>
        <w:jc w:val="both"/>
      </w:pPr>
    </w:p>
    <w:p w14:paraId="0AAA5E0F" w14:textId="77777777" w:rsidR="000877E9" w:rsidRPr="00F01861" w:rsidRDefault="000877E9" w:rsidP="00F01861">
      <w:pPr>
        <w:spacing w:after="120"/>
        <w:jc w:val="both"/>
      </w:pPr>
      <w:r w:rsidRPr="00F01861">
        <w:t>Z výše uvedeného tak vyplývá, že MRL pro všechny druhy zvířat určené k produkci potravin není nutné MRL stanovit.</w:t>
      </w:r>
    </w:p>
    <w:p w14:paraId="44E72D61" w14:textId="75E5B22F" w:rsidR="00310B05" w:rsidRPr="00F01861" w:rsidRDefault="000877E9" w:rsidP="00F01861">
      <w:pPr>
        <w:spacing w:after="120"/>
        <w:jc w:val="both"/>
        <w:rPr>
          <w:rFonts w:asciiTheme="minorHAnsi" w:hAnsiTheme="minorHAnsi"/>
        </w:rPr>
      </w:pPr>
      <w:r w:rsidRPr="00F01861">
        <w:rPr>
          <w:rFonts w:asciiTheme="minorHAnsi" w:hAnsiTheme="minorHAnsi"/>
        </w:rPr>
        <w:t xml:space="preserve">Dále </w:t>
      </w:r>
      <w:r w:rsidR="00C005C5" w:rsidRPr="00F01861">
        <w:rPr>
          <w:rFonts w:asciiTheme="minorHAnsi" w:hAnsiTheme="minorHAnsi"/>
        </w:rPr>
        <w:t>ÚSKVBL vzal v úvahu souhrnnou zprávu pro jod vypracovanou Evropskou lékovou agenturou</w:t>
      </w:r>
      <w:r w:rsidR="00310B05" w:rsidRPr="00F01861">
        <w:rPr>
          <w:rFonts w:asciiTheme="minorHAnsi" w:hAnsiTheme="minorHAnsi"/>
        </w:rPr>
        <w:t xml:space="preserve"> (publikovanou</w:t>
      </w:r>
      <w:r w:rsidR="00C005C5" w:rsidRPr="00F01861">
        <w:rPr>
          <w:rFonts w:asciiTheme="minorHAnsi" w:hAnsiTheme="minorHAnsi"/>
        </w:rPr>
        <w:t>:</w:t>
      </w:r>
      <w:hyperlink r:id="rId6" w:history="1">
        <w:r w:rsidR="00310B05" w:rsidRPr="00F01861">
          <w:rPr>
            <w:rStyle w:val="Hypertextovodkaz"/>
            <w:rFonts w:asciiTheme="minorHAnsi" w:hAnsiTheme="minorHAnsi"/>
          </w:rPr>
          <w:t>http://www.ema.europa.eu/docs/en_GB/document_library/Maximum_Residue_Limits_-_Report/2009/11/WC500014479.pdf</w:t>
        </w:r>
      </w:hyperlink>
      <w:r w:rsidR="00310B05" w:rsidRPr="00F01861">
        <w:rPr>
          <w:rFonts w:asciiTheme="minorHAnsi" w:hAnsiTheme="minorHAnsi"/>
        </w:rPr>
        <w:t xml:space="preserve">). Ve zprávě se v bodě 4 uvádí, že koncentrace jodu v mléce je závislá na obsahu jodu na výživě zvířat, na obsahu jodu v přípravku na namáčení struků nebo ve </w:t>
      </w:r>
      <w:proofErr w:type="gramStart"/>
      <w:r w:rsidR="00310B05" w:rsidRPr="00F01861">
        <w:rPr>
          <w:rFonts w:asciiTheme="minorHAnsi" w:hAnsiTheme="minorHAnsi"/>
        </w:rPr>
        <w:t>spreji  a</w:t>
      </w:r>
      <w:proofErr w:type="gramEnd"/>
      <w:r w:rsidR="00310B05" w:rsidRPr="00F01861">
        <w:rPr>
          <w:rFonts w:asciiTheme="minorHAnsi" w:hAnsiTheme="minorHAnsi"/>
        </w:rPr>
        <w:t xml:space="preserve"> na povaze hygienické praxe v průběhu dojení. V séru došlo jenom k malému zvýšení koncentrace jodu po použití přípravků na namáčení struků. </w:t>
      </w:r>
    </w:p>
    <w:p w14:paraId="73C4CA76" w14:textId="07F1BE59" w:rsidR="00310B05" w:rsidRPr="00F01861" w:rsidRDefault="00310B05" w:rsidP="00F01861">
      <w:pPr>
        <w:spacing w:after="120"/>
        <w:jc w:val="both"/>
        <w:rPr>
          <w:rFonts w:asciiTheme="minorHAnsi" w:hAnsiTheme="minorHAnsi"/>
        </w:rPr>
      </w:pPr>
      <w:r w:rsidRPr="00F01861">
        <w:rPr>
          <w:rFonts w:asciiTheme="minorHAnsi" w:hAnsiTheme="minorHAnsi"/>
        </w:rPr>
        <w:t>JECFA stanovila provizorní maximální tolerovatelný denní příjem na 1.0 mg/ den (ze všech zdrojů).</w:t>
      </w:r>
    </w:p>
    <w:p w14:paraId="5F98041B" w14:textId="47B25964" w:rsidR="00310B05" w:rsidRPr="00F01861" w:rsidRDefault="006427FB" w:rsidP="00F01861">
      <w:pPr>
        <w:shd w:val="clear" w:color="auto" w:fill="FFFFFF"/>
        <w:spacing w:after="120"/>
        <w:rPr>
          <w:rFonts w:asciiTheme="minorHAnsi" w:hAnsiTheme="minorHAnsi"/>
          <w:color w:val="000000"/>
          <w:lang w:eastAsia="en-GB"/>
        </w:rPr>
      </w:pPr>
      <w:r w:rsidRPr="00F01861">
        <w:rPr>
          <w:rFonts w:asciiTheme="minorHAnsi" w:hAnsiTheme="minorHAnsi"/>
        </w:rPr>
        <w:t>A d</w:t>
      </w:r>
      <w:r w:rsidR="00310B05" w:rsidRPr="00F01861">
        <w:rPr>
          <w:rFonts w:asciiTheme="minorHAnsi" w:hAnsiTheme="minorHAnsi"/>
        </w:rPr>
        <w:t xml:space="preserve">ále dle článku </w:t>
      </w:r>
      <w:hyperlink r:id="rId7" w:history="1">
        <w:r w:rsidR="00310B05" w:rsidRPr="00F01861">
          <w:rPr>
            <w:rStyle w:val="Hypertextovodkaz"/>
            <w:rFonts w:asciiTheme="minorHAnsi" w:hAnsiTheme="minorHAnsi"/>
            <w:color w:val="auto"/>
            <w:lang w:eastAsia="en-GB"/>
          </w:rPr>
          <w:t>Castro SI</w:t>
        </w:r>
      </w:hyperlink>
      <w:r w:rsidR="00310B05" w:rsidRPr="00F01861">
        <w:rPr>
          <w:rFonts w:asciiTheme="minorHAnsi" w:hAnsiTheme="minorHAnsi"/>
          <w:vertAlign w:val="superscript"/>
          <w:lang w:eastAsia="en-GB"/>
        </w:rPr>
        <w:t>1</w:t>
      </w:r>
      <w:r w:rsidR="00310B05" w:rsidRPr="00F01861">
        <w:rPr>
          <w:rFonts w:asciiTheme="minorHAnsi" w:hAnsiTheme="minorHAnsi"/>
          <w:lang w:eastAsia="en-GB"/>
        </w:rPr>
        <w:t xml:space="preserve">, </w:t>
      </w:r>
      <w:hyperlink r:id="rId8" w:history="1">
        <w:proofErr w:type="spellStart"/>
        <w:r w:rsidR="00310B05" w:rsidRPr="00F01861">
          <w:rPr>
            <w:rStyle w:val="Hypertextovodkaz"/>
            <w:rFonts w:asciiTheme="minorHAnsi" w:hAnsiTheme="minorHAnsi"/>
            <w:color w:val="auto"/>
            <w:lang w:eastAsia="en-GB"/>
          </w:rPr>
          <w:t>Berthiaume</w:t>
        </w:r>
        <w:proofErr w:type="spellEnd"/>
        <w:r w:rsidR="00310B05" w:rsidRPr="00F01861">
          <w:rPr>
            <w:rStyle w:val="Hypertextovodkaz"/>
            <w:rFonts w:asciiTheme="minorHAnsi" w:hAnsiTheme="minorHAnsi"/>
            <w:color w:val="auto"/>
            <w:lang w:eastAsia="en-GB"/>
          </w:rPr>
          <w:t xml:space="preserve"> R</w:t>
        </w:r>
      </w:hyperlink>
      <w:r w:rsidR="00310B05" w:rsidRPr="00F01861">
        <w:rPr>
          <w:rFonts w:asciiTheme="minorHAnsi" w:hAnsiTheme="minorHAnsi"/>
          <w:lang w:eastAsia="en-GB"/>
        </w:rPr>
        <w:t xml:space="preserve">, </w:t>
      </w:r>
      <w:hyperlink r:id="rId9" w:history="1">
        <w:proofErr w:type="spellStart"/>
        <w:r w:rsidR="00310B05" w:rsidRPr="00F01861">
          <w:rPr>
            <w:rStyle w:val="Hypertextovodkaz"/>
            <w:rFonts w:asciiTheme="minorHAnsi" w:hAnsiTheme="minorHAnsi"/>
            <w:color w:val="auto"/>
            <w:lang w:eastAsia="en-GB"/>
          </w:rPr>
          <w:t>Robichaud</w:t>
        </w:r>
        <w:proofErr w:type="spellEnd"/>
        <w:r w:rsidR="00310B05" w:rsidRPr="00F01861">
          <w:rPr>
            <w:rStyle w:val="Hypertextovodkaz"/>
            <w:rFonts w:asciiTheme="minorHAnsi" w:hAnsiTheme="minorHAnsi"/>
            <w:color w:val="auto"/>
            <w:lang w:eastAsia="en-GB"/>
          </w:rPr>
          <w:t xml:space="preserve"> A</w:t>
        </w:r>
      </w:hyperlink>
      <w:r w:rsidR="00310B05" w:rsidRPr="00F01861">
        <w:rPr>
          <w:rFonts w:asciiTheme="minorHAnsi" w:hAnsiTheme="minorHAnsi"/>
          <w:lang w:eastAsia="en-GB"/>
        </w:rPr>
        <w:t xml:space="preserve">, </w:t>
      </w:r>
      <w:hyperlink r:id="rId10" w:history="1">
        <w:proofErr w:type="spellStart"/>
        <w:r w:rsidR="00310B05" w:rsidRPr="00F01861">
          <w:rPr>
            <w:rStyle w:val="Hypertextovodkaz"/>
            <w:rFonts w:asciiTheme="minorHAnsi" w:hAnsiTheme="minorHAnsi"/>
            <w:color w:val="auto"/>
            <w:lang w:eastAsia="en-GB"/>
          </w:rPr>
          <w:t>Lacasse</w:t>
        </w:r>
        <w:proofErr w:type="spellEnd"/>
        <w:r w:rsidR="00310B05" w:rsidRPr="00F01861">
          <w:rPr>
            <w:rStyle w:val="Hypertextovodkaz"/>
            <w:rFonts w:asciiTheme="minorHAnsi" w:hAnsiTheme="minorHAnsi"/>
            <w:color w:val="auto"/>
            <w:lang w:eastAsia="en-GB"/>
          </w:rPr>
          <w:t xml:space="preserve"> P</w:t>
        </w:r>
      </w:hyperlink>
      <w:r w:rsidR="00310B05" w:rsidRPr="00F01861">
        <w:rPr>
          <w:rFonts w:asciiTheme="minorHAnsi" w:hAnsiTheme="minorHAnsi"/>
          <w:lang w:eastAsia="en-GB"/>
        </w:rPr>
        <w:t>.:</w:t>
      </w:r>
      <w:r w:rsidR="00310B05" w:rsidRPr="00F01861">
        <w:rPr>
          <w:rFonts w:asciiTheme="minorHAnsi" w:hAnsiTheme="minorHAnsi"/>
        </w:rPr>
        <w:t xml:space="preserve"> </w:t>
      </w:r>
      <w:proofErr w:type="spellStart"/>
      <w:r w:rsidR="00310B05" w:rsidRPr="00F01861">
        <w:rPr>
          <w:rFonts w:asciiTheme="minorHAnsi" w:hAnsiTheme="minorHAnsi"/>
          <w:lang w:eastAsia="en-GB"/>
        </w:rPr>
        <w:t>Effects</w:t>
      </w:r>
      <w:proofErr w:type="spellEnd"/>
      <w:r w:rsidR="00310B05" w:rsidRPr="00F01861">
        <w:rPr>
          <w:rFonts w:asciiTheme="minorHAnsi" w:hAnsiTheme="minorHAnsi"/>
          <w:lang w:eastAsia="en-GB"/>
        </w:rPr>
        <w:t xml:space="preserve"> </w:t>
      </w:r>
      <w:proofErr w:type="spellStart"/>
      <w:r w:rsidR="00310B05" w:rsidRPr="00F01861">
        <w:rPr>
          <w:rFonts w:asciiTheme="minorHAnsi" w:hAnsiTheme="minorHAnsi"/>
          <w:lang w:eastAsia="en-GB"/>
        </w:rPr>
        <w:t>of</w:t>
      </w:r>
      <w:proofErr w:type="spellEnd"/>
      <w:r w:rsidR="00310B05" w:rsidRPr="00F01861">
        <w:rPr>
          <w:rFonts w:asciiTheme="minorHAnsi" w:hAnsiTheme="minorHAnsi"/>
          <w:lang w:eastAsia="en-GB"/>
        </w:rPr>
        <w:t xml:space="preserve"> </w:t>
      </w:r>
      <w:proofErr w:type="spellStart"/>
      <w:r w:rsidR="00310B05" w:rsidRPr="00F01861">
        <w:rPr>
          <w:rFonts w:asciiTheme="minorHAnsi" w:hAnsiTheme="minorHAnsi"/>
          <w:lang w:eastAsia="en-GB"/>
        </w:rPr>
        <w:t>iodine</w:t>
      </w:r>
      <w:proofErr w:type="spellEnd"/>
      <w:r w:rsidR="00310B05" w:rsidRPr="00F01861">
        <w:rPr>
          <w:rFonts w:asciiTheme="minorHAnsi" w:hAnsiTheme="minorHAnsi"/>
          <w:lang w:eastAsia="en-GB"/>
        </w:rPr>
        <w:t xml:space="preserve"> </w:t>
      </w:r>
      <w:proofErr w:type="spellStart"/>
      <w:r w:rsidR="00310B05" w:rsidRPr="00F01861">
        <w:rPr>
          <w:rFonts w:asciiTheme="minorHAnsi" w:hAnsiTheme="minorHAnsi"/>
          <w:lang w:eastAsia="en-GB"/>
        </w:rPr>
        <w:t>intake</w:t>
      </w:r>
      <w:proofErr w:type="spellEnd"/>
      <w:r w:rsidR="00310B05" w:rsidRPr="00F01861">
        <w:rPr>
          <w:rFonts w:asciiTheme="minorHAnsi" w:hAnsiTheme="minorHAnsi"/>
          <w:lang w:eastAsia="en-GB"/>
        </w:rPr>
        <w:t xml:space="preserve"> and </w:t>
      </w:r>
      <w:proofErr w:type="spellStart"/>
      <w:r w:rsidR="00310B05" w:rsidRPr="00F01861">
        <w:rPr>
          <w:rFonts w:asciiTheme="minorHAnsi" w:hAnsiTheme="minorHAnsi"/>
          <w:lang w:eastAsia="en-GB"/>
        </w:rPr>
        <w:t>teat-dipping</w:t>
      </w:r>
      <w:proofErr w:type="spellEnd"/>
      <w:r w:rsidR="00310B05" w:rsidRPr="00F01861">
        <w:rPr>
          <w:rFonts w:asciiTheme="minorHAnsi" w:hAnsiTheme="minorHAnsi"/>
          <w:lang w:eastAsia="en-GB"/>
        </w:rPr>
        <w:t xml:space="preserve"> </w:t>
      </w:r>
      <w:proofErr w:type="spellStart"/>
      <w:r w:rsidR="00310B05" w:rsidRPr="00F01861">
        <w:rPr>
          <w:rFonts w:asciiTheme="minorHAnsi" w:hAnsiTheme="minorHAnsi"/>
          <w:lang w:eastAsia="en-GB"/>
        </w:rPr>
        <w:t>practices</w:t>
      </w:r>
      <w:proofErr w:type="spellEnd"/>
      <w:r w:rsidR="00310B05" w:rsidRPr="00F01861">
        <w:rPr>
          <w:rFonts w:asciiTheme="minorHAnsi" w:hAnsiTheme="minorHAnsi"/>
          <w:lang w:eastAsia="en-GB"/>
        </w:rPr>
        <w:t xml:space="preserve"> on </w:t>
      </w:r>
      <w:proofErr w:type="spellStart"/>
      <w:r w:rsidR="00310B05" w:rsidRPr="00F01861">
        <w:rPr>
          <w:rFonts w:asciiTheme="minorHAnsi" w:hAnsiTheme="minorHAnsi"/>
          <w:lang w:eastAsia="en-GB"/>
        </w:rPr>
        <w:t>milk</w:t>
      </w:r>
      <w:proofErr w:type="spellEnd"/>
      <w:r w:rsidR="00310B05" w:rsidRPr="00F01861">
        <w:rPr>
          <w:rFonts w:asciiTheme="minorHAnsi" w:hAnsiTheme="minorHAnsi"/>
          <w:lang w:eastAsia="en-GB"/>
        </w:rPr>
        <w:t xml:space="preserve"> </w:t>
      </w:r>
      <w:proofErr w:type="spellStart"/>
      <w:r w:rsidR="00310B05" w:rsidRPr="00F01861">
        <w:rPr>
          <w:rFonts w:asciiTheme="minorHAnsi" w:hAnsiTheme="minorHAnsi"/>
          <w:lang w:eastAsia="en-GB"/>
        </w:rPr>
        <w:t>iodine</w:t>
      </w:r>
      <w:proofErr w:type="spellEnd"/>
      <w:r w:rsidR="00310B05" w:rsidRPr="00F01861">
        <w:rPr>
          <w:rFonts w:asciiTheme="minorHAnsi" w:hAnsiTheme="minorHAnsi"/>
          <w:lang w:eastAsia="en-GB"/>
        </w:rPr>
        <w:t xml:space="preserve"> </w:t>
      </w:r>
      <w:proofErr w:type="spellStart"/>
      <w:r w:rsidR="00310B05" w:rsidRPr="00F01861">
        <w:rPr>
          <w:rFonts w:asciiTheme="minorHAnsi" w:hAnsiTheme="minorHAnsi"/>
          <w:lang w:eastAsia="en-GB"/>
        </w:rPr>
        <w:t>concentrations</w:t>
      </w:r>
      <w:proofErr w:type="spellEnd"/>
      <w:r w:rsidR="00310B05" w:rsidRPr="00F01861">
        <w:rPr>
          <w:rFonts w:asciiTheme="minorHAnsi" w:hAnsiTheme="minorHAnsi"/>
          <w:lang w:eastAsia="en-GB"/>
        </w:rPr>
        <w:t xml:space="preserve"> in </w:t>
      </w:r>
      <w:proofErr w:type="spellStart"/>
      <w:r w:rsidR="00310B05" w:rsidRPr="00F01861">
        <w:rPr>
          <w:rFonts w:asciiTheme="minorHAnsi" w:hAnsiTheme="minorHAnsi"/>
          <w:lang w:eastAsia="en-GB"/>
        </w:rPr>
        <w:t>dairy</w:t>
      </w:r>
      <w:proofErr w:type="spellEnd"/>
      <w:r w:rsidR="00310B05" w:rsidRPr="00F01861">
        <w:rPr>
          <w:rFonts w:asciiTheme="minorHAnsi" w:hAnsiTheme="minorHAnsi"/>
          <w:lang w:eastAsia="en-GB"/>
        </w:rPr>
        <w:t xml:space="preserve"> </w:t>
      </w:r>
      <w:proofErr w:type="spellStart"/>
      <w:r w:rsidR="00310B05" w:rsidRPr="00F01861">
        <w:rPr>
          <w:rFonts w:asciiTheme="minorHAnsi" w:hAnsiTheme="minorHAnsi"/>
          <w:lang w:eastAsia="en-GB"/>
        </w:rPr>
        <w:t>cows</w:t>
      </w:r>
      <w:proofErr w:type="spellEnd"/>
      <w:r w:rsidR="00310B05" w:rsidRPr="00F01861">
        <w:rPr>
          <w:rFonts w:asciiTheme="minorHAnsi" w:hAnsiTheme="minorHAnsi"/>
          <w:lang w:eastAsia="en-GB"/>
        </w:rPr>
        <w:t xml:space="preserve">, 2012 -  je použití </w:t>
      </w:r>
      <w:r w:rsidR="00310B05" w:rsidRPr="00F01861">
        <w:rPr>
          <w:rFonts w:asciiTheme="minorHAnsi" w:hAnsiTheme="minorHAnsi"/>
          <w:color w:val="000000"/>
          <w:lang w:eastAsia="en-GB"/>
        </w:rPr>
        <w:t xml:space="preserve">jodových preparátů </w:t>
      </w:r>
      <w:r w:rsidR="00310B05" w:rsidRPr="00F01861">
        <w:rPr>
          <w:rFonts w:asciiTheme="minorHAnsi" w:hAnsiTheme="minorHAnsi"/>
          <w:b/>
          <w:bCs/>
          <w:color w:val="000000"/>
          <w:lang w:eastAsia="en-GB"/>
        </w:rPr>
        <w:lastRenderedPageBreak/>
        <w:t>po dojení</w:t>
      </w:r>
      <w:r w:rsidR="00310B05" w:rsidRPr="00F01861">
        <w:rPr>
          <w:rFonts w:asciiTheme="minorHAnsi" w:hAnsiTheme="minorHAnsi"/>
          <w:color w:val="000000"/>
          <w:lang w:eastAsia="en-GB"/>
        </w:rPr>
        <w:t xml:space="preserve"> běžnou praxí a nedochází k navýšení množství jodu v mléce při použití 1% jodu ve formě přípravku na namáčení struku. K navýšení obsahu jodu v mléce po dojení došlo při použití sprejové formy (1 % jod) a také došlo k navýšení obsahu jodu při použití jodových preparátů před dojením. </w:t>
      </w:r>
    </w:p>
    <w:p w14:paraId="65E267BB" w14:textId="77777777" w:rsidR="00310B05" w:rsidRPr="00F01861" w:rsidRDefault="00310B05" w:rsidP="00F01861">
      <w:pPr>
        <w:shd w:val="clear" w:color="auto" w:fill="FFFFFF"/>
        <w:spacing w:after="120"/>
        <w:rPr>
          <w:rFonts w:asciiTheme="minorHAnsi" w:hAnsiTheme="minorHAnsi"/>
          <w:color w:val="000000"/>
          <w:lang w:eastAsia="en-GB"/>
        </w:rPr>
      </w:pPr>
      <w:r w:rsidRPr="00F01861">
        <w:rPr>
          <w:rFonts w:asciiTheme="minorHAnsi" w:hAnsiTheme="minorHAnsi"/>
          <w:color w:val="000000"/>
          <w:lang w:eastAsia="en-GB"/>
        </w:rPr>
        <w:t>Obsah jodu v mléce závisí velmi na obsahu jodu v krmivu.</w:t>
      </w:r>
    </w:p>
    <w:p w14:paraId="39B26EAA" w14:textId="77777777" w:rsidR="006427FB" w:rsidRPr="00F01861" w:rsidRDefault="006427FB" w:rsidP="00F01861">
      <w:pPr>
        <w:spacing w:after="120"/>
        <w:outlineLvl w:val="0"/>
        <w:rPr>
          <w:rFonts w:asciiTheme="minorHAnsi" w:hAnsiTheme="minorHAnsi"/>
        </w:rPr>
      </w:pPr>
    </w:p>
    <w:p w14:paraId="0D4C41A8" w14:textId="77777777" w:rsidR="007904B2" w:rsidRPr="00F01861" w:rsidRDefault="00AA1D29" w:rsidP="00F01861">
      <w:pPr>
        <w:spacing w:after="120"/>
        <w:outlineLvl w:val="0"/>
        <w:rPr>
          <w:rFonts w:asciiTheme="minorHAnsi" w:hAnsiTheme="minorHAnsi"/>
          <w:color w:val="000000"/>
          <w:lang w:eastAsia="en-GB"/>
        </w:rPr>
      </w:pPr>
      <w:bookmarkStart w:id="5" w:name="_Toc427317872"/>
      <w:r w:rsidRPr="00F01861">
        <w:rPr>
          <w:rFonts w:asciiTheme="minorHAnsi" w:hAnsiTheme="minorHAnsi"/>
          <w:b/>
          <w:bCs/>
          <w:color w:val="000000"/>
          <w:lang w:eastAsia="en-GB"/>
        </w:rPr>
        <w:t xml:space="preserve">Na základě výše uvedených zdrojů </w:t>
      </w:r>
      <w:r w:rsidR="007904B2" w:rsidRPr="00F01861">
        <w:rPr>
          <w:rFonts w:asciiTheme="minorHAnsi" w:hAnsiTheme="minorHAnsi"/>
          <w:b/>
          <w:bCs/>
          <w:color w:val="000000"/>
          <w:lang w:eastAsia="en-GB"/>
        </w:rPr>
        <w:t>tak ÚSKVBL došel k závěru:</w:t>
      </w:r>
      <w:bookmarkEnd w:id="5"/>
      <w:r w:rsidR="007904B2" w:rsidRPr="00F01861">
        <w:rPr>
          <w:rFonts w:asciiTheme="minorHAnsi" w:hAnsiTheme="minorHAnsi"/>
          <w:color w:val="000000"/>
          <w:lang w:eastAsia="en-GB"/>
        </w:rPr>
        <w:t xml:space="preserve"> </w:t>
      </w:r>
    </w:p>
    <w:p w14:paraId="417F91F6" w14:textId="459D6687" w:rsidR="007904B2" w:rsidRPr="00F01861" w:rsidRDefault="007904B2" w:rsidP="00F01861">
      <w:pPr>
        <w:spacing w:after="120"/>
        <w:jc w:val="both"/>
        <w:outlineLvl w:val="0"/>
        <w:rPr>
          <w:rFonts w:asciiTheme="minorHAnsi" w:hAnsiTheme="minorHAnsi"/>
        </w:rPr>
      </w:pPr>
      <w:bookmarkStart w:id="6" w:name="_Toc427317873"/>
      <w:r w:rsidRPr="00F01861">
        <w:rPr>
          <w:rFonts w:asciiTheme="minorHAnsi" w:hAnsiTheme="minorHAnsi"/>
          <w:color w:val="000000"/>
          <w:lang w:eastAsia="en-GB"/>
        </w:rPr>
        <w:t xml:space="preserve">Z pohledu MRL je látka zařazena a lze ji použít pro potravinové druhy zvířat. U </w:t>
      </w:r>
      <w:r w:rsidR="006427FB" w:rsidRPr="00F01861">
        <w:rPr>
          <w:rFonts w:asciiTheme="minorHAnsi" w:hAnsiTheme="minorHAnsi"/>
          <w:color w:val="000000"/>
          <w:lang w:eastAsia="en-GB"/>
        </w:rPr>
        <w:t xml:space="preserve">současně </w:t>
      </w:r>
      <w:r w:rsidRPr="00F01861">
        <w:rPr>
          <w:rFonts w:asciiTheme="minorHAnsi" w:hAnsiTheme="minorHAnsi"/>
          <w:color w:val="000000"/>
          <w:lang w:eastAsia="en-GB"/>
        </w:rPr>
        <w:t xml:space="preserve">registrovaných veterinárních léčivých přípravků určených k ošetření struků po dojení je obsah dostupného jódu </w:t>
      </w:r>
      <w:r w:rsidR="00503920" w:rsidRPr="00F01861">
        <w:rPr>
          <w:rFonts w:asciiTheme="minorHAnsi" w:hAnsiTheme="minorHAnsi"/>
          <w:color w:val="000000"/>
          <w:lang w:eastAsia="en-GB"/>
        </w:rPr>
        <w:t xml:space="preserve">1500 </w:t>
      </w:r>
      <w:proofErr w:type="spellStart"/>
      <w:r w:rsidR="00503920" w:rsidRPr="00F01861">
        <w:rPr>
          <w:rFonts w:asciiTheme="minorHAnsi" w:hAnsiTheme="minorHAnsi"/>
          <w:color w:val="000000"/>
          <w:lang w:eastAsia="en-GB"/>
        </w:rPr>
        <w:t>ppm</w:t>
      </w:r>
      <w:proofErr w:type="spellEnd"/>
      <w:r w:rsidR="00503920" w:rsidRPr="00F01861">
        <w:rPr>
          <w:rFonts w:asciiTheme="minorHAnsi" w:hAnsiTheme="minorHAnsi"/>
          <w:color w:val="000000"/>
          <w:lang w:eastAsia="en-GB"/>
        </w:rPr>
        <w:t xml:space="preserve"> - 2500 </w:t>
      </w:r>
      <w:proofErr w:type="spellStart"/>
      <w:r w:rsidR="00503920" w:rsidRPr="00F01861">
        <w:rPr>
          <w:rFonts w:asciiTheme="minorHAnsi" w:hAnsiTheme="minorHAnsi"/>
          <w:color w:val="000000"/>
          <w:lang w:eastAsia="en-GB"/>
        </w:rPr>
        <w:t>ppm</w:t>
      </w:r>
      <w:proofErr w:type="spellEnd"/>
      <w:r w:rsidR="00503920" w:rsidRPr="00F01861">
        <w:rPr>
          <w:rFonts w:asciiTheme="minorHAnsi" w:hAnsiTheme="minorHAnsi"/>
          <w:color w:val="000000"/>
          <w:lang w:eastAsia="en-GB"/>
        </w:rPr>
        <w:t>. O</w:t>
      </w:r>
      <w:r w:rsidRPr="00F01861">
        <w:rPr>
          <w:rFonts w:asciiTheme="minorHAnsi" w:hAnsiTheme="minorHAnsi"/>
          <w:color w:val="000000"/>
          <w:lang w:eastAsia="en-GB"/>
        </w:rPr>
        <w:t xml:space="preserve">chranná lhůta zajišťující bezpečnost komodit masa a mléka z pohledu konzumenta je nulová (bez ochranných lhůt). </w:t>
      </w:r>
      <w:r w:rsidR="006427FB" w:rsidRPr="00F01861">
        <w:rPr>
          <w:rFonts w:asciiTheme="minorHAnsi" w:hAnsiTheme="minorHAnsi"/>
          <w:color w:val="000000"/>
          <w:lang w:eastAsia="en-GB"/>
        </w:rPr>
        <w:t xml:space="preserve">Jelikož pro kosmetické přípravky je předpokládané množství </w:t>
      </w:r>
      <w:r w:rsidR="002A2220" w:rsidRPr="00F01861">
        <w:rPr>
          <w:rFonts w:asciiTheme="minorHAnsi" w:hAnsiTheme="minorHAnsi"/>
          <w:color w:val="000000"/>
          <w:lang w:eastAsia="en-GB"/>
        </w:rPr>
        <w:t>dostupného jódu nižší ve srovnání s obsahem pro veterinární léčivé přípravky i zde</w:t>
      </w:r>
      <w:r w:rsidR="006427FB" w:rsidRPr="00F01861">
        <w:rPr>
          <w:rFonts w:asciiTheme="minorHAnsi" w:hAnsiTheme="minorHAnsi"/>
          <w:color w:val="000000"/>
          <w:lang w:eastAsia="en-GB"/>
        </w:rPr>
        <w:t xml:space="preserve"> </w:t>
      </w:r>
      <w:r w:rsidR="002A2220" w:rsidRPr="00F01861">
        <w:rPr>
          <w:rFonts w:asciiTheme="minorHAnsi" w:hAnsiTheme="minorHAnsi"/>
          <w:color w:val="000000"/>
          <w:lang w:eastAsia="en-GB"/>
        </w:rPr>
        <w:t xml:space="preserve">ochranná lhůta zajišťující bezpečnost komodit masa a mléka z pohledu konzumenta je nulová (bez ochranných lhůt). </w:t>
      </w:r>
      <w:r w:rsidR="00D200C7" w:rsidRPr="00F01861">
        <w:rPr>
          <w:rFonts w:asciiTheme="minorHAnsi" w:hAnsiTheme="minorHAnsi"/>
          <w:color w:val="000000"/>
          <w:lang w:eastAsia="en-GB"/>
        </w:rPr>
        <w:t xml:space="preserve">Pokud bychom například vzali v úvahu </w:t>
      </w:r>
      <w:r w:rsidR="002A2220" w:rsidRPr="00F01861">
        <w:rPr>
          <w:rFonts w:asciiTheme="minorHAnsi" w:hAnsiTheme="minorHAnsi"/>
          <w:color w:val="000000"/>
          <w:lang w:eastAsia="en-GB"/>
        </w:rPr>
        <w:t>příprav</w:t>
      </w:r>
      <w:r w:rsidR="00D200C7" w:rsidRPr="00F01861">
        <w:rPr>
          <w:rFonts w:asciiTheme="minorHAnsi" w:hAnsiTheme="minorHAnsi"/>
          <w:color w:val="000000"/>
          <w:lang w:eastAsia="en-GB"/>
        </w:rPr>
        <w:t>e</w:t>
      </w:r>
      <w:r w:rsidR="002A2220" w:rsidRPr="00F01861">
        <w:rPr>
          <w:rFonts w:asciiTheme="minorHAnsi" w:hAnsiTheme="minorHAnsi"/>
          <w:color w:val="000000"/>
          <w:lang w:eastAsia="en-GB"/>
        </w:rPr>
        <w:t>k u</w:t>
      </w:r>
      <w:r w:rsidR="00503920" w:rsidRPr="00F01861">
        <w:rPr>
          <w:rFonts w:asciiTheme="minorHAnsi" w:hAnsiTheme="minorHAnsi"/>
        </w:rPr>
        <w:t>rčený</w:t>
      </w:r>
      <w:r w:rsidR="002A2220" w:rsidRPr="00F01861">
        <w:rPr>
          <w:rFonts w:asciiTheme="minorHAnsi" w:hAnsiTheme="minorHAnsi"/>
        </w:rPr>
        <w:t xml:space="preserve"> k ošetření strukového kanálku po dojení,</w:t>
      </w:r>
      <w:r w:rsidR="002A2220" w:rsidRPr="00F01861">
        <w:rPr>
          <w:rFonts w:asciiTheme="minorHAnsi" w:hAnsiTheme="minorHAnsi"/>
          <w:color w:val="000000"/>
          <w:lang w:eastAsia="en-GB"/>
        </w:rPr>
        <w:t xml:space="preserve"> obsahující </w:t>
      </w:r>
      <w:r w:rsidRPr="00F01861">
        <w:rPr>
          <w:rFonts w:asciiTheme="minorHAnsi" w:hAnsiTheme="minorHAnsi"/>
        </w:rPr>
        <w:t xml:space="preserve">PVP Jód </w:t>
      </w:r>
      <w:proofErr w:type="gramStart"/>
      <w:r w:rsidRPr="00F01861">
        <w:rPr>
          <w:rFonts w:asciiTheme="minorHAnsi" w:hAnsiTheme="minorHAnsi"/>
        </w:rPr>
        <w:t>10%</w:t>
      </w:r>
      <w:proofErr w:type="gramEnd"/>
      <w:r w:rsidR="002A2220" w:rsidRPr="00F01861">
        <w:rPr>
          <w:rFonts w:asciiTheme="minorHAnsi" w:hAnsiTheme="minorHAnsi"/>
        </w:rPr>
        <w:t xml:space="preserve">, </w:t>
      </w:r>
      <w:r w:rsidRPr="00F01861">
        <w:rPr>
          <w:rFonts w:asciiTheme="minorHAnsi" w:hAnsiTheme="minorHAnsi"/>
          <w:color w:val="000000"/>
          <w:lang w:eastAsia="en-GB"/>
        </w:rPr>
        <w:t>obsahují</w:t>
      </w:r>
      <w:r w:rsidR="00503920" w:rsidRPr="00F01861">
        <w:rPr>
          <w:rFonts w:asciiTheme="minorHAnsi" w:hAnsiTheme="minorHAnsi"/>
          <w:color w:val="000000"/>
          <w:lang w:eastAsia="en-GB"/>
        </w:rPr>
        <w:t>cí</w:t>
      </w:r>
      <w:r w:rsidRPr="00F01861">
        <w:rPr>
          <w:rFonts w:asciiTheme="minorHAnsi" w:hAnsiTheme="minorHAnsi"/>
          <w:color w:val="000000"/>
          <w:lang w:eastAsia="en-GB"/>
        </w:rPr>
        <w:t xml:space="preserve"> 1000 mg dostupn</w:t>
      </w:r>
      <w:r w:rsidR="002A2220" w:rsidRPr="00F01861">
        <w:rPr>
          <w:rFonts w:asciiTheme="minorHAnsi" w:hAnsiTheme="minorHAnsi"/>
          <w:color w:val="000000"/>
          <w:lang w:eastAsia="en-GB"/>
        </w:rPr>
        <w:t xml:space="preserve">ého jódu/kg tj. 0,1 %. </w:t>
      </w:r>
      <w:r w:rsidR="002A2220" w:rsidRPr="00F01861">
        <w:rPr>
          <w:rFonts w:asciiTheme="minorHAnsi" w:hAnsiTheme="minorHAnsi"/>
        </w:rPr>
        <w:t>J</w:t>
      </w:r>
      <w:r w:rsidRPr="00F01861">
        <w:rPr>
          <w:rFonts w:asciiTheme="minorHAnsi" w:hAnsiTheme="minorHAnsi"/>
        </w:rPr>
        <w:t>ak uvádí zdroj Castro, 2012 ani při podání přípravků s 1 % jodu nedochází k navýšení obsahu jodu v mléce.</w:t>
      </w:r>
      <w:bookmarkEnd w:id="6"/>
      <w:r w:rsidRPr="00F01861">
        <w:rPr>
          <w:rFonts w:asciiTheme="minorHAnsi" w:hAnsiTheme="minorHAnsi"/>
        </w:rPr>
        <w:t xml:space="preserve"> </w:t>
      </w:r>
    </w:p>
    <w:p w14:paraId="560F7297" w14:textId="77777777" w:rsidR="007904B2" w:rsidRPr="00F01861" w:rsidRDefault="007904B2" w:rsidP="00F01861">
      <w:pPr>
        <w:spacing w:after="120"/>
        <w:jc w:val="both"/>
        <w:outlineLvl w:val="0"/>
        <w:rPr>
          <w:rFonts w:asciiTheme="minorHAnsi" w:hAnsiTheme="minorHAnsi"/>
        </w:rPr>
      </w:pPr>
      <w:bookmarkStart w:id="7" w:name="_Toc427317874"/>
      <w:r w:rsidRPr="00F01861">
        <w:rPr>
          <w:rFonts w:asciiTheme="minorHAnsi" w:hAnsiTheme="minorHAnsi"/>
        </w:rPr>
        <w:t>Dle souhrnné zprávy (</w:t>
      </w:r>
      <w:proofErr w:type="gramStart"/>
      <w:r w:rsidRPr="00F01861">
        <w:rPr>
          <w:rFonts w:asciiTheme="minorHAnsi" w:hAnsiTheme="minorHAnsi"/>
        </w:rPr>
        <w:t xml:space="preserve">EMA- </w:t>
      </w:r>
      <w:proofErr w:type="spellStart"/>
      <w:r w:rsidRPr="00F01861">
        <w:rPr>
          <w:rFonts w:asciiTheme="minorHAnsi" w:hAnsiTheme="minorHAnsi"/>
        </w:rPr>
        <w:t>Iodine</w:t>
      </w:r>
      <w:proofErr w:type="spellEnd"/>
      <w:proofErr w:type="gramEnd"/>
      <w:r w:rsidRPr="00F01861">
        <w:rPr>
          <w:rFonts w:asciiTheme="minorHAnsi" w:hAnsiTheme="minorHAnsi"/>
        </w:rPr>
        <w:t>) dochází v séru k mírnému navýšení obsahu jodu po aplikaci přípravků s jodem a veterinární léčivé přípravku s vyšším obsahem jodu, určené k ošetření struku po dojení mají stanovenou nulovou ochrannou lhůtu (bez ochranných lhůt).</w:t>
      </w:r>
      <w:bookmarkEnd w:id="7"/>
      <w:r w:rsidRPr="00F01861">
        <w:rPr>
          <w:rFonts w:asciiTheme="minorHAnsi" w:hAnsiTheme="minorHAnsi"/>
        </w:rPr>
        <w:t xml:space="preserve"> </w:t>
      </w:r>
    </w:p>
    <w:p w14:paraId="29ABFE19" w14:textId="77777777" w:rsidR="00D07ADA" w:rsidRPr="00F01861" w:rsidRDefault="00D07ADA" w:rsidP="00F01861">
      <w:pPr>
        <w:spacing w:after="120"/>
        <w:jc w:val="both"/>
        <w:outlineLvl w:val="0"/>
        <w:rPr>
          <w:b/>
        </w:rPr>
      </w:pPr>
      <w:bookmarkStart w:id="8" w:name="_Toc427317875"/>
      <w:r w:rsidRPr="00F01861">
        <w:rPr>
          <w:b/>
        </w:rPr>
        <w:t>Závěrem lze tedy říc</w:t>
      </w:r>
      <w:r w:rsidR="00F52B09" w:rsidRPr="00F01861">
        <w:rPr>
          <w:b/>
        </w:rPr>
        <w:t>i</w:t>
      </w:r>
      <w:r w:rsidRPr="00F01861">
        <w:rPr>
          <w:b/>
        </w:rPr>
        <w:t xml:space="preserve">, že </w:t>
      </w:r>
      <w:r w:rsidR="0069028E" w:rsidRPr="00F01861">
        <w:rPr>
          <w:b/>
        </w:rPr>
        <w:t xml:space="preserve">přípravky s obsahem jodu navržené k zařazení do kosmetických veterinárních přípravků jsou z hlediska nežádoucích reziduí u potravinových zvířat či </w:t>
      </w:r>
      <w:r w:rsidR="00F52B09" w:rsidRPr="00F01861">
        <w:rPr>
          <w:b/>
        </w:rPr>
        <w:t>vlivu</w:t>
      </w:r>
      <w:r w:rsidR="0069028E" w:rsidRPr="00F01861">
        <w:rPr>
          <w:b/>
        </w:rPr>
        <w:t xml:space="preserve"> na kvalitu potravin živočišného původu bezpečn</w:t>
      </w:r>
      <w:r w:rsidR="00EC6C2C" w:rsidRPr="00F01861">
        <w:rPr>
          <w:b/>
        </w:rPr>
        <w:t>é</w:t>
      </w:r>
      <w:r w:rsidR="0069028E" w:rsidRPr="00F01861">
        <w:rPr>
          <w:b/>
        </w:rPr>
        <w:t>.</w:t>
      </w:r>
      <w:bookmarkEnd w:id="8"/>
    </w:p>
    <w:p w14:paraId="463FC67F" w14:textId="77777777" w:rsidR="00D07ADA" w:rsidRPr="00F01861" w:rsidRDefault="00D07ADA" w:rsidP="00F01861">
      <w:pPr>
        <w:spacing w:after="120"/>
        <w:outlineLvl w:val="0"/>
        <w:rPr>
          <w:rFonts w:asciiTheme="minorHAnsi" w:hAnsiTheme="minorHAnsi"/>
          <w:b/>
        </w:rPr>
      </w:pPr>
    </w:p>
    <w:p w14:paraId="17AEBF92" w14:textId="77777777" w:rsidR="00310B05" w:rsidRPr="00F01861" w:rsidRDefault="006F5B60" w:rsidP="00F01861">
      <w:pPr>
        <w:pStyle w:val="Nadpis2"/>
        <w:numPr>
          <w:ilvl w:val="0"/>
          <w:numId w:val="7"/>
        </w:numPr>
        <w:spacing w:before="0" w:after="120"/>
      </w:pPr>
      <w:bookmarkStart w:id="9" w:name="_Toc427317876"/>
      <w:r w:rsidRPr="00F01861">
        <w:t>Přípravek z pohledu účinnosti a rezistence</w:t>
      </w:r>
      <w:bookmarkEnd w:id="9"/>
    </w:p>
    <w:p w14:paraId="25F7F7D1" w14:textId="77777777" w:rsidR="003145AB" w:rsidRPr="00F01861" w:rsidRDefault="003145AB" w:rsidP="00F01861">
      <w:pPr>
        <w:pStyle w:val="Prosttext"/>
        <w:numPr>
          <w:ilvl w:val="0"/>
          <w:numId w:val="3"/>
        </w:numPr>
        <w:spacing w:after="120"/>
        <w:jc w:val="both"/>
      </w:pPr>
      <w:r w:rsidRPr="00F01861">
        <w:t xml:space="preserve">Z pohledu mechanizmu působení jako antimikrobní látka je účinek cílen dle chemické povahy jodu, či jeho komplexu, ale v různých pramenech se uvádí, že proniká přes buněčnou stěnu a narušuje funkčnost biologických membrán a enzymatické funkce s konečným dopadem na syntézu proteinů a NK. Spektrum účinku a </w:t>
      </w:r>
      <w:proofErr w:type="spellStart"/>
      <w:r w:rsidRPr="00F01861">
        <w:t>cidita</w:t>
      </w:r>
      <w:proofErr w:type="spellEnd"/>
      <w:r w:rsidRPr="00F01861">
        <w:t>/</w:t>
      </w:r>
      <w:proofErr w:type="spellStart"/>
      <w:r w:rsidRPr="00F01861">
        <w:t>staticita</w:t>
      </w:r>
      <w:proofErr w:type="spellEnd"/>
      <w:r w:rsidRPr="00F01861">
        <w:t xml:space="preserve"> se uvádí většinou jako baktericidní (G+ a G-), </w:t>
      </w:r>
      <w:proofErr w:type="spellStart"/>
      <w:r w:rsidRPr="00F01861">
        <w:t>mykobaktericidní</w:t>
      </w:r>
      <w:proofErr w:type="spellEnd"/>
      <w:r w:rsidRPr="00F01861">
        <w:t xml:space="preserve">, </w:t>
      </w:r>
      <w:proofErr w:type="spellStart"/>
      <w:r w:rsidRPr="00F01861">
        <w:t>virucidní</w:t>
      </w:r>
      <w:proofErr w:type="spellEnd"/>
      <w:r w:rsidRPr="00F01861">
        <w:t xml:space="preserve"> a fungicidní, případně účinek na některá Protozoa. Jde nejen o koncentraci, ale i o dobu působení, která se uvádí v např. </w:t>
      </w:r>
      <w:r w:rsidR="00EC6C2C" w:rsidRPr="00F01861">
        <w:t>U</w:t>
      </w:r>
      <w:r w:rsidRPr="00F01861">
        <w:t xml:space="preserve"> </w:t>
      </w:r>
      <w:proofErr w:type="spellStart"/>
      <w:r w:rsidRPr="00F01861">
        <w:t>povidon</w:t>
      </w:r>
      <w:proofErr w:type="spellEnd"/>
      <w:r w:rsidRPr="00F01861">
        <w:t xml:space="preserve"> jodových komplexů v rozsahu sekund až minut.</w:t>
      </w:r>
    </w:p>
    <w:p w14:paraId="34EAD41C" w14:textId="77777777" w:rsidR="003145AB" w:rsidRPr="00F01861" w:rsidRDefault="00B32200" w:rsidP="00F01861">
      <w:pPr>
        <w:pStyle w:val="Prosttext"/>
        <w:spacing w:after="120"/>
        <w:ind w:left="1068"/>
        <w:jc w:val="both"/>
        <w:rPr>
          <w:rFonts w:asciiTheme="minorHAnsi" w:hAnsiTheme="minorHAnsi"/>
        </w:rPr>
      </w:pPr>
      <w:r w:rsidRPr="00F01861">
        <w:rPr>
          <w:rFonts w:asciiTheme="minorHAnsi" w:hAnsiTheme="minorHAnsi"/>
          <w:bCs/>
        </w:rPr>
        <w:t xml:space="preserve">Jodovaný </w:t>
      </w:r>
      <w:proofErr w:type="spellStart"/>
      <w:r w:rsidRPr="00F01861">
        <w:rPr>
          <w:rFonts w:asciiTheme="minorHAnsi" w:hAnsiTheme="minorHAnsi"/>
          <w:bCs/>
        </w:rPr>
        <w:t>povidon</w:t>
      </w:r>
      <w:proofErr w:type="spellEnd"/>
      <w:r w:rsidRPr="00F01861">
        <w:rPr>
          <w:rFonts w:asciiTheme="minorHAnsi" w:hAnsiTheme="minorHAnsi"/>
        </w:rPr>
        <w:t xml:space="preserve"> (též </w:t>
      </w:r>
      <w:proofErr w:type="spellStart"/>
      <w:r w:rsidRPr="00F01861">
        <w:rPr>
          <w:rFonts w:asciiTheme="minorHAnsi" w:hAnsiTheme="minorHAnsi"/>
          <w:bCs/>
        </w:rPr>
        <w:t>povidon</w:t>
      </w:r>
      <w:proofErr w:type="spellEnd"/>
      <w:r w:rsidRPr="00F01861">
        <w:rPr>
          <w:rFonts w:asciiTheme="minorHAnsi" w:hAnsiTheme="minorHAnsi"/>
          <w:bCs/>
        </w:rPr>
        <w:t>-jod</w:t>
      </w:r>
      <w:r w:rsidRPr="00F01861">
        <w:rPr>
          <w:rFonts w:asciiTheme="minorHAnsi" w:hAnsiTheme="minorHAnsi"/>
        </w:rPr>
        <w:t xml:space="preserve">, </w:t>
      </w:r>
      <w:proofErr w:type="spellStart"/>
      <w:r w:rsidRPr="00F01861">
        <w:rPr>
          <w:rFonts w:asciiTheme="minorHAnsi" w:hAnsiTheme="minorHAnsi"/>
          <w:i/>
          <w:iCs/>
        </w:rPr>
        <w:t>Povidonum</w:t>
      </w:r>
      <w:proofErr w:type="spellEnd"/>
      <w:r w:rsidRPr="00F01861">
        <w:rPr>
          <w:rFonts w:asciiTheme="minorHAnsi" w:hAnsiTheme="minorHAnsi"/>
          <w:i/>
          <w:iCs/>
        </w:rPr>
        <w:t xml:space="preserve"> </w:t>
      </w:r>
      <w:proofErr w:type="spellStart"/>
      <w:r w:rsidRPr="00F01861">
        <w:rPr>
          <w:rFonts w:asciiTheme="minorHAnsi" w:hAnsiTheme="minorHAnsi"/>
          <w:i/>
          <w:iCs/>
        </w:rPr>
        <w:t>iodinatum</w:t>
      </w:r>
      <w:proofErr w:type="spellEnd"/>
      <w:r w:rsidRPr="00F01861">
        <w:rPr>
          <w:rFonts w:asciiTheme="minorHAnsi" w:hAnsiTheme="minorHAnsi"/>
        </w:rPr>
        <w:t xml:space="preserve">, </w:t>
      </w:r>
      <w:r w:rsidRPr="00F01861">
        <w:rPr>
          <w:rFonts w:asciiTheme="minorHAnsi" w:hAnsiTheme="minorHAnsi"/>
          <w:bCs/>
        </w:rPr>
        <w:t>PVPI</w:t>
      </w:r>
      <w:r w:rsidRPr="00F01861">
        <w:rPr>
          <w:rFonts w:asciiTheme="minorHAnsi" w:hAnsiTheme="minorHAnsi"/>
        </w:rPr>
        <w:t xml:space="preserve">) je </w:t>
      </w:r>
      <w:hyperlink r:id="rId11" w:tooltip="Komplex (chemie)" w:history="1">
        <w:r w:rsidRPr="00F01861">
          <w:rPr>
            <w:rStyle w:val="Hypertextovodkaz"/>
            <w:rFonts w:asciiTheme="minorHAnsi" w:hAnsiTheme="minorHAnsi"/>
            <w:color w:val="auto"/>
            <w:u w:val="none"/>
          </w:rPr>
          <w:t>komplex</w:t>
        </w:r>
      </w:hyperlink>
      <w:r w:rsidRPr="00F01861">
        <w:rPr>
          <w:rFonts w:asciiTheme="minorHAnsi" w:hAnsiTheme="minorHAnsi"/>
        </w:rPr>
        <w:t xml:space="preserve"> </w:t>
      </w:r>
      <w:hyperlink r:id="rId12" w:tooltip="Jod" w:history="1">
        <w:r w:rsidRPr="00F01861">
          <w:rPr>
            <w:rStyle w:val="Hypertextovodkaz"/>
            <w:rFonts w:asciiTheme="minorHAnsi" w:hAnsiTheme="minorHAnsi"/>
            <w:color w:val="auto"/>
            <w:u w:val="none"/>
          </w:rPr>
          <w:t>jodu</w:t>
        </w:r>
      </w:hyperlink>
      <w:r w:rsidRPr="00F01861">
        <w:rPr>
          <w:rFonts w:asciiTheme="minorHAnsi" w:hAnsiTheme="minorHAnsi"/>
        </w:rPr>
        <w:t xml:space="preserve"> a </w:t>
      </w:r>
      <w:hyperlink r:id="rId13" w:tooltip="Polyvinylpyrrolidon" w:history="1">
        <w:proofErr w:type="spellStart"/>
        <w:r w:rsidRPr="00F01861">
          <w:rPr>
            <w:rStyle w:val="Hypertextovodkaz"/>
            <w:rFonts w:asciiTheme="minorHAnsi" w:hAnsiTheme="minorHAnsi"/>
            <w:color w:val="auto"/>
            <w:u w:val="none"/>
          </w:rPr>
          <w:t>polyvinylpyrrolidonu</w:t>
        </w:r>
        <w:proofErr w:type="spellEnd"/>
      </w:hyperlink>
      <w:r w:rsidRPr="00F01861">
        <w:rPr>
          <w:rFonts w:asciiTheme="minorHAnsi" w:hAnsiTheme="minorHAnsi"/>
        </w:rPr>
        <w:t xml:space="preserve"> (PVP), </w:t>
      </w:r>
      <w:hyperlink r:id="rId14" w:tooltip="Rozpustnost" w:history="1">
        <w:r w:rsidRPr="00F01861">
          <w:rPr>
            <w:rStyle w:val="Hypertextovodkaz"/>
            <w:rFonts w:asciiTheme="minorHAnsi" w:hAnsiTheme="minorHAnsi"/>
            <w:color w:val="auto"/>
            <w:u w:val="none"/>
          </w:rPr>
          <w:t>rozpustný</w:t>
        </w:r>
      </w:hyperlink>
      <w:r w:rsidRPr="00F01861">
        <w:rPr>
          <w:rFonts w:asciiTheme="minorHAnsi" w:hAnsiTheme="minorHAnsi"/>
        </w:rPr>
        <w:t xml:space="preserve"> ve </w:t>
      </w:r>
      <w:hyperlink r:id="rId15" w:tooltip="Voda" w:history="1">
        <w:r w:rsidRPr="00F01861">
          <w:rPr>
            <w:rStyle w:val="Hypertextovodkaz"/>
            <w:rFonts w:asciiTheme="minorHAnsi" w:hAnsiTheme="minorHAnsi"/>
            <w:color w:val="auto"/>
            <w:u w:val="none"/>
          </w:rPr>
          <w:t>vodě</w:t>
        </w:r>
      </w:hyperlink>
      <w:r w:rsidRPr="00F01861">
        <w:rPr>
          <w:rFonts w:asciiTheme="minorHAnsi" w:hAnsiTheme="minorHAnsi"/>
        </w:rPr>
        <w:t xml:space="preserve"> a </w:t>
      </w:r>
      <w:hyperlink r:id="rId16" w:tooltip="Ethanol" w:history="1">
        <w:proofErr w:type="spellStart"/>
        <w:r w:rsidRPr="00F01861">
          <w:rPr>
            <w:rStyle w:val="Hypertextovodkaz"/>
            <w:rFonts w:asciiTheme="minorHAnsi" w:hAnsiTheme="minorHAnsi"/>
            <w:color w:val="auto"/>
            <w:u w:val="none"/>
          </w:rPr>
          <w:t>ethanolu</w:t>
        </w:r>
        <w:proofErr w:type="spellEnd"/>
      </w:hyperlink>
      <w:r w:rsidRPr="00F01861">
        <w:rPr>
          <w:rFonts w:asciiTheme="minorHAnsi" w:hAnsiTheme="minorHAnsi"/>
        </w:rPr>
        <w:t xml:space="preserve"> (prakticky nerozpustný v </w:t>
      </w:r>
      <w:hyperlink r:id="rId17" w:tooltip="Aceton" w:history="1">
        <w:r w:rsidRPr="00F01861">
          <w:rPr>
            <w:rStyle w:val="Hypertextovodkaz"/>
            <w:rFonts w:asciiTheme="minorHAnsi" w:hAnsiTheme="minorHAnsi"/>
            <w:color w:val="auto"/>
            <w:u w:val="none"/>
          </w:rPr>
          <w:t>acetonu</w:t>
        </w:r>
      </w:hyperlink>
      <w:r w:rsidRPr="00F01861">
        <w:rPr>
          <w:rFonts w:asciiTheme="minorHAnsi" w:hAnsiTheme="minorHAnsi"/>
        </w:rPr>
        <w:t>), s 9 až 12 % uvolnitelného jodu (počítáno na suchou látku).</w:t>
      </w:r>
    </w:p>
    <w:p w14:paraId="2FD7FF14" w14:textId="201C2686" w:rsidR="00B32200" w:rsidRPr="00F01861" w:rsidRDefault="00B32200" w:rsidP="00F01861">
      <w:pPr>
        <w:pStyle w:val="Normlnweb"/>
        <w:spacing w:before="0" w:beforeAutospacing="0" w:after="120" w:afterAutospacing="0"/>
        <w:ind w:left="1056"/>
        <w:jc w:val="both"/>
        <w:rPr>
          <w:rFonts w:ascii="Calibri" w:hAnsi="Calibri"/>
          <w:sz w:val="22"/>
          <w:szCs w:val="22"/>
          <w:u w:val="single"/>
        </w:rPr>
      </w:pPr>
      <w:r w:rsidRPr="00F01861">
        <w:rPr>
          <w:rFonts w:asciiTheme="minorHAnsi" w:hAnsiTheme="minorHAnsi"/>
          <w:sz w:val="22"/>
          <w:szCs w:val="22"/>
        </w:rPr>
        <w:t xml:space="preserve">Volný jod, který se pomalu uvolňuje z komplexu v roztocích, ničí </w:t>
      </w:r>
      <w:hyperlink r:id="rId18" w:tooltip="Eukaryotická buňka" w:history="1">
        <w:r w:rsidRPr="00F01861">
          <w:rPr>
            <w:rStyle w:val="Hypertextovodkaz"/>
            <w:rFonts w:asciiTheme="minorHAnsi" w:hAnsiTheme="minorHAnsi"/>
            <w:color w:val="auto"/>
            <w:sz w:val="22"/>
            <w:szCs w:val="22"/>
            <w:u w:val="none"/>
          </w:rPr>
          <w:t>eukaryotické</w:t>
        </w:r>
      </w:hyperlink>
      <w:r w:rsidRPr="00F01861">
        <w:rPr>
          <w:rFonts w:asciiTheme="minorHAnsi" w:hAnsiTheme="minorHAnsi"/>
          <w:sz w:val="22"/>
          <w:szCs w:val="22"/>
        </w:rPr>
        <w:t xml:space="preserve"> a </w:t>
      </w:r>
      <w:hyperlink r:id="rId19" w:tooltip="Prokaryotická buňka" w:history="1">
        <w:r w:rsidRPr="00F01861">
          <w:rPr>
            <w:rStyle w:val="Hypertextovodkaz"/>
            <w:rFonts w:asciiTheme="minorHAnsi" w:hAnsiTheme="minorHAnsi"/>
            <w:color w:val="auto"/>
            <w:sz w:val="22"/>
            <w:szCs w:val="22"/>
            <w:u w:val="none"/>
          </w:rPr>
          <w:t>prokaryotické buňky</w:t>
        </w:r>
      </w:hyperlink>
      <w:r w:rsidRPr="00F01861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F01861">
        <w:rPr>
          <w:rFonts w:asciiTheme="minorHAnsi" w:hAnsiTheme="minorHAnsi"/>
          <w:sz w:val="22"/>
          <w:szCs w:val="22"/>
        </w:rPr>
        <w:t>jodací</w:t>
      </w:r>
      <w:proofErr w:type="spellEnd"/>
      <w:r w:rsidRPr="00F01861">
        <w:rPr>
          <w:rFonts w:asciiTheme="minorHAnsi" w:hAnsiTheme="minorHAnsi"/>
          <w:sz w:val="22"/>
          <w:szCs w:val="22"/>
        </w:rPr>
        <w:t xml:space="preserve"> </w:t>
      </w:r>
      <w:hyperlink r:id="rId20" w:tooltip="Lipidy" w:history="1">
        <w:r w:rsidRPr="00F01861">
          <w:rPr>
            <w:rStyle w:val="Hypertextovodkaz"/>
            <w:rFonts w:asciiTheme="minorHAnsi" w:hAnsiTheme="minorHAnsi"/>
            <w:color w:val="auto"/>
            <w:sz w:val="22"/>
            <w:szCs w:val="22"/>
            <w:u w:val="none"/>
          </w:rPr>
          <w:t>lipidů</w:t>
        </w:r>
      </w:hyperlink>
      <w:r w:rsidRPr="00F01861">
        <w:rPr>
          <w:rFonts w:asciiTheme="minorHAnsi" w:hAnsiTheme="minorHAnsi"/>
          <w:sz w:val="22"/>
          <w:szCs w:val="22"/>
        </w:rPr>
        <w:t xml:space="preserve"> a </w:t>
      </w:r>
      <w:hyperlink r:id="rId21" w:tooltip="Oxidace" w:history="1">
        <w:r w:rsidRPr="00F01861">
          <w:rPr>
            <w:rStyle w:val="Hypertextovodkaz"/>
            <w:rFonts w:asciiTheme="minorHAnsi" w:hAnsiTheme="minorHAnsi"/>
            <w:color w:val="auto"/>
            <w:sz w:val="22"/>
            <w:szCs w:val="22"/>
            <w:u w:val="none"/>
          </w:rPr>
          <w:t>oxidací</w:t>
        </w:r>
      </w:hyperlink>
      <w:r w:rsidRPr="00F01861">
        <w:rPr>
          <w:rFonts w:asciiTheme="minorHAnsi" w:hAnsiTheme="minorHAnsi"/>
          <w:sz w:val="22"/>
          <w:szCs w:val="22"/>
        </w:rPr>
        <w:t xml:space="preserve"> sloučenin v </w:t>
      </w:r>
      <w:hyperlink r:id="rId22" w:tooltip="Cytoplazma" w:history="1">
        <w:r w:rsidRPr="00F01861">
          <w:rPr>
            <w:rStyle w:val="Hypertextovodkaz"/>
            <w:rFonts w:asciiTheme="minorHAnsi" w:hAnsiTheme="minorHAnsi"/>
            <w:color w:val="auto"/>
            <w:sz w:val="22"/>
            <w:szCs w:val="22"/>
            <w:u w:val="none"/>
          </w:rPr>
          <w:t>cytoplazmě</w:t>
        </w:r>
      </w:hyperlink>
      <w:r w:rsidRPr="00F01861">
        <w:rPr>
          <w:rFonts w:asciiTheme="minorHAnsi" w:hAnsiTheme="minorHAnsi"/>
          <w:sz w:val="22"/>
          <w:szCs w:val="22"/>
        </w:rPr>
        <w:t xml:space="preserve"> a </w:t>
      </w:r>
      <w:hyperlink r:id="rId23" w:tooltip="Buněčná membrána" w:history="1">
        <w:r w:rsidRPr="00F01861">
          <w:rPr>
            <w:rStyle w:val="Hypertextovodkaz"/>
            <w:rFonts w:asciiTheme="minorHAnsi" w:hAnsiTheme="minorHAnsi"/>
            <w:color w:val="auto"/>
            <w:sz w:val="22"/>
            <w:szCs w:val="22"/>
            <w:u w:val="none"/>
          </w:rPr>
          <w:t>membránách</w:t>
        </w:r>
      </w:hyperlink>
      <w:r w:rsidRPr="00F01861">
        <w:rPr>
          <w:rFonts w:asciiTheme="minorHAnsi" w:hAnsiTheme="minorHAnsi"/>
          <w:sz w:val="22"/>
          <w:szCs w:val="22"/>
        </w:rPr>
        <w:t xml:space="preserve">. PVPI je účinný proti širokému spektru </w:t>
      </w:r>
      <w:hyperlink r:id="rId24" w:tooltip="Bakterie" w:history="1">
        <w:r w:rsidRPr="00F01861">
          <w:rPr>
            <w:rStyle w:val="Hypertextovodkaz"/>
            <w:rFonts w:asciiTheme="minorHAnsi" w:hAnsiTheme="minorHAnsi"/>
            <w:color w:val="auto"/>
            <w:sz w:val="22"/>
            <w:szCs w:val="22"/>
            <w:u w:val="none"/>
          </w:rPr>
          <w:t>bakterií</w:t>
        </w:r>
      </w:hyperlink>
      <w:r w:rsidRPr="00F01861">
        <w:rPr>
          <w:rFonts w:asciiTheme="minorHAnsi" w:hAnsiTheme="minorHAnsi"/>
          <w:sz w:val="22"/>
          <w:szCs w:val="22"/>
        </w:rPr>
        <w:t xml:space="preserve">, </w:t>
      </w:r>
      <w:hyperlink r:id="rId25" w:tooltip="Virus" w:history="1">
        <w:r w:rsidRPr="00F01861">
          <w:rPr>
            <w:rStyle w:val="Hypertextovodkaz"/>
            <w:rFonts w:asciiTheme="minorHAnsi" w:hAnsiTheme="minorHAnsi"/>
            <w:color w:val="auto"/>
            <w:sz w:val="22"/>
            <w:szCs w:val="22"/>
            <w:u w:val="none"/>
          </w:rPr>
          <w:t>virů</w:t>
        </w:r>
      </w:hyperlink>
      <w:r w:rsidRPr="00F01861">
        <w:rPr>
          <w:rFonts w:asciiTheme="minorHAnsi" w:hAnsiTheme="minorHAnsi"/>
          <w:sz w:val="22"/>
          <w:szCs w:val="22"/>
        </w:rPr>
        <w:t xml:space="preserve">, </w:t>
      </w:r>
      <w:hyperlink r:id="rId26" w:tooltip="Houby" w:history="1">
        <w:r w:rsidRPr="00F01861">
          <w:rPr>
            <w:rStyle w:val="Hypertextovodkaz"/>
            <w:rFonts w:asciiTheme="minorHAnsi" w:hAnsiTheme="minorHAnsi"/>
            <w:color w:val="auto"/>
            <w:sz w:val="22"/>
            <w:szCs w:val="22"/>
            <w:u w:val="none"/>
          </w:rPr>
          <w:t>hub</w:t>
        </w:r>
      </w:hyperlink>
      <w:r w:rsidRPr="00F01861">
        <w:rPr>
          <w:rFonts w:asciiTheme="minorHAnsi" w:hAnsiTheme="minorHAnsi"/>
          <w:sz w:val="22"/>
          <w:szCs w:val="22"/>
        </w:rPr>
        <w:t xml:space="preserve">, </w:t>
      </w:r>
      <w:hyperlink r:id="rId27" w:tooltip="Prvok" w:history="1">
        <w:r w:rsidRPr="00F01861">
          <w:rPr>
            <w:rStyle w:val="Hypertextovodkaz"/>
            <w:rFonts w:asciiTheme="minorHAnsi" w:hAnsiTheme="minorHAnsi"/>
            <w:color w:val="auto"/>
            <w:sz w:val="22"/>
            <w:szCs w:val="22"/>
            <w:u w:val="none"/>
          </w:rPr>
          <w:t>prvoků</w:t>
        </w:r>
      </w:hyperlink>
      <w:r w:rsidRPr="00F01861">
        <w:rPr>
          <w:rFonts w:asciiTheme="minorHAnsi" w:hAnsiTheme="minorHAnsi"/>
          <w:sz w:val="22"/>
          <w:szCs w:val="22"/>
        </w:rPr>
        <w:t xml:space="preserve"> a </w:t>
      </w:r>
      <w:hyperlink r:id="rId28" w:tooltip="Spora" w:history="1">
        <w:r w:rsidRPr="00F01861">
          <w:rPr>
            <w:rStyle w:val="Hypertextovodkaz"/>
            <w:rFonts w:asciiTheme="minorHAnsi" w:hAnsiTheme="minorHAnsi"/>
            <w:color w:val="auto"/>
            <w:sz w:val="22"/>
            <w:szCs w:val="22"/>
            <w:u w:val="none"/>
          </w:rPr>
          <w:t>spor</w:t>
        </w:r>
      </w:hyperlink>
      <w:hyperlink r:id="rId29" w:anchor="cite_note-5" w:history="1"/>
      <w:r w:rsidRPr="00F01861">
        <w:rPr>
          <w:rFonts w:asciiTheme="minorHAnsi" w:hAnsiTheme="minorHAnsi"/>
          <w:sz w:val="22"/>
          <w:szCs w:val="22"/>
        </w:rPr>
        <w:t xml:space="preserve">. </w:t>
      </w:r>
      <w:r w:rsidRPr="00F01861">
        <w:rPr>
          <w:rFonts w:asciiTheme="minorHAnsi" w:hAnsiTheme="minorHAnsi"/>
          <w:sz w:val="22"/>
          <w:szCs w:val="22"/>
          <w:u w:val="single"/>
        </w:rPr>
        <w:t xml:space="preserve">Pomalé uvolňování jodu z komplexu minimalizuje toxicitu pro buňky </w:t>
      </w:r>
      <w:hyperlink r:id="rId30" w:tooltip="Savci" w:history="1">
        <w:r w:rsidRPr="00F01861">
          <w:rPr>
            <w:rStyle w:val="Hypertextovodkaz"/>
            <w:rFonts w:asciiTheme="minorHAnsi" w:hAnsiTheme="minorHAnsi"/>
            <w:color w:val="auto"/>
            <w:sz w:val="22"/>
            <w:szCs w:val="22"/>
          </w:rPr>
          <w:t>savců</w:t>
        </w:r>
      </w:hyperlink>
      <w:r w:rsidRPr="00F01861">
        <w:rPr>
          <w:rFonts w:asciiTheme="minorHAnsi" w:hAnsiTheme="minorHAnsi"/>
          <w:sz w:val="22"/>
          <w:szCs w:val="22"/>
          <w:u w:val="single"/>
        </w:rPr>
        <w:t xml:space="preserve">. </w:t>
      </w:r>
      <w:r w:rsidRPr="00F01861">
        <w:rPr>
          <w:rFonts w:asciiTheme="minorHAnsi" w:hAnsiTheme="minorHAnsi"/>
          <w:sz w:val="22"/>
          <w:szCs w:val="22"/>
        </w:rPr>
        <w:t xml:space="preserve">V některých případech </w:t>
      </w:r>
      <w:r w:rsidR="005E5268" w:rsidRPr="00F01861">
        <w:rPr>
          <w:rFonts w:asciiTheme="minorHAnsi" w:hAnsiTheme="minorHAnsi"/>
          <w:sz w:val="22"/>
          <w:szCs w:val="22"/>
        </w:rPr>
        <w:t xml:space="preserve">se uvádí, že </w:t>
      </w:r>
      <w:r w:rsidRPr="00F01861">
        <w:rPr>
          <w:rFonts w:asciiTheme="minorHAnsi" w:hAnsiTheme="minorHAnsi"/>
          <w:sz w:val="22"/>
          <w:szCs w:val="22"/>
        </w:rPr>
        <w:t>PVPI lépe účinkuje ve zředěných roztocích než v koncentrovaných.</w:t>
      </w:r>
      <w:r w:rsidR="005E5268" w:rsidRPr="00F01861">
        <w:rPr>
          <w:rFonts w:asciiTheme="minorHAnsi" w:hAnsiTheme="minorHAnsi"/>
          <w:sz w:val="22"/>
          <w:szCs w:val="22"/>
        </w:rPr>
        <w:t xml:space="preserve"> J</w:t>
      </w:r>
      <w:r w:rsidRPr="00F01861">
        <w:rPr>
          <w:rFonts w:asciiTheme="minorHAnsi" w:hAnsiTheme="minorHAnsi"/>
          <w:sz w:val="22"/>
          <w:szCs w:val="22"/>
        </w:rPr>
        <w:t xml:space="preserve">ód je vázán ve formě komplexu a koncentrace volného jodu je velmi nízká. </w:t>
      </w:r>
      <w:r w:rsidR="005E5268" w:rsidRPr="00F01861">
        <w:rPr>
          <w:rFonts w:asciiTheme="minorHAnsi" w:hAnsiTheme="minorHAnsi"/>
          <w:sz w:val="22"/>
          <w:szCs w:val="22"/>
        </w:rPr>
        <w:t>N</w:t>
      </w:r>
      <w:r w:rsidRPr="00F01861">
        <w:rPr>
          <w:rFonts w:asciiTheme="minorHAnsi" w:hAnsiTheme="minorHAnsi"/>
          <w:sz w:val="22"/>
          <w:szCs w:val="22"/>
        </w:rPr>
        <w:t xml:space="preserve">edochází </w:t>
      </w:r>
      <w:r w:rsidR="005E5268" w:rsidRPr="00F01861">
        <w:rPr>
          <w:rFonts w:asciiTheme="minorHAnsi" w:hAnsiTheme="minorHAnsi"/>
          <w:sz w:val="22"/>
          <w:szCs w:val="22"/>
        </w:rPr>
        <w:t xml:space="preserve">tak k </w:t>
      </w:r>
      <w:r w:rsidR="00B54488" w:rsidRPr="00F01861">
        <w:rPr>
          <w:rFonts w:asciiTheme="minorHAnsi" w:hAnsiTheme="minorHAnsi"/>
          <w:sz w:val="22"/>
          <w:szCs w:val="22"/>
        </w:rPr>
        <w:t>dráždění v místě aplikace a poškození okolní tkáně, jako tomu může být u vodných roztoků jódu.</w:t>
      </w:r>
      <w:r w:rsidR="005E5268" w:rsidRPr="00F01861">
        <w:rPr>
          <w:rFonts w:asciiTheme="minorHAnsi" w:hAnsiTheme="minorHAnsi"/>
          <w:sz w:val="22"/>
          <w:szCs w:val="22"/>
        </w:rPr>
        <w:t xml:space="preserve"> Z těchto důvodů se </w:t>
      </w:r>
      <w:proofErr w:type="spellStart"/>
      <w:r w:rsidR="007F3A15" w:rsidRPr="00F01861">
        <w:rPr>
          <w:rFonts w:asciiTheme="minorHAnsi" w:hAnsiTheme="minorHAnsi"/>
          <w:sz w:val="22"/>
          <w:szCs w:val="22"/>
        </w:rPr>
        <w:t>p</w:t>
      </w:r>
      <w:r w:rsidR="005E5268" w:rsidRPr="00F01861">
        <w:rPr>
          <w:rFonts w:asciiTheme="minorHAnsi" w:hAnsiTheme="minorHAnsi"/>
          <w:sz w:val="22"/>
          <w:szCs w:val="22"/>
        </w:rPr>
        <w:t>ovidon</w:t>
      </w:r>
      <w:proofErr w:type="spellEnd"/>
      <w:r w:rsidR="005E5268" w:rsidRPr="00F01861">
        <w:rPr>
          <w:rFonts w:asciiTheme="minorHAnsi" w:hAnsiTheme="minorHAnsi"/>
          <w:sz w:val="22"/>
          <w:szCs w:val="22"/>
        </w:rPr>
        <w:t xml:space="preserve"> jod uvádí jako </w:t>
      </w:r>
      <w:r w:rsidR="005E5268" w:rsidRPr="00F01861">
        <w:rPr>
          <w:rFonts w:ascii="Calibri" w:hAnsi="Calibri"/>
          <w:sz w:val="22"/>
          <w:szCs w:val="22"/>
          <w:u w:val="single"/>
        </w:rPr>
        <w:t>sloučenina první volby</w:t>
      </w:r>
      <w:hyperlink r:id="rId31" w:anchor="cite_note-8" w:history="1">
        <w:r w:rsidR="00D110AC" w:rsidRPr="00F01861">
          <w:rPr>
            <w:rStyle w:val="Hypertextovodkaz"/>
            <w:rFonts w:ascii="Calibri" w:hAnsi="Calibri"/>
            <w:sz w:val="22"/>
            <w:szCs w:val="22"/>
            <w:vertAlign w:val="superscript"/>
          </w:rPr>
          <w:t>[6]</w:t>
        </w:r>
      </w:hyperlink>
      <w:r w:rsidR="005E5268" w:rsidRPr="00F01861">
        <w:rPr>
          <w:rFonts w:ascii="Calibri" w:hAnsi="Calibri"/>
          <w:sz w:val="22"/>
          <w:szCs w:val="22"/>
          <w:u w:val="single"/>
        </w:rPr>
        <w:t>.</w:t>
      </w:r>
    </w:p>
    <w:p w14:paraId="0C6171FE" w14:textId="77777777" w:rsidR="00F64957" w:rsidRPr="00F01861" w:rsidRDefault="00F64957" w:rsidP="00F01861">
      <w:pPr>
        <w:pStyle w:val="Normlnweb"/>
        <w:spacing w:before="0" w:beforeAutospacing="0" w:after="120" w:afterAutospacing="0"/>
        <w:ind w:left="1056"/>
        <w:jc w:val="both"/>
        <w:rPr>
          <w:rStyle w:val="Hypertextovodkaz"/>
          <w:rFonts w:ascii="Calibri" w:hAnsi="Calibri"/>
          <w:color w:val="auto"/>
          <w:sz w:val="22"/>
          <w:szCs w:val="22"/>
          <w:u w:val="none"/>
        </w:rPr>
      </w:pPr>
      <w:r w:rsidRPr="00F01861">
        <w:rPr>
          <w:rFonts w:ascii="Calibri" w:hAnsi="Calibri"/>
          <w:sz w:val="22"/>
          <w:szCs w:val="22"/>
        </w:rPr>
        <w:t>Dostupná studie</w:t>
      </w:r>
      <w:hyperlink r:id="rId32" w:anchor="cite_note-7" w:history="1">
        <w:r w:rsidRPr="00F01861">
          <w:rPr>
            <w:rStyle w:val="Hypertextovodkaz"/>
            <w:rFonts w:ascii="Calibri" w:hAnsi="Calibri"/>
            <w:sz w:val="22"/>
            <w:szCs w:val="22"/>
            <w:vertAlign w:val="superscript"/>
          </w:rPr>
          <w:t>[4]</w:t>
        </w:r>
      </w:hyperlink>
      <w:r w:rsidR="000620C8" w:rsidRPr="00F01861">
        <w:rPr>
          <w:rStyle w:val="Hypertextovodkaz"/>
          <w:rFonts w:ascii="Calibri" w:hAnsi="Calibri"/>
          <w:color w:val="auto"/>
          <w:sz w:val="22"/>
          <w:szCs w:val="22"/>
          <w:u w:val="none"/>
        </w:rPr>
        <w:t xml:space="preserve">zabývající se baktericidní aktivitou zředěných </w:t>
      </w:r>
      <w:proofErr w:type="gramStart"/>
      <w:r w:rsidR="000620C8" w:rsidRPr="00F01861">
        <w:rPr>
          <w:rStyle w:val="Hypertextovodkaz"/>
          <w:rFonts w:ascii="Calibri" w:hAnsi="Calibri"/>
          <w:color w:val="auto"/>
          <w:sz w:val="22"/>
          <w:szCs w:val="22"/>
          <w:u w:val="none"/>
        </w:rPr>
        <w:t>10%</w:t>
      </w:r>
      <w:proofErr w:type="gramEnd"/>
      <w:r w:rsidR="000620C8" w:rsidRPr="00F01861">
        <w:rPr>
          <w:rStyle w:val="Hypertextovodkaz"/>
          <w:rFonts w:ascii="Calibri" w:hAnsi="Calibri"/>
          <w:color w:val="auto"/>
          <w:sz w:val="22"/>
          <w:szCs w:val="22"/>
          <w:u w:val="none"/>
        </w:rPr>
        <w:t xml:space="preserve"> preparátů </w:t>
      </w:r>
      <w:proofErr w:type="spellStart"/>
      <w:r w:rsidR="000620C8" w:rsidRPr="00F01861">
        <w:rPr>
          <w:rStyle w:val="Hypertextovodkaz"/>
          <w:rFonts w:ascii="Calibri" w:hAnsi="Calibri"/>
          <w:color w:val="auto"/>
          <w:sz w:val="22"/>
          <w:szCs w:val="22"/>
          <w:u w:val="none"/>
        </w:rPr>
        <w:t>povidon</w:t>
      </w:r>
      <w:proofErr w:type="spellEnd"/>
      <w:r w:rsidR="000620C8" w:rsidRPr="00F01861">
        <w:rPr>
          <w:rStyle w:val="Hypertextovodkaz"/>
          <w:rFonts w:ascii="Calibri" w:hAnsi="Calibri"/>
          <w:color w:val="auto"/>
          <w:sz w:val="22"/>
          <w:szCs w:val="22"/>
          <w:u w:val="none"/>
        </w:rPr>
        <w:t xml:space="preserve"> jod </w:t>
      </w:r>
      <w:r w:rsidR="00CE0ED7" w:rsidRPr="00F01861">
        <w:rPr>
          <w:rStyle w:val="Hypertextovodkaz"/>
          <w:rFonts w:ascii="Calibri" w:hAnsi="Calibri"/>
          <w:color w:val="auto"/>
          <w:sz w:val="22"/>
          <w:szCs w:val="22"/>
          <w:u w:val="none"/>
        </w:rPr>
        <w:t xml:space="preserve">prostřednictvím laboratorních zkoušek </w:t>
      </w:r>
      <w:r w:rsidR="000620C8" w:rsidRPr="00F01861">
        <w:rPr>
          <w:rStyle w:val="Hypertextovodkaz"/>
          <w:rFonts w:ascii="Calibri" w:hAnsi="Calibri"/>
          <w:color w:val="auto"/>
          <w:sz w:val="22"/>
          <w:szCs w:val="22"/>
          <w:u w:val="none"/>
        </w:rPr>
        <w:t xml:space="preserve">dokazuje, že </w:t>
      </w:r>
      <w:r w:rsidR="00CE0ED7" w:rsidRPr="00F01861">
        <w:rPr>
          <w:rStyle w:val="Hypertextovodkaz"/>
          <w:rFonts w:ascii="Calibri" w:hAnsi="Calibri"/>
          <w:color w:val="auto"/>
          <w:sz w:val="22"/>
          <w:szCs w:val="22"/>
          <w:u w:val="none"/>
        </w:rPr>
        <w:t xml:space="preserve">veškeré použité vzorky různých </w:t>
      </w:r>
      <w:r w:rsidR="00CE0ED7" w:rsidRPr="00F01861">
        <w:rPr>
          <w:rStyle w:val="Hypertextovodkaz"/>
          <w:rFonts w:ascii="Calibri" w:hAnsi="Calibri"/>
          <w:color w:val="auto"/>
          <w:sz w:val="22"/>
          <w:szCs w:val="22"/>
          <w:u w:val="none"/>
        </w:rPr>
        <w:lastRenderedPageBreak/>
        <w:t xml:space="preserve">preparátů obsahující 10% </w:t>
      </w:r>
      <w:proofErr w:type="spellStart"/>
      <w:r w:rsidR="00CE0ED7" w:rsidRPr="00F01861">
        <w:rPr>
          <w:rStyle w:val="Hypertextovodkaz"/>
          <w:rFonts w:ascii="Calibri" w:hAnsi="Calibri"/>
          <w:color w:val="auto"/>
          <w:sz w:val="22"/>
          <w:szCs w:val="22"/>
          <w:u w:val="none"/>
        </w:rPr>
        <w:t>povidon</w:t>
      </w:r>
      <w:proofErr w:type="spellEnd"/>
      <w:r w:rsidR="00CE0ED7" w:rsidRPr="00F01861">
        <w:rPr>
          <w:rStyle w:val="Hypertextovodkaz"/>
          <w:rFonts w:ascii="Calibri" w:hAnsi="Calibri"/>
          <w:color w:val="auto"/>
          <w:sz w:val="22"/>
          <w:szCs w:val="22"/>
          <w:u w:val="none"/>
        </w:rPr>
        <w:t xml:space="preserve"> jod při vyšším ředění 1:2, 1:4, 1:10, 1:50 a 1:100 v závislosti na expozici vykazuje </w:t>
      </w:r>
      <w:r w:rsidR="0052477A" w:rsidRPr="00F01861">
        <w:rPr>
          <w:rStyle w:val="Hypertextovodkaz"/>
          <w:rFonts w:ascii="Calibri" w:hAnsi="Calibri"/>
          <w:color w:val="auto"/>
          <w:sz w:val="22"/>
          <w:szCs w:val="22"/>
          <w:u w:val="none"/>
        </w:rPr>
        <w:t xml:space="preserve">rychlé i </w:t>
      </w:r>
      <w:r w:rsidR="00CE0ED7" w:rsidRPr="00F01861">
        <w:rPr>
          <w:rStyle w:val="Hypertextovodkaz"/>
          <w:rFonts w:ascii="Calibri" w:hAnsi="Calibri"/>
          <w:color w:val="auto"/>
          <w:sz w:val="22"/>
          <w:szCs w:val="22"/>
          <w:u w:val="none"/>
        </w:rPr>
        <w:t xml:space="preserve">lepší baktericidní účinky než samotný 10% </w:t>
      </w:r>
      <w:proofErr w:type="spellStart"/>
      <w:r w:rsidR="00CE0ED7" w:rsidRPr="00F01861">
        <w:rPr>
          <w:rStyle w:val="Hypertextovodkaz"/>
          <w:rFonts w:ascii="Calibri" w:hAnsi="Calibri"/>
          <w:color w:val="auto"/>
          <w:sz w:val="22"/>
          <w:szCs w:val="22"/>
          <w:u w:val="none"/>
        </w:rPr>
        <w:t>povidon</w:t>
      </w:r>
      <w:proofErr w:type="spellEnd"/>
      <w:r w:rsidR="00CE0ED7" w:rsidRPr="00F01861">
        <w:rPr>
          <w:rStyle w:val="Hypertextovodkaz"/>
          <w:rFonts w:ascii="Calibri" w:hAnsi="Calibri"/>
          <w:color w:val="auto"/>
          <w:sz w:val="22"/>
          <w:szCs w:val="22"/>
          <w:u w:val="none"/>
        </w:rPr>
        <w:t xml:space="preserve"> jod. </w:t>
      </w:r>
      <w:r w:rsidR="0052477A" w:rsidRPr="00F01861">
        <w:rPr>
          <w:rStyle w:val="Hypertextovodkaz"/>
          <w:rFonts w:ascii="Calibri" w:hAnsi="Calibri"/>
          <w:color w:val="auto"/>
          <w:sz w:val="22"/>
          <w:szCs w:val="22"/>
          <w:u w:val="none"/>
        </w:rPr>
        <w:t xml:space="preserve">Studie uvádí i fakt, že </w:t>
      </w:r>
      <w:proofErr w:type="spellStart"/>
      <w:proofErr w:type="gramStart"/>
      <w:r w:rsidR="0052477A" w:rsidRPr="00F01861">
        <w:rPr>
          <w:rStyle w:val="Hypertextovodkaz"/>
          <w:rFonts w:ascii="Calibri" w:hAnsi="Calibri"/>
          <w:i/>
          <w:color w:val="auto"/>
          <w:sz w:val="22"/>
          <w:szCs w:val="22"/>
          <w:u w:val="none"/>
        </w:rPr>
        <w:t>S.aureus</w:t>
      </w:r>
      <w:proofErr w:type="spellEnd"/>
      <w:proofErr w:type="gramEnd"/>
      <w:r w:rsidR="0052477A" w:rsidRPr="00F01861">
        <w:rPr>
          <w:rStyle w:val="Hypertextovodkaz"/>
          <w:rFonts w:ascii="Calibri" w:hAnsi="Calibri"/>
          <w:color w:val="auto"/>
          <w:sz w:val="22"/>
          <w:szCs w:val="22"/>
          <w:u w:val="none"/>
        </w:rPr>
        <w:t xml:space="preserve"> přežil 2 min. expozice 10% </w:t>
      </w:r>
      <w:proofErr w:type="spellStart"/>
      <w:r w:rsidR="0052477A" w:rsidRPr="00F01861">
        <w:rPr>
          <w:rStyle w:val="Hypertextovodkaz"/>
          <w:rFonts w:ascii="Calibri" w:hAnsi="Calibri"/>
          <w:color w:val="auto"/>
          <w:sz w:val="22"/>
          <w:szCs w:val="22"/>
          <w:u w:val="none"/>
        </w:rPr>
        <w:t>povidon</w:t>
      </w:r>
      <w:proofErr w:type="spellEnd"/>
      <w:r w:rsidR="0052477A" w:rsidRPr="00F01861">
        <w:rPr>
          <w:rStyle w:val="Hypertextovodkaz"/>
          <w:rFonts w:ascii="Calibri" w:hAnsi="Calibri"/>
          <w:color w:val="auto"/>
          <w:sz w:val="22"/>
          <w:szCs w:val="22"/>
          <w:u w:val="none"/>
        </w:rPr>
        <w:t xml:space="preserve"> jodu, ale nepřežil 15s expozice 1:100 ředění </w:t>
      </w:r>
      <w:proofErr w:type="spellStart"/>
      <w:r w:rsidR="0052477A" w:rsidRPr="00F01861">
        <w:rPr>
          <w:rStyle w:val="Hypertextovodkaz"/>
          <w:rFonts w:ascii="Calibri" w:hAnsi="Calibri"/>
          <w:color w:val="auto"/>
          <w:sz w:val="22"/>
          <w:szCs w:val="22"/>
          <w:u w:val="none"/>
        </w:rPr>
        <w:t>jodoforu</w:t>
      </w:r>
      <w:proofErr w:type="spellEnd"/>
      <w:r w:rsidR="0052477A" w:rsidRPr="00F01861">
        <w:rPr>
          <w:rStyle w:val="Hypertextovodkaz"/>
          <w:rFonts w:ascii="Calibri" w:hAnsi="Calibri"/>
          <w:color w:val="auto"/>
          <w:sz w:val="22"/>
          <w:szCs w:val="22"/>
          <w:u w:val="none"/>
        </w:rPr>
        <w:t>.</w:t>
      </w:r>
    </w:p>
    <w:p w14:paraId="115EDAF1" w14:textId="062F1D7E" w:rsidR="0052477A" w:rsidRPr="00F01861" w:rsidRDefault="0052477A" w:rsidP="00F01861">
      <w:pPr>
        <w:spacing w:after="120"/>
        <w:ind w:left="1056"/>
      </w:pPr>
      <w:r w:rsidRPr="00F01861">
        <w:rPr>
          <w:rStyle w:val="Hypertextovodkaz"/>
          <w:rFonts w:ascii="Calibri" w:hAnsi="Calibri"/>
          <w:color w:val="auto"/>
          <w:u w:val="none"/>
        </w:rPr>
        <w:t xml:space="preserve">Vezmeme-li v úvahu přípravek obsahující </w:t>
      </w:r>
      <w:r w:rsidR="00574EA7" w:rsidRPr="00F01861">
        <w:rPr>
          <w:rStyle w:val="Hypertextovodkaz"/>
          <w:rFonts w:ascii="Calibri" w:hAnsi="Calibri"/>
          <w:color w:val="auto"/>
          <w:u w:val="none"/>
        </w:rPr>
        <w:t xml:space="preserve">10% </w:t>
      </w:r>
      <w:proofErr w:type="spellStart"/>
      <w:r w:rsidR="00574EA7" w:rsidRPr="00F01861">
        <w:rPr>
          <w:rStyle w:val="Hypertextovodkaz"/>
          <w:rFonts w:ascii="Calibri" w:hAnsi="Calibri"/>
          <w:color w:val="auto"/>
          <w:u w:val="none"/>
        </w:rPr>
        <w:t>povidon</w:t>
      </w:r>
      <w:proofErr w:type="spellEnd"/>
      <w:r w:rsidR="00574EA7" w:rsidRPr="00F01861">
        <w:rPr>
          <w:rStyle w:val="Hypertextovodkaz"/>
          <w:rFonts w:ascii="Calibri" w:hAnsi="Calibri"/>
          <w:color w:val="auto"/>
          <w:u w:val="none"/>
        </w:rPr>
        <w:t xml:space="preserve"> jod (</w:t>
      </w:r>
      <w:r w:rsidR="00574EA7" w:rsidRPr="00F01861">
        <w:t>chemický vzorec (C6H9</w:t>
      </w:r>
      <w:proofErr w:type="gramStart"/>
      <w:r w:rsidR="00574EA7" w:rsidRPr="00F01861">
        <w:t>NO)X.</w:t>
      </w:r>
      <w:proofErr w:type="gramEnd"/>
      <w:r w:rsidR="00574EA7" w:rsidRPr="00F01861">
        <w:t xml:space="preserve"> (I)X</w:t>
      </w:r>
      <w:r w:rsidR="000F7BCB" w:rsidRPr="00F01861">
        <w:t>)</w:t>
      </w:r>
      <w:r w:rsidR="00574EA7" w:rsidRPr="00F01861">
        <w:rPr>
          <w:rStyle w:val="Hypertextovodkaz"/>
          <w:rFonts w:ascii="Calibri" w:hAnsi="Calibri"/>
          <w:color w:val="auto"/>
          <w:u w:val="none"/>
        </w:rPr>
        <w:t>, jehož účinnost byla prokázána ve výše uvedené studii a skutečnost, že jde o komplex s</w:t>
      </w:r>
      <w:r w:rsidR="002B7CCD" w:rsidRPr="00F01861">
        <w:rPr>
          <w:rStyle w:val="Hypertextovodkaz"/>
          <w:rFonts w:ascii="Calibri" w:hAnsi="Calibri"/>
          <w:color w:val="auto"/>
          <w:u w:val="none"/>
        </w:rPr>
        <w:t> </w:t>
      </w:r>
      <w:proofErr w:type="gramStart"/>
      <w:r w:rsidR="00574EA7" w:rsidRPr="00F01861">
        <w:rPr>
          <w:rStyle w:val="Hypertextovodkaz"/>
          <w:rFonts w:ascii="Calibri" w:hAnsi="Calibri"/>
          <w:color w:val="auto"/>
          <w:u w:val="none"/>
        </w:rPr>
        <w:t>9</w:t>
      </w:r>
      <w:r w:rsidR="002B7CCD" w:rsidRPr="00F01861">
        <w:rPr>
          <w:rStyle w:val="Hypertextovodkaz"/>
          <w:rFonts w:ascii="Calibri" w:hAnsi="Calibri"/>
          <w:color w:val="auto"/>
          <w:u w:val="none"/>
        </w:rPr>
        <w:t xml:space="preserve"> </w:t>
      </w:r>
      <w:r w:rsidR="00574EA7" w:rsidRPr="00F01861">
        <w:rPr>
          <w:rStyle w:val="Hypertextovodkaz"/>
          <w:rFonts w:ascii="Calibri" w:hAnsi="Calibri"/>
          <w:color w:val="auto"/>
          <w:u w:val="none"/>
        </w:rPr>
        <w:t>-12</w:t>
      </w:r>
      <w:proofErr w:type="gramEnd"/>
      <w:r w:rsidR="00574EA7" w:rsidRPr="00F01861">
        <w:rPr>
          <w:rStyle w:val="Hypertextovodkaz"/>
          <w:rFonts w:ascii="Calibri" w:hAnsi="Calibri"/>
          <w:color w:val="auto"/>
          <w:u w:val="none"/>
        </w:rPr>
        <w:t xml:space="preserve">% uvolnitelného jódu </w:t>
      </w:r>
      <w:r w:rsidR="00574EA7" w:rsidRPr="00F01861">
        <w:t>(počítáno na suchou látku), pak obsah uvolnitelného jodu je 0,09-0,12</w:t>
      </w:r>
      <w:r w:rsidR="001111B7">
        <w:t xml:space="preserve"> </w:t>
      </w:r>
      <w:r w:rsidR="00574EA7" w:rsidRPr="00F01861">
        <w:t xml:space="preserve">g/kg přípravku, což odpovídá koncentraci 900 </w:t>
      </w:r>
      <w:proofErr w:type="spellStart"/>
      <w:r w:rsidR="00574EA7" w:rsidRPr="00F01861">
        <w:t>ppm</w:t>
      </w:r>
      <w:proofErr w:type="spellEnd"/>
      <w:r w:rsidR="00574EA7" w:rsidRPr="00F01861">
        <w:t xml:space="preserve"> – 1200 </w:t>
      </w:r>
      <w:proofErr w:type="spellStart"/>
      <w:r w:rsidR="00574EA7" w:rsidRPr="00F01861">
        <w:t>ppm</w:t>
      </w:r>
      <w:proofErr w:type="spellEnd"/>
      <w:r w:rsidR="00574EA7" w:rsidRPr="00F01861">
        <w:t xml:space="preserve"> uvolnitelného jodu.</w:t>
      </w:r>
    </w:p>
    <w:p w14:paraId="7F0215D4" w14:textId="77777777" w:rsidR="00574EA7" w:rsidRPr="00F01861" w:rsidRDefault="00574EA7" w:rsidP="00F01861">
      <w:pPr>
        <w:pStyle w:val="Normlnweb"/>
        <w:spacing w:before="0" w:beforeAutospacing="0" w:after="120" w:afterAutospacing="0"/>
        <w:ind w:left="360"/>
        <w:jc w:val="both"/>
        <w:rPr>
          <w:rFonts w:ascii="Calibri" w:hAnsi="Calibri"/>
          <w:sz w:val="22"/>
          <w:szCs w:val="22"/>
        </w:rPr>
      </w:pPr>
    </w:p>
    <w:p w14:paraId="0E0C74C2" w14:textId="77777777" w:rsidR="00574EA7" w:rsidRPr="00F01861" w:rsidRDefault="005E5268" w:rsidP="00F01861">
      <w:pPr>
        <w:pStyle w:val="Normlnweb"/>
        <w:numPr>
          <w:ilvl w:val="0"/>
          <w:numId w:val="3"/>
        </w:numPr>
        <w:spacing w:before="0" w:beforeAutospacing="0" w:after="120" w:afterAutospacing="0"/>
        <w:jc w:val="both"/>
        <w:rPr>
          <w:rFonts w:ascii="Calibri" w:hAnsi="Calibri"/>
          <w:sz w:val="22"/>
          <w:szCs w:val="22"/>
        </w:rPr>
      </w:pPr>
      <w:r w:rsidRPr="00F01861">
        <w:rPr>
          <w:rFonts w:ascii="Calibri" w:hAnsi="Calibri"/>
          <w:sz w:val="22"/>
          <w:szCs w:val="22"/>
        </w:rPr>
        <w:t>Dále</w:t>
      </w:r>
      <w:r w:rsidR="00B54488" w:rsidRPr="00F01861">
        <w:rPr>
          <w:rFonts w:ascii="Calibri" w:hAnsi="Calibri"/>
          <w:sz w:val="22"/>
          <w:szCs w:val="22"/>
        </w:rPr>
        <w:t xml:space="preserve"> se prokázalo, že </w:t>
      </w:r>
      <w:hyperlink r:id="rId33" w:tooltip="Bakterie" w:history="1">
        <w:r w:rsidR="00B54488" w:rsidRPr="00F01861">
          <w:rPr>
            <w:rStyle w:val="Hypertextovodkaz"/>
            <w:rFonts w:ascii="Calibri" w:hAnsi="Calibri"/>
            <w:color w:val="auto"/>
            <w:sz w:val="22"/>
            <w:szCs w:val="22"/>
            <w:u w:val="none"/>
          </w:rPr>
          <w:t>bakterie</w:t>
        </w:r>
      </w:hyperlink>
      <w:r w:rsidR="00B54488" w:rsidRPr="00F01861">
        <w:rPr>
          <w:rFonts w:ascii="Calibri" w:hAnsi="Calibri"/>
          <w:sz w:val="22"/>
          <w:szCs w:val="22"/>
        </w:rPr>
        <w:t xml:space="preserve"> netvoří rezistenci proti PVPI</w:t>
      </w:r>
      <w:hyperlink r:id="rId34" w:anchor="cite_note-7" w:history="1">
        <w:r w:rsidR="00B54488" w:rsidRPr="00F01861">
          <w:rPr>
            <w:rStyle w:val="Hypertextovodkaz"/>
            <w:rFonts w:ascii="Calibri" w:hAnsi="Calibri"/>
            <w:sz w:val="22"/>
            <w:szCs w:val="22"/>
            <w:vertAlign w:val="superscript"/>
          </w:rPr>
          <w:t>[1]</w:t>
        </w:r>
      </w:hyperlink>
      <w:r w:rsidR="00B54488" w:rsidRPr="00F01861">
        <w:rPr>
          <w:rFonts w:ascii="Calibri" w:hAnsi="Calibri"/>
          <w:sz w:val="22"/>
          <w:szCs w:val="22"/>
        </w:rPr>
        <w:t>, míra senzibilizace na tuto látku je jen 0,7 %</w:t>
      </w:r>
      <w:hyperlink r:id="rId35" w:anchor="cite_note-8" w:history="1">
        <w:r w:rsidR="00B54488" w:rsidRPr="00F01861">
          <w:rPr>
            <w:rStyle w:val="Hypertextovodkaz"/>
            <w:rFonts w:ascii="Calibri" w:hAnsi="Calibri"/>
            <w:sz w:val="22"/>
            <w:szCs w:val="22"/>
            <w:vertAlign w:val="superscript"/>
          </w:rPr>
          <w:t>[2]</w:t>
        </w:r>
      </w:hyperlink>
      <w:r w:rsidR="00B54488" w:rsidRPr="00F01861">
        <w:rPr>
          <w:rFonts w:ascii="Calibri" w:hAnsi="Calibri"/>
          <w:sz w:val="22"/>
          <w:szCs w:val="22"/>
        </w:rPr>
        <w:t xml:space="preserve"> a přítomnost různých organických materiálů nemá praktické dopady na účinnost látky</w:t>
      </w:r>
      <w:hyperlink r:id="rId36" w:anchor="cite_note-9" w:history="1">
        <w:r w:rsidR="00B54488" w:rsidRPr="00F01861">
          <w:rPr>
            <w:rStyle w:val="Hypertextovodkaz"/>
            <w:rFonts w:ascii="Calibri" w:hAnsi="Calibri"/>
            <w:sz w:val="22"/>
            <w:szCs w:val="22"/>
            <w:vertAlign w:val="superscript"/>
          </w:rPr>
          <w:t>[3]</w:t>
        </w:r>
      </w:hyperlink>
      <w:r w:rsidR="00B54488" w:rsidRPr="00F01861">
        <w:rPr>
          <w:rFonts w:ascii="Calibri" w:hAnsi="Calibri"/>
          <w:sz w:val="22"/>
          <w:szCs w:val="22"/>
        </w:rPr>
        <w:t xml:space="preserve">. V důsledku toho nachází jodovaný </w:t>
      </w:r>
      <w:proofErr w:type="spellStart"/>
      <w:r w:rsidR="00B54488" w:rsidRPr="00F01861">
        <w:rPr>
          <w:rFonts w:ascii="Calibri" w:hAnsi="Calibri"/>
          <w:sz w:val="22"/>
          <w:szCs w:val="22"/>
        </w:rPr>
        <w:t>povidon</w:t>
      </w:r>
      <w:proofErr w:type="spellEnd"/>
      <w:r w:rsidR="00B54488" w:rsidRPr="00F01861">
        <w:rPr>
          <w:rFonts w:ascii="Calibri" w:hAnsi="Calibri"/>
          <w:sz w:val="22"/>
          <w:szCs w:val="22"/>
        </w:rPr>
        <w:t xml:space="preserve"> široké uplatnění</w:t>
      </w:r>
      <w:r w:rsidRPr="00F01861">
        <w:rPr>
          <w:rFonts w:ascii="Calibri" w:hAnsi="Calibri"/>
          <w:sz w:val="22"/>
          <w:szCs w:val="22"/>
        </w:rPr>
        <w:t>.</w:t>
      </w:r>
    </w:p>
    <w:p w14:paraId="0EE7EB01" w14:textId="77777777" w:rsidR="00B54488" w:rsidRPr="00F01861" w:rsidRDefault="00B54488" w:rsidP="00F01861">
      <w:pPr>
        <w:pStyle w:val="Normlnweb"/>
        <w:spacing w:before="0" w:beforeAutospacing="0" w:after="120" w:afterAutospacing="0"/>
        <w:ind w:left="1068"/>
        <w:jc w:val="both"/>
        <w:rPr>
          <w:rFonts w:ascii="Calibri" w:hAnsi="Calibri"/>
          <w:sz w:val="22"/>
          <w:szCs w:val="22"/>
        </w:rPr>
      </w:pPr>
      <w:r w:rsidRPr="00F01861">
        <w:rPr>
          <w:rFonts w:ascii="Calibri" w:hAnsi="Calibri"/>
          <w:sz w:val="22"/>
          <w:szCs w:val="22"/>
        </w:rPr>
        <w:t xml:space="preserve">Riziko rezistence a </w:t>
      </w:r>
      <w:proofErr w:type="spellStart"/>
      <w:r w:rsidRPr="00F01861">
        <w:rPr>
          <w:rFonts w:ascii="Calibri" w:hAnsi="Calibri"/>
          <w:sz w:val="22"/>
          <w:szCs w:val="22"/>
        </w:rPr>
        <w:t>ko</w:t>
      </w:r>
      <w:proofErr w:type="spellEnd"/>
      <w:r w:rsidRPr="00F01861">
        <w:rPr>
          <w:rFonts w:ascii="Calibri" w:hAnsi="Calibri"/>
          <w:sz w:val="22"/>
          <w:szCs w:val="22"/>
        </w:rPr>
        <w:t xml:space="preserve">-selekce rezistence ve vztahu k </w:t>
      </w:r>
      <w:proofErr w:type="spellStart"/>
      <w:r w:rsidRPr="00F01861">
        <w:rPr>
          <w:rFonts w:ascii="Calibri" w:hAnsi="Calibri"/>
          <w:sz w:val="22"/>
          <w:szCs w:val="22"/>
        </w:rPr>
        <w:t>antimikrobikům</w:t>
      </w:r>
      <w:proofErr w:type="spellEnd"/>
      <w:r w:rsidRPr="00F01861">
        <w:rPr>
          <w:rFonts w:ascii="Calibri" w:hAnsi="Calibri"/>
          <w:sz w:val="22"/>
          <w:szCs w:val="22"/>
        </w:rPr>
        <w:t xml:space="preserve">- i další články spojení </w:t>
      </w:r>
      <w:r w:rsidR="004F3BCE" w:rsidRPr="00F01861">
        <w:rPr>
          <w:rFonts w:ascii="Calibri" w:hAnsi="Calibri"/>
          <w:sz w:val="22"/>
          <w:szCs w:val="22"/>
        </w:rPr>
        <w:t>antimi</w:t>
      </w:r>
      <w:r w:rsidR="00574EA7" w:rsidRPr="00F01861">
        <w:rPr>
          <w:rFonts w:ascii="Calibri" w:hAnsi="Calibri"/>
          <w:sz w:val="22"/>
          <w:szCs w:val="22"/>
        </w:rPr>
        <w:t xml:space="preserve">krobní rezistence </w:t>
      </w:r>
      <w:r w:rsidRPr="00F01861">
        <w:rPr>
          <w:rFonts w:ascii="Calibri" w:hAnsi="Calibri"/>
          <w:sz w:val="22"/>
          <w:szCs w:val="22"/>
        </w:rPr>
        <w:t>neuvádí, či naopak uvádí benefit použití ve srovnání např.</w:t>
      </w:r>
      <w:r w:rsidR="00311951" w:rsidRPr="00F01861">
        <w:rPr>
          <w:rFonts w:ascii="Calibri" w:hAnsi="Calibri"/>
          <w:sz w:val="22"/>
          <w:szCs w:val="22"/>
        </w:rPr>
        <w:t xml:space="preserve"> </w:t>
      </w:r>
      <w:r w:rsidRPr="00F01861">
        <w:rPr>
          <w:rFonts w:ascii="Calibri" w:hAnsi="Calibri"/>
          <w:sz w:val="22"/>
          <w:szCs w:val="22"/>
        </w:rPr>
        <w:t xml:space="preserve">s </w:t>
      </w:r>
      <w:proofErr w:type="spellStart"/>
      <w:r w:rsidRPr="00F01861">
        <w:rPr>
          <w:rFonts w:ascii="Calibri" w:hAnsi="Calibri"/>
          <w:sz w:val="22"/>
          <w:szCs w:val="22"/>
        </w:rPr>
        <w:t>mupirocinem</w:t>
      </w:r>
      <w:proofErr w:type="spellEnd"/>
      <w:r w:rsidRPr="00F01861">
        <w:rPr>
          <w:rFonts w:ascii="Calibri" w:hAnsi="Calibri"/>
          <w:sz w:val="22"/>
          <w:szCs w:val="22"/>
        </w:rPr>
        <w:t xml:space="preserve"> používaným k dekolonizaci v případě MRSA</w:t>
      </w:r>
      <w:r w:rsidR="007F3A15" w:rsidRPr="00F01861">
        <w:rPr>
          <w:rFonts w:ascii="Calibri" w:hAnsi="Calibri"/>
          <w:sz w:val="22"/>
          <w:szCs w:val="22"/>
        </w:rPr>
        <w:t xml:space="preserve"> a</w:t>
      </w:r>
      <w:r w:rsidRPr="00F01861">
        <w:rPr>
          <w:rFonts w:ascii="Calibri" w:hAnsi="Calibri"/>
          <w:sz w:val="22"/>
          <w:szCs w:val="22"/>
        </w:rPr>
        <w:t xml:space="preserve"> další souhrnná </w:t>
      </w:r>
      <w:r w:rsidR="00655656" w:rsidRPr="00F01861">
        <w:rPr>
          <w:rFonts w:ascii="Calibri" w:hAnsi="Calibri"/>
          <w:sz w:val="22"/>
          <w:szCs w:val="22"/>
        </w:rPr>
        <w:t>(PhD)publikace z DTU (DK) uvádí</w:t>
      </w:r>
      <w:r w:rsidRPr="00F01861">
        <w:rPr>
          <w:rFonts w:ascii="Calibri" w:hAnsi="Calibri"/>
          <w:sz w:val="22"/>
          <w:szCs w:val="22"/>
        </w:rPr>
        <w:t xml:space="preserve">: </w:t>
      </w:r>
      <w:r w:rsidR="00E24DFA" w:rsidRPr="00F01861">
        <w:rPr>
          <w:rFonts w:ascii="Calibri" w:hAnsi="Calibri"/>
          <w:sz w:val="22"/>
          <w:szCs w:val="22"/>
        </w:rPr>
        <w:t>,,</w:t>
      </w:r>
      <w:r w:rsidRPr="00F01861">
        <w:rPr>
          <w:rFonts w:ascii="Calibri" w:hAnsi="Calibri"/>
          <w:sz w:val="22"/>
          <w:szCs w:val="22"/>
        </w:rPr>
        <w:t xml:space="preserve">So far, </w:t>
      </w:r>
      <w:proofErr w:type="spellStart"/>
      <w:r w:rsidRPr="00F01861">
        <w:rPr>
          <w:rFonts w:ascii="Calibri" w:hAnsi="Calibri"/>
          <w:sz w:val="22"/>
          <w:szCs w:val="22"/>
        </w:rPr>
        <w:t>plasmid</w:t>
      </w:r>
      <w:proofErr w:type="spellEnd"/>
      <w:r w:rsidRPr="00F01861">
        <w:rPr>
          <w:rFonts w:ascii="Calibri" w:hAnsi="Calibri"/>
          <w:sz w:val="22"/>
          <w:szCs w:val="22"/>
        </w:rPr>
        <w:t xml:space="preserve"> </w:t>
      </w:r>
      <w:proofErr w:type="spellStart"/>
      <w:r w:rsidRPr="00F01861">
        <w:rPr>
          <w:rFonts w:ascii="Calibri" w:hAnsi="Calibri"/>
          <w:sz w:val="22"/>
          <w:szCs w:val="22"/>
        </w:rPr>
        <w:t>conjugation</w:t>
      </w:r>
      <w:proofErr w:type="spellEnd"/>
      <w:r w:rsidRPr="00F01861">
        <w:rPr>
          <w:rFonts w:ascii="Calibri" w:hAnsi="Calibri"/>
          <w:sz w:val="22"/>
          <w:szCs w:val="22"/>
        </w:rPr>
        <w:t xml:space="preserve"> </w:t>
      </w:r>
      <w:proofErr w:type="spellStart"/>
      <w:r w:rsidRPr="00F01861">
        <w:rPr>
          <w:rFonts w:ascii="Calibri" w:hAnsi="Calibri"/>
          <w:sz w:val="22"/>
          <w:szCs w:val="22"/>
        </w:rPr>
        <w:t>or</w:t>
      </w:r>
      <w:proofErr w:type="spellEnd"/>
      <w:r w:rsidRPr="00F01861">
        <w:rPr>
          <w:rFonts w:ascii="Calibri" w:hAnsi="Calibri"/>
          <w:sz w:val="22"/>
          <w:szCs w:val="22"/>
        </w:rPr>
        <w:t xml:space="preserve"> </w:t>
      </w:r>
      <w:proofErr w:type="spellStart"/>
      <w:r w:rsidRPr="00F01861">
        <w:rPr>
          <w:rFonts w:ascii="Calibri" w:hAnsi="Calibri"/>
          <w:sz w:val="22"/>
          <w:szCs w:val="22"/>
        </w:rPr>
        <w:t>transduction</w:t>
      </w:r>
      <w:proofErr w:type="spellEnd"/>
      <w:r w:rsidRPr="00F01861">
        <w:rPr>
          <w:rFonts w:ascii="Calibri" w:hAnsi="Calibri"/>
          <w:sz w:val="22"/>
          <w:szCs w:val="22"/>
        </w:rPr>
        <w:t xml:space="preserve"> </w:t>
      </w:r>
      <w:proofErr w:type="spellStart"/>
      <w:r w:rsidRPr="00F01861">
        <w:rPr>
          <w:rFonts w:ascii="Calibri" w:hAnsi="Calibri"/>
          <w:sz w:val="22"/>
          <w:szCs w:val="22"/>
        </w:rPr>
        <w:t>of</w:t>
      </w:r>
      <w:proofErr w:type="spellEnd"/>
      <w:r w:rsidRPr="00F01861">
        <w:rPr>
          <w:rFonts w:ascii="Calibri" w:hAnsi="Calibri"/>
          <w:sz w:val="22"/>
          <w:szCs w:val="22"/>
        </w:rPr>
        <w:t xml:space="preserve"> </w:t>
      </w:r>
      <w:proofErr w:type="spellStart"/>
      <w:r w:rsidRPr="00F01861">
        <w:rPr>
          <w:rFonts w:ascii="Calibri" w:hAnsi="Calibri"/>
          <w:sz w:val="22"/>
          <w:szCs w:val="22"/>
        </w:rPr>
        <w:t>resistance</w:t>
      </w:r>
      <w:proofErr w:type="spellEnd"/>
      <w:r w:rsidRPr="00F01861">
        <w:rPr>
          <w:rFonts w:ascii="Calibri" w:hAnsi="Calibri"/>
          <w:sz w:val="22"/>
          <w:szCs w:val="22"/>
        </w:rPr>
        <w:t xml:space="preserve"> </w:t>
      </w:r>
      <w:proofErr w:type="spellStart"/>
      <w:r w:rsidRPr="00F01861">
        <w:rPr>
          <w:rFonts w:ascii="Calibri" w:hAnsi="Calibri"/>
          <w:sz w:val="22"/>
          <w:szCs w:val="22"/>
        </w:rPr>
        <w:t>determinants</w:t>
      </w:r>
      <w:proofErr w:type="spellEnd"/>
      <w:r w:rsidRPr="00F01861">
        <w:rPr>
          <w:rFonts w:ascii="Calibri" w:hAnsi="Calibri"/>
          <w:sz w:val="22"/>
          <w:szCs w:val="22"/>
        </w:rPr>
        <w:t xml:space="preserve"> in </w:t>
      </w:r>
      <w:r w:rsidRPr="00F01861">
        <w:rPr>
          <w:rFonts w:ascii="Calibri" w:hAnsi="Calibri"/>
          <w:i/>
          <w:iCs/>
          <w:sz w:val="22"/>
          <w:szCs w:val="22"/>
        </w:rPr>
        <w:t>S. aureus</w:t>
      </w:r>
      <w:r w:rsidRPr="00F01861">
        <w:rPr>
          <w:rFonts w:ascii="Calibri" w:hAnsi="Calibri"/>
          <w:sz w:val="22"/>
          <w:szCs w:val="22"/>
        </w:rPr>
        <w:t xml:space="preserve"> has </w:t>
      </w:r>
      <w:proofErr w:type="spellStart"/>
      <w:r w:rsidRPr="00F01861">
        <w:rPr>
          <w:rFonts w:ascii="Calibri" w:hAnsi="Calibri"/>
          <w:sz w:val="22"/>
          <w:szCs w:val="22"/>
        </w:rPr>
        <w:t>been</w:t>
      </w:r>
      <w:proofErr w:type="spellEnd"/>
      <w:r w:rsidRPr="00F01861">
        <w:rPr>
          <w:rFonts w:ascii="Calibri" w:hAnsi="Calibri"/>
          <w:sz w:val="22"/>
          <w:szCs w:val="22"/>
        </w:rPr>
        <w:t xml:space="preserve"> </w:t>
      </w:r>
      <w:proofErr w:type="spellStart"/>
      <w:r w:rsidRPr="00F01861">
        <w:rPr>
          <w:rFonts w:ascii="Calibri" w:hAnsi="Calibri"/>
          <w:sz w:val="22"/>
          <w:szCs w:val="22"/>
        </w:rPr>
        <w:t>found</w:t>
      </w:r>
      <w:proofErr w:type="spellEnd"/>
      <w:r w:rsidRPr="00F01861">
        <w:rPr>
          <w:rFonts w:ascii="Calibri" w:hAnsi="Calibri"/>
          <w:sz w:val="22"/>
          <w:szCs w:val="22"/>
        </w:rPr>
        <w:t xml:space="preserve"> to </w:t>
      </w:r>
      <w:proofErr w:type="spellStart"/>
      <w:r w:rsidRPr="00F01861">
        <w:rPr>
          <w:rFonts w:ascii="Calibri" w:hAnsi="Calibri"/>
          <w:sz w:val="22"/>
          <w:szCs w:val="22"/>
        </w:rPr>
        <w:t>be</w:t>
      </w:r>
      <w:proofErr w:type="spellEnd"/>
      <w:r w:rsidRPr="00F01861">
        <w:rPr>
          <w:rFonts w:ascii="Calibri" w:hAnsi="Calibri"/>
          <w:sz w:val="22"/>
          <w:szCs w:val="22"/>
        </w:rPr>
        <w:t xml:space="preserve"> </w:t>
      </w:r>
      <w:proofErr w:type="spellStart"/>
      <w:r w:rsidRPr="00F01861">
        <w:rPr>
          <w:rFonts w:ascii="Calibri" w:hAnsi="Calibri"/>
          <w:sz w:val="22"/>
          <w:szCs w:val="22"/>
        </w:rPr>
        <w:t>either</w:t>
      </w:r>
      <w:proofErr w:type="spellEnd"/>
      <w:r w:rsidRPr="00F01861">
        <w:rPr>
          <w:rFonts w:ascii="Calibri" w:hAnsi="Calibri"/>
          <w:sz w:val="22"/>
          <w:szCs w:val="22"/>
        </w:rPr>
        <w:t xml:space="preserve"> not </w:t>
      </w:r>
      <w:proofErr w:type="spellStart"/>
      <w:r w:rsidRPr="00F01861">
        <w:rPr>
          <w:rFonts w:ascii="Calibri" w:hAnsi="Calibri"/>
          <w:sz w:val="22"/>
          <w:szCs w:val="22"/>
        </w:rPr>
        <w:t>affected</w:t>
      </w:r>
      <w:proofErr w:type="spellEnd"/>
      <w:r w:rsidRPr="00F01861">
        <w:rPr>
          <w:rFonts w:ascii="Calibri" w:hAnsi="Calibri"/>
          <w:sz w:val="22"/>
          <w:szCs w:val="22"/>
        </w:rPr>
        <w:t xml:space="preserve"> </w:t>
      </w:r>
      <w:proofErr w:type="spellStart"/>
      <w:r w:rsidRPr="00F01861">
        <w:rPr>
          <w:rFonts w:ascii="Calibri" w:hAnsi="Calibri"/>
          <w:sz w:val="22"/>
          <w:szCs w:val="22"/>
        </w:rPr>
        <w:t>or</w:t>
      </w:r>
      <w:proofErr w:type="spellEnd"/>
      <w:r w:rsidRPr="00F01861">
        <w:rPr>
          <w:rFonts w:ascii="Calibri" w:hAnsi="Calibri"/>
          <w:sz w:val="22"/>
          <w:szCs w:val="22"/>
        </w:rPr>
        <w:t xml:space="preserve"> </w:t>
      </w:r>
      <w:proofErr w:type="spellStart"/>
      <w:r w:rsidRPr="00F01861">
        <w:rPr>
          <w:rFonts w:ascii="Calibri" w:hAnsi="Calibri"/>
          <w:sz w:val="22"/>
          <w:szCs w:val="22"/>
        </w:rPr>
        <w:t>reduced</w:t>
      </w:r>
      <w:proofErr w:type="spellEnd"/>
      <w:r w:rsidRPr="00F01861">
        <w:rPr>
          <w:rFonts w:ascii="Calibri" w:hAnsi="Calibri"/>
          <w:sz w:val="22"/>
          <w:szCs w:val="22"/>
        </w:rPr>
        <w:t xml:space="preserve"> by sub-inhibitory </w:t>
      </w:r>
      <w:proofErr w:type="spellStart"/>
      <w:r w:rsidRPr="00F01861">
        <w:rPr>
          <w:rFonts w:ascii="Calibri" w:hAnsi="Calibri"/>
          <w:sz w:val="22"/>
          <w:szCs w:val="22"/>
        </w:rPr>
        <w:t>concentrations</w:t>
      </w:r>
      <w:proofErr w:type="spellEnd"/>
      <w:r w:rsidRPr="00F01861">
        <w:rPr>
          <w:rFonts w:ascii="Calibri" w:hAnsi="Calibri"/>
          <w:sz w:val="22"/>
          <w:szCs w:val="22"/>
        </w:rPr>
        <w:t xml:space="preserve"> </w:t>
      </w:r>
      <w:proofErr w:type="spellStart"/>
      <w:r w:rsidRPr="00F01861">
        <w:rPr>
          <w:rFonts w:ascii="Calibri" w:hAnsi="Calibri"/>
          <w:sz w:val="22"/>
          <w:szCs w:val="22"/>
        </w:rPr>
        <w:t>of</w:t>
      </w:r>
      <w:proofErr w:type="spellEnd"/>
      <w:r w:rsidRPr="00F01861">
        <w:rPr>
          <w:rFonts w:ascii="Calibri" w:hAnsi="Calibri"/>
          <w:sz w:val="22"/>
          <w:szCs w:val="22"/>
        </w:rPr>
        <w:t xml:space="preserve"> a </w:t>
      </w:r>
      <w:proofErr w:type="spellStart"/>
      <w:r w:rsidRPr="00F01861">
        <w:rPr>
          <w:rFonts w:ascii="Calibri" w:hAnsi="Calibri"/>
          <w:sz w:val="22"/>
          <w:szCs w:val="22"/>
        </w:rPr>
        <w:t>number</w:t>
      </w:r>
      <w:proofErr w:type="spellEnd"/>
      <w:r w:rsidRPr="00F01861">
        <w:rPr>
          <w:rFonts w:ascii="Calibri" w:hAnsi="Calibri"/>
          <w:sz w:val="22"/>
          <w:szCs w:val="22"/>
        </w:rPr>
        <w:t xml:space="preserve"> </w:t>
      </w:r>
      <w:proofErr w:type="spellStart"/>
      <w:r w:rsidRPr="00F01861">
        <w:rPr>
          <w:rFonts w:ascii="Calibri" w:hAnsi="Calibri"/>
          <w:sz w:val="22"/>
          <w:szCs w:val="22"/>
        </w:rPr>
        <w:t>of</w:t>
      </w:r>
      <w:proofErr w:type="spellEnd"/>
      <w:r w:rsidRPr="00F01861">
        <w:rPr>
          <w:rFonts w:ascii="Calibri" w:hAnsi="Calibri"/>
          <w:sz w:val="22"/>
          <w:szCs w:val="22"/>
        </w:rPr>
        <w:t xml:space="preserve"> </w:t>
      </w:r>
      <w:proofErr w:type="spellStart"/>
      <w:r w:rsidRPr="00F01861">
        <w:rPr>
          <w:rFonts w:ascii="Calibri" w:hAnsi="Calibri"/>
          <w:sz w:val="22"/>
          <w:szCs w:val="22"/>
        </w:rPr>
        <w:t>biocides</w:t>
      </w:r>
      <w:proofErr w:type="spellEnd"/>
      <w:r w:rsidRPr="00F01861">
        <w:rPr>
          <w:rFonts w:ascii="Calibri" w:hAnsi="Calibri"/>
          <w:sz w:val="22"/>
          <w:szCs w:val="22"/>
        </w:rPr>
        <w:t xml:space="preserve">, </w:t>
      </w:r>
      <w:proofErr w:type="spellStart"/>
      <w:r w:rsidRPr="00F01861">
        <w:rPr>
          <w:rFonts w:ascii="Calibri" w:hAnsi="Calibri"/>
          <w:sz w:val="22"/>
          <w:szCs w:val="22"/>
        </w:rPr>
        <w:t>including</w:t>
      </w:r>
      <w:proofErr w:type="spellEnd"/>
      <w:r w:rsidRPr="00F01861">
        <w:rPr>
          <w:rFonts w:ascii="Calibri" w:hAnsi="Calibri"/>
          <w:sz w:val="22"/>
          <w:szCs w:val="22"/>
        </w:rPr>
        <w:t xml:space="preserve"> </w:t>
      </w:r>
      <w:proofErr w:type="spellStart"/>
      <w:r w:rsidRPr="00F01861">
        <w:rPr>
          <w:rFonts w:ascii="Calibri" w:hAnsi="Calibri"/>
          <w:sz w:val="22"/>
          <w:szCs w:val="22"/>
        </w:rPr>
        <w:t>povidione-iodine</w:t>
      </w:r>
      <w:proofErr w:type="spellEnd"/>
      <w:r w:rsidRPr="00F01861">
        <w:rPr>
          <w:rFonts w:ascii="Calibri" w:hAnsi="Calibri"/>
          <w:sz w:val="22"/>
          <w:szCs w:val="22"/>
        </w:rPr>
        <w:t xml:space="preserve">, CHX, and </w:t>
      </w:r>
      <w:proofErr w:type="spellStart"/>
      <w:r w:rsidRPr="00F01861">
        <w:rPr>
          <w:rFonts w:ascii="Calibri" w:hAnsi="Calibri"/>
          <w:sz w:val="22"/>
          <w:szCs w:val="22"/>
        </w:rPr>
        <w:t>different</w:t>
      </w:r>
      <w:proofErr w:type="spellEnd"/>
      <w:r w:rsidRPr="00F01861">
        <w:rPr>
          <w:rFonts w:ascii="Calibri" w:hAnsi="Calibri"/>
          <w:sz w:val="22"/>
          <w:szCs w:val="22"/>
        </w:rPr>
        <w:t xml:space="preserve"> </w:t>
      </w:r>
      <w:proofErr w:type="spellStart"/>
      <w:r w:rsidRPr="00F01861">
        <w:rPr>
          <w:rFonts w:ascii="Calibri" w:hAnsi="Calibri"/>
          <w:sz w:val="22"/>
          <w:szCs w:val="22"/>
        </w:rPr>
        <w:t>QACs</w:t>
      </w:r>
      <w:proofErr w:type="spellEnd"/>
      <w:r w:rsidRPr="00F01861">
        <w:rPr>
          <w:rFonts w:ascii="Calibri" w:hAnsi="Calibri"/>
          <w:sz w:val="22"/>
          <w:szCs w:val="22"/>
        </w:rPr>
        <w:t>…</w:t>
      </w:r>
      <w:r w:rsidR="00E24DFA" w:rsidRPr="00F01861">
        <w:rPr>
          <w:rFonts w:ascii="Calibri" w:hAnsi="Calibri"/>
          <w:sz w:val="22"/>
          <w:szCs w:val="22"/>
        </w:rPr>
        <w:t>“ což opět podporuje názor</w:t>
      </w:r>
      <w:r w:rsidRPr="00F01861">
        <w:rPr>
          <w:rFonts w:ascii="Calibri" w:hAnsi="Calibri"/>
          <w:sz w:val="22"/>
          <w:szCs w:val="22"/>
        </w:rPr>
        <w:t>, že by neměl být vliv na AMR (…buď nebyla dotčena či byla snížena konjugace a transdukce (což jsou proce</w:t>
      </w:r>
      <w:r w:rsidR="00E24DFA" w:rsidRPr="00F01861">
        <w:rPr>
          <w:rFonts w:ascii="Calibri" w:hAnsi="Calibri"/>
          <w:sz w:val="22"/>
          <w:szCs w:val="22"/>
        </w:rPr>
        <w:t>sy přispívající k šíření AMR).</w:t>
      </w:r>
    </w:p>
    <w:p w14:paraId="722F4580" w14:textId="4C0F6FB3" w:rsidR="000B1182" w:rsidRPr="00F01861" w:rsidRDefault="000B1182" w:rsidP="00F01861">
      <w:pPr>
        <w:pStyle w:val="Normlnweb"/>
        <w:spacing w:before="0" w:beforeAutospacing="0" w:after="120" w:afterAutospacing="0"/>
        <w:jc w:val="both"/>
        <w:rPr>
          <w:rFonts w:ascii="Calibri" w:hAnsi="Calibri"/>
          <w:b/>
          <w:sz w:val="22"/>
          <w:szCs w:val="22"/>
        </w:rPr>
      </w:pPr>
      <w:r w:rsidRPr="00F01861">
        <w:rPr>
          <w:rFonts w:ascii="Calibri" w:hAnsi="Calibri"/>
          <w:b/>
          <w:sz w:val="22"/>
          <w:szCs w:val="22"/>
        </w:rPr>
        <w:t>Závěrem lze tedy říci, že účinnost přípravku s obsahem jodu (resp. jod v </w:t>
      </w:r>
      <w:r w:rsidR="002B7CCD" w:rsidRPr="00F01861">
        <w:rPr>
          <w:rFonts w:ascii="Calibri" w:hAnsi="Calibri"/>
          <w:b/>
          <w:sz w:val="22"/>
          <w:szCs w:val="22"/>
        </w:rPr>
        <w:t>komplexu</w:t>
      </w:r>
      <w:r w:rsidRPr="00F01861">
        <w:rPr>
          <w:rFonts w:ascii="Calibri" w:hAnsi="Calibri"/>
          <w:b/>
          <w:sz w:val="22"/>
          <w:szCs w:val="22"/>
        </w:rPr>
        <w:t xml:space="preserve"> s PVP) byla prokázána i v koncentracích 1200 </w:t>
      </w:r>
      <w:proofErr w:type="spellStart"/>
      <w:r w:rsidRPr="00F01861">
        <w:rPr>
          <w:rFonts w:ascii="Calibri" w:hAnsi="Calibri"/>
          <w:b/>
          <w:sz w:val="22"/>
          <w:szCs w:val="22"/>
        </w:rPr>
        <w:t>ppm</w:t>
      </w:r>
      <w:proofErr w:type="spellEnd"/>
      <w:r w:rsidRPr="00F01861">
        <w:rPr>
          <w:rFonts w:ascii="Calibri" w:hAnsi="Calibri"/>
          <w:b/>
          <w:sz w:val="22"/>
          <w:szCs w:val="22"/>
        </w:rPr>
        <w:t xml:space="preserve"> a nižší a že přípravky nepředstavují z pohledu rezistence žádné riziko.</w:t>
      </w:r>
    </w:p>
    <w:p w14:paraId="1A8A2BED" w14:textId="77777777" w:rsidR="00C937D0" w:rsidRPr="00F01861" w:rsidRDefault="00C937D0" w:rsidP="00F01861">
      <w:pPr>
        <w:pStyle w:val="Normlnweb"/>
        <w:spacing w:before="0" w:beforeAutospacing="0" w:after="120" w:afterAutospacing="0"/>
        <w:jc w:val="both"/>
        <w:rPr>
          <w:b/>
        </w:rPr>
      </w:pPr>
    </w:p>
    <w:p w14:paraId="41C3D048" w14:textId="77777777" w:rsidR="00C937D0" w:rsidRPr="00F01861" w:rsidRDefault="00C937D0" w:rsidP="00F01861">
      <w:pPr>
        <w:pStyle w:val="Nadpis1"/>
        <w:spacing w:before="0" w:after="120"/>
      </w:pPr>
      <w:bookmarkStart w:id="10" w:name="_Toc427317877"/>
      <w:r w:rsidRPr="00F01861">
        <w:t>Podmínky pro zařazení přípravku s obsahem jódu do veterinárních kosmetických přípravků</w:t>
      </w:r>
      <w:bookmarkEnd w:id="10"/>
      <w:r w:rsidRPr="00F01861">
        <w:t xml:space="preserve"> </w:t>
      </w:r>
    </w:p>
    <w:p w14:paraId="101A21F1" w14:textId="77777777" w:rsidR="00E348F1" w:rsidRPr="00F01861" w:rsidRDefault="00C937D0" w:rsidP="00F01861">
      <w:pPr>
        <w:pStyle w:val="Normlnweb"/>
        <w:spacing w:before="0" w:beforeAutospacing="0" w:after="120" w:afterAutospacing="0"/>
        <w:jc w:val="both"/>
        <w:rPr>
          <w:rFonts w:ascii="Calibri" w:hAnsi="Calibri"/>
          <w:sz w:val="22"/>
          <w:szCs w:val="22"/>
        </w:rPr>
      </w:pPr>
      <w:r w:rsidRPr="00F01861">
        <w:rPr>
          <w:rFonts w:ascii="Calibri" w:hAnsi="Calibri"/>
          <w:sz w:val="22"/>
          <w:szCs w:val="22"/>
        </w:rPr>
        <w:t>Pro zařazení přípravku do veterinárních kosmetických přípravků musí být splněny následující podmínky:</w:t>
      </w:r>
    </w:p>
    <w:p w14:paraId="5594CE7A" w14:textId="1742F613" w:rsidR="00755A95" w:rsidRPr="00F01861" w:rsidRDefault="00E348F1" w:rsidP="00F01861">
      <w:pPr>
        <w:pStyle w:val="Normlnweb"/>
        <w:numPr>
          <w:ilvl w:val="0"/>
          <w:numId w:val="6"/>
        </w:numPr>
        <w:spacing w:before="0" w:beforeAutospacing="0" w:after="120" w:afterAutospacing="0"/>
        <w:jc w:val="both"/>
        <w:rPr>
          <w:rFonts w:ascii="Calibri" w:hAnsi="Calibri"/>
          <w:sz w:val="22"/>
          <w:szCs w:val="22"/>
        </w:rPr>
      </w:pPr>
      <w:r w:rsidRPr="00F01861">
        <w:rPr>
          <w:rFonts w:ascii="Calibri" w:hAnsi="Calibri"/>
          <w:sz w:val="22"/>
          <w:szCs w:val="22"/>
        </w:rPr>
        <w:t>Přípravek svým složením primárně obsahuje</w:t>
      </w:r>
      <w:r w:rsidR="00191E59">
        <w:rPr>
          <w:rFonts w:ascii="Calibri" w:hAnsi="Calibri"/>
          <w:sz w:val="22"/>
          <w:szCs w:val="22"/>
        </w:rPr>
        <w:t xml:space="preserve"> látky vhodné pro použití do </w:t>
      </w:r>
      <w:r w:rsidRPr="00F01861">
        <w:rPr>
          <w:rFonts w:ascii="Calibri" w:hAnsi="Calibri"/>
          <w:sz w:val="22"/>
          <w:szCs w:val="22"/>
        </w:rPr>
        <w:t>kosmetick</w:t>
      </w:r>
      <w:r w:rsidR="00191E59">
        <w:rPr>
          <w:rFonts w:ascii="Calibri" w:hAnsi="Calibri"/>
          <w:sz w:val="22"/>
          <w:szCs w:val="22"/>
        </w:rPr>
        <w:t xml:space="preserve">ých přípravků dle </w:t>
      </w:r>
      <w:r w:rsidR="001111B7" w:rsidRPr="001111B7">
        <w:rPr>
          <w:rFonts w:asciiTheme="minorHAnsi" w:hAnsiTheme="minorHAnsi" w:cstheme="minorHAnsi"/>
          <w:sz w:val="22"/>
          <w:szCs w:val="22"/>
        </w:rPr>
        <w:t>Nařízení Evropského parlamentu a Rady č. 1223/2009</w:t>
      </w:r>
      <w:r w:rsidR="00191E59" w:rsidRPr="001111B7">
        <w:rPr>
          <w:rFonts w:asciiTheme="minorHAnsi" w:hAnsiTheme="minorHAnsi" w:cstheme="minorHAnsi"/>
          <w:sz w:val="22"/>
          <w:szCs w:val="22"/>
        </w:rPr>
        <w:t>.</w:t>
      </w:r>
    </w:p>
    <w:p w14:paraId="48C1F370" w14:textId="7EE6F311" w:rsidR="00E348F1" w:rsidRPr="00F01861" w:rsidRDefault="0060178D" w:rsidP="00F01861">
      <w:pPr>
        <w:pStyle w:val="Normlnweb"/>
        <w:numPr>
          <w:ilvl w:val="0"/>
          <w:numId w:val="6"/>
        </w:numPr>
        <w:spacing w:before="0" w:beforeAutospacing="0" w:after="120" w:afterAutospacing="0"/>
        <w:jc w:val="both"/>
        <w:rPr>
          <w:rFonts w:ascii="Calibri" w:hAnsi="Calibri"/>
          <w:sz w:val="22"/>
          <w:szCs w:val="22"/>
        </w:rPr>
      </w:pPr>
      <w:r w:rsidRPr="00F01861">
        <w:rPr>
          <w:rFonts w:ascii="Calibri" w:hAnsi="Calibri"/>
          <w:sz w:val="22"/>
          <w:szCs w:val="22"/>
        </w:rPr>
        <w:t xml:space="preserve">Svým účelem musí vykazovat </w:t>
      </w:r>
      <w:r w:rsidR="00F07EB4" w:rsidRPr="00F01861">
        <w:rPr>
          <w:rFonts w:ascii="Calibri" w:hAnsi="Calibri"/>
          <w:sz w:val="22"/>
          <w:szCs w:val="22"/>
        </w:rPr>
        <w:t xml:space="preserve">především </w:t>
      </w:r>
      <w:r w:rsidRPr="00F01861">
        <w:rPr>
          <w:rFonts w:ascii="Calibri" w:hAnsi="Calibri"/>
          <w:sz w:val="22"/>
          <w:szCs w:val="22"/>
        </w:rPr>
        <w:t xml:space="preserve">vlastnosti </w:t>
      </w:r>
      <w:r w:rsidR="00F07EB4" w:rsidRPr="00F01861">
        <w:rPr>
          <w:rFonts w:ascii="Calibri" w:hAnsi="Calibri"/>
          <w:sz w:val="22"/>
          <w:szCs w:val="22"/>
        </w:rPr>
        <w:t>kosmetického přípravku (např. zvláčňující, rehydratační, regenerující účinky</w:t>
      </w:r>
      <w:r w:rsidR="00597CAC" w:rsidRPr="00F01861">
        <w:rPr>
          <w:rFonts w:ascii="Calibri" w:hAnsi="Calibri"/>
          <w:sz w:val="22"/>
          <w:szCs w:val="22"/>
        </w:rPr>
        <w:t>,</w:t>
      </w:r>
      <w:r w:rsidR="00F07EB4" w:rsidRPr="00F01861">
        <w:rPr>
          <w:rFonts w:ascii="Calibri" w:hAnsi="Calibri"/>
          <w:sz w:val="22"/>
          <w:szCs w:val="22"/>
        </w:rPr>
        <w:t xml:space="preserve"> </w:t>
      </w:r>
      <w:r w:rsidR="00755A95" w:rsidRPr="00F01861">
        <w:rPr>
          <w:rFonts w:ascii="Calibri" w:hAnsi="Calibri"/>
          <w:sz w:val="22"/>
          <w:szCs w:val="22"/>
        </w:rPr>
        <w:t>které</w:t>
      </w:r>
      <w:r w:rsidR="00F07EB4" w:rsidRPr="00F01861">
        <w:rPr>
          <w:rFonts w:ascii="Calibri" w:hAnsi="Calibri"/>
          <w:sz w:val="22"/>
          <w:szCs w:val="22"/>
        </w:rPr>
        <w:t xml:space="preserve"> mohou podporovat hojení pokožky a sliznic </w:t>
      </w:r>
      <w:r w:rsidR="00191E59">
        <w:rPr>
          <w:rFonts w:ascii="Calibri" w:hAnsi="Calibri"/>
          <w:sz w:val="22"/>
          <w:szCs w:val="22"/>
        </w:rPr>
        <w:t>a/nebo</w:t>
      </w:r>
      <w:r w:rsidR="00F07EB4" w:rsidRPr="00F01861">
        <w:rPr>
          <w:rFonts w:ascii="Calibri" w:hAnsi="Calibri"/>
          <w:sz w:val="22"/>
          <w:szCs w:val="22"/>
        </w:rPr>
        <w:t xml:space="preserve"> vytvářet mechanickou bariéru zabraňující znečistění a kontaminaci pokožky</w:t>
      </w:r>
      <w:r w:rsidR="00CF3D79" w:rsidRPr="00F01861">
        <w:rPr>
          <w:rFonts w:ascii="Calibri" w:hAnsi="Calibri"/>
          <w:sz w:val="22"/>
          <w:szCs w:val="22"/>
        </w:rPr>
        <w:t>)</w:t>
      </w:r>
    </w:p>
    <w:p w14:paraId="53A4F6B7" w14:textId="7D07CDE8" w:rsidR="00CF3D79" w:rsidRPr="00F01861" w:rsidRDefault="00CF3D79" w:rsidP="00F01861">
      <w:pPr>
        <w:pStyle w:val="Normlnweb"/>
        <w:numPr>
          <w:ilvl w:val="0"/>
          <w:numId w:val="6"/>
        </w:numPr>
        <w:spacing w:before="0" w:beforeAutospacing="0" w:after="120" w:afterAutospacing="0"/>
        <w:jc w:val="both"/>
        <w:rPr>
          <w:rFonts w:ascii="Calibri" w:hAnsi="Calibri"/>
          <w:sz w:val="22"/>
          <w:szCs w:val="22"/>
        </w:rPr>
      </w:pPr>
      <w:r w:rsidRPr="00F01861">
        <w:rPr>
          <w:rFonts w:ascii="Calibri" w:hAnsi="Calibri"/>
          <w:sz w:val="22"/>
          <w:szCs w:val="22"/>
        </w:rPr>
        <w:t>Přítomný jód</w:t>
      </w:r>
      <w:r w:rsidR="00191E59">
        <w:rPr>
          <w:rFonts w:ascii="Calibri" w:hAnsi="Calibri"/>
          <w:sz w:val="22"/>
          <w:szCs w:val="22"/>
        </w:rPr>
        <w:t>,</w:t>
      </w:r>
      <w:r w:rsidRPr="00F01861">
        <w:rPr>
          <w:rFonts w:ascii="Calibri" w:hAnsi="Calibri"/>
          <w:sz w:val="22"/>
          <w:szCs w:val="22"/>
        </w:rPr>
        <w:t xml:space="preserve"> a to preferovaný v podobě PVP-jod je pouze sekundární</w:t>
      </w:r>
      <w:r w:rsidR="00191E59">
        <w:rPr>
          <w:rFonts w:ascii="Calibri" w:hAnsi="Calibri"/>
          <w:sz w:val="22"/>
          <w:szCs w:val="22"/>
        </w:rPr>
        <w:t xml:space="preserve"> složkou</w:t>
      </w:r>
      <w:r w:rsidRPr="00F01861">
        <w:rPr>
          <w:rFonts w:ascii="Calibri" w:hAnsi="Calibri"/>
          <w:sz w:val="22"/>
          <w:szCs w:val="22"/>
        </w:rPr>
        <w:t xml:space="preserve"> kosmetického přípravku, tzn. pouze </w:t>
      </w:r>
      <w:r w:rsidR="00FD3120" w:rsidRPr="00F01861">
        <w:rPr>
          <w:rFonts w:ascii="Calibri" w:hAnsi="Calibri"/>
          <w:sz w:val="22"/>
          <w:szCs w:val="22"/>
        </w:rPr>
        <w:t xml:space="preserve">v takových koncentracích, která jsou přípustná s ohledem na jakost, bezpečnost či působení veterinárního přípravku. To je </w:t>
      </w:r>
      <w:r w:rsidRPr="00F01861">
        <w:rPr>
          <w:rFonts w:ascii="Calibri" w:hAnsi="Calibri"/>
          <w:sz w:val="22"/>
          <w:szCs w:val="22"/>
        </w:rPr>
        <w:t>v koncentracích 1</w:t>
      </w:r>
      <w:r w:rsidR="0012442B" w:rsidRPr="00F01861">
        <w:rPr>
          <w:rFonts w:ascii="Calibri" w:hAnsi="Calibri"/>
          <w:sz w:val="22"/>
          <w:szCs w:val="22"/>
        </w:rPr>
        <w:t>0</w:t>
      </w:r>
      <w:r w:rsidRPr="00F01861">
        <w:rPr>
          <w:rFonts w:ascii="Calibri" w:hAnsi="Calibri"/>
          <w:sz w:val="22"/>
          <w:szCs w:val="22"/>
        </w:rPr>
        <w:t>00</w:t>
      </w:r>
      <w:r w:rsidR="002B7CCD" w:rsidRPr="00F01861">
        <w:rPr>
          <w:rFonts w:ascii="Calibri" w:hAnsi="Calibri"/>
          <w:sz w:val="22"/>
          <w:szCs w:val="22"/>
        </w:rPr>
        <w:t xml:space="preserve"> </w:t>
      </w:r>
      <w:proofErr w:type="spellStart"/>
      <w:r w:rsidRPr="00F01861">
        <w:rPr>
          <w:rFonts w:ascii="Calibri" w:hAnsi="Calibri"/>
          <w:sz w:val="22"/>
          <w:szCs w:val="22"/>
        </w:rPr>
        <w:t>ppm</w:t>
      </w:r>
      <w:proofErr w:type="spellEnd"/>
      <w:r w:rsidRPr="00F01861">
        <w:rPr>
          <w:rFonts w:ascii="Calibri" w:hAnsi="Calibri"/>
          <w:sz w:val="22"/>
          <w:szCs w:val="22"/>
        </w:rPr>
        <w:t xml:space="preserve"> a nižší. Přítomnost jódu a jeho použití v přípravku musí být zdůvodněna.</w:t>
      </w:r>
    </w:p>
    <w:p w14:paraId="7A999AF3" w14:textId="7058AED4" w:rsidR="00FD3EA9" w:rsidRPr="00F01861" w:rsidRDefault="00FD3120" w:rsidP="00F01861">
      <w:pPr>
        <w:pStyle w:val="Normlnweb"/>
        <w:numPr>
          <w:ilvl w:val="0"/>
          <w:numId w:val="6"/>
        </w:numPr>
        <w:spacing w:before="0" w:beforeAutospacing="0" w:after="120" w:afterAutospacing="0"/>
        <w:jc w:val="both"/>
        <w:rPr>
          <w:rFonts w:ascii="Calibri" w:hAnsi="Calibri"/>
          <w:sz w:val="22"/>
          <w:szCs w:val="22"/>
        </w:rPr>
      </w:pPr>
      <w:r w:rsidRPr="00F01861">
        <w:rPr>
          <w:rFonts w:ascii="Calibri" w:hAnsi="Calibri"/>
          <w:sz w:val="22"/>
          <w:szCs w:val="22"/>
        </w:rPr>
        <w:t xml:space="preserve">Doprovodná dokumentace k přípravku musí </w:t>
      </w:r>
      <w:r w:rsidR="00075FB1" w:rsidRPr="00F01861">
        <w:rPr>
          <w:rFonts w:ascii="Calibri" w:hAnsi="Calibri"/>
          <w:sz w:val="22"/>
          <w:szCs w:val="22"/>
        </w:rPr>
        <w:t xml:space="preserve">podrobně </w:t>
      </w:r>
      <w:r w:rsidRPr="00F01861">
        <w:rPr>
          <w:rFonts w:ascii="Calibri" w:hAnsi="Calibri"/>
          <w:sz w:val="22"/>
          <w:szCs w:val="22"/>
        </w:rPr>
        <w:t xml:space="preserve">specifikovat </w:t>
      </w:r>
      <w:r w:rsidR="00FD3EA9" w:rsidRPr="00F01861">
        <w:rPr>
          <w:rFonts w:ascii="Calibri" w:hAnsi="Calibri"/>
          <w:sz w:val="22"/>
          <w:szCs w:val="22"/>
        </w:rPr>
        <w:t xml:space="preserve">vlastní podání </w:t>
      </w:r>
      <w:r w:rsidR="00075FB1" w:rsidRPr="00F01861">
        <w:rPr>
          <w:rFonts w:ascii="Calibri" w:hAnsi="Calibri"/>
          <w:sz w:val="22"/>
          <w:szCs w:val="22"/>
        </w:rPr>
        <w:t xml:space="preserve">a způsob aplikace </w:t>
      </w:r>
      <w:r w:rsidR="00FD3EA9" w:rsidRPr="00F01861">
        <w:rPr>
          <w:rFonts w:ascii="Calibri" w:hAnsi="Calibri"/>
          <w:sz w:val="22"/>
          <w:szCs w:val="22"/>
        </w:rPr>
        <w:t xml:space="preserve">přípravku </w:t>
      </w:r>
      <w:r w:rsidR="00075FB1" w:rsidRPr="00F01861">
        <w:rPr>
          <w:rFonts w:ascii="Calibri" w:hAnsi="Calibri"/>
          <w:sz w:val="22"/>
          <w:szCs w:val="22"/>
        </w:rPr>
        <w:t>(např. pro použití na vemeno – specifikovat způsob podání</w:t>
      </w:r>
      <w:r w:rsidR="00FD3EA9" w:rsidRPr="00F01861">
        <w:rPr>
          <w:rFonts w:ascii="Calibri" w:hAnsi="Calibri"/>
          <w:sz w:val="22"/>
          <w:szCs w:val="22"/>
        </w:rPr>
        <w:t xml:space="preserve"> (</w:t>
      </w:r>
      <w:r w:rsidR="00191E59">
        <w:rPr>
          <w:rFonts w:ascii="Calibri" w:hAnsi="Calibri"/>
          <w:sz w:val="22"/>
          <w:szCs w:val="22"/>
        </w:rPr>
        <w:t>na</w:t>
      </w:r>
      <w:r w:rsidR="00FD3EA9" w:rsidRPr="00F01861">
        <w:rPr>
          <w:rFonts w:ascii="Calibri" w:hAnsi="Calibri"/>
          <w:sz w:val="22"/>
          <w:szCs w:val="22"/>
        </w:rPr>
        <w:t>př. na suché vemeno</w:t>
      </w:r>
      <w:r w:rsidR="00191E59">
        <w:rPr>
          <w:rFonts w:ascii="Calibri" w:hAnsi="Calibri"/>
          <w:sz w:val="22"/>
          <w:szCs w:val="22"/>
        </w:rPr>
        <w:t>, před/po dojení</w:t>
      </w:r>
      <w:r w:rsidR="00FD3EA9" w:rsidRPr="00F01861">
        <w:rPr>
          <w:rFonts w:ascii="Calibri" w:hAnsi="Calibri"/>
          <w:sz w:val="22"/>
          <w:szCs w:val="22"/>
        </w:rPr>
        <w:t>)</w:t>
      </w:r>
    </w:p>
    <w:p w14:paraId="71DA5FA0" w14:textId="1537F959" w:rsidR="00CF3D79" w:rsidRPr="00F01861" w:rsidRDefault="00CF3D79" w:rsidP="00F01861">
      <w:pPr>
        <w:pStyle w:val="Normlnweb"/>
        <w:numPr>
          <w:ilvl w:val="0"/>
          <w:numId w:val="6"/>
        </w:numPr>
        <w:spacing w:before="0" w:beforeAutospacing="0" w:after="120" w:afterAutospacing="0"/>
        <w:jc w:val="both"/>
        <w:rPr>
          <w:rFonts w:ascii="Calibri" w:hAnsi="Calibri"/>
          <w:sz w:val="22"/>
          <w:szCs w:val="22"/>
        </w:rPr>
      </w:pPr>
      <w:r w:rsidRPr="00F01861">
        <w:rPr>
          <w:rFonts w:ascii="Calibri" w:hAnsi="Calibri"/>
          <w:sz w:val="22"/>
          <w:szCs w:val="22"/>
        </w:rPr>
        <w:t xml:space="preserve">Doprovodné informace k přípravku – etiketa, </w:t>
      </w:r>
      <w:r w:rsidR="00191E59">
        <w:rPr>
          <w:rFonts w:ascii="Calibri" w:hAnsi="Calibri"/>
          <w:sz w:val="22"/>
          <w:szCs w:val="22"/>
        </w:rPr>
        <w:t>příbalová informace</w:t>
      </w:r>
      <w:r w:rsidRPr="00F01861">
        <w:rPr>
          <w:rFonts w:ascii="Calibri" w:hAnsi="Calibri"/>
          <w:sz w:val="22"/>
          <w:szCs w:val="22"/>
        </w:rPr>
        <w:t xml:space="preserve"> musí obsahovat </w:t>
      </w:r>
      <w:r w:rsidR="00FD57F9" w:rsidRPr="00F01861">
        <w:rPr>
          <w:rFonts w:ascii="Calibri" w:hAnsi="Calibri"/>
          <w:sz w:val="22"/>
          <w:szCs w:val="22"/>
        </w:rPr>
        <w:t xml:space="preserve">mimo jiné </w:t>
      </w:r>
      <w:r w:rsidRPr="00F01861">
        <w:rPr>
          <w:rFonts w:ascii="Calibri" w:hAnsi="Calibri"/>
          <w:sz w:val="22"/>
          <w:szCs w:val="22"/>
        </w:rPr>
        <w:t>upozornění na přítomnost jódu</w:t>
      </w:r>
      <w:r w:rsidR="00FD57F9" w:rsidRPr="00F01861">
        <w:rPr>
          <w:rFonts w:ascii="Calibri" w:hAnsi="Calibri"/>
          <w:sz w:val="22"/>
          <w:szCs w:val="22"/>
        </w:rPr>
        <w:t xml:space="preserve"> a z toho vyplývající upozornění osobám přicházející do styku s přípravkem se známou přecitlivělostí na jod.</w:t>
      </w:r>
    </w:p>
    <w:p w14:paraId="619366FF" w14:textId="77777777" w:rsidR="00FD3EA9" w:rsidRPr="00F01861" w:rsidRDefault="00FD3EA9" w:rsidP="00F01861">
      <w:pPr>
        <w:pStyle w:val="Normlnweb"/>
        <w:numPr>
          <w:ilvl w:val="0"/>
          <w:numId w:val="6"/>
        </w:numPr>
        <w:spacing w:before="0" w:beforeAutospacing="0" w:after="120" w:afterAutospacing="0"/>
        <w:jc w:val="both"/>
        <w:rPr>
          <w:rFonts w:ascii="Calibri" w:hAnsi="Calibri"/>
          <w:sz w:val="22"/>
          <w:szCs w:val="22"/>
        </w:rPr>
      </w:pPr>
      <w:r w:rsidRPr="00F01861">
        <w:rPr>
          <w:rFonts w:ascii="Calibri" w:hAnsi="Calibri"/>
          <w:sz w:val="22"/>
          <w:szCs w:val="22"/>
        </w:rPr>
        <w:lastRenderedPageBreak/>
        <w:t xml:space="preserve">Předložená dokumentace musí být v souladu s požadavky na veterinární přípravky dle </w:t>
      </w:r>
      <w:r w:rsidR="00FE06A9" w:rsidRPr="00F01861">
        <w:rPr>
          <w:rFonts w:ascii="Calibri" w:hAnsi="Calibri"/>
          <w:sz w:val="22"/>
          <w:szCs w:val="22"/>
        </w:rPr>
        <w:t>zákona č. 166/1999 Sb.</w:t>
      </w:r>
      <w:r w:rsidR="008F4560" w:rsidRPr="00F01861">
        <w:rPr>
          <w:rFonts w:ascii="Calibri" w:hAnsi="Calibri"/>
          <w:sz w:val="22"/>
          <w:szCs w:val="22"/>
        </w:rPr>
        <w:t>, o veterinární péči, ve znění pozdějších předpisů.</w:t>
      </w:r>
    </w:p>
    <w:p w14:paraId="6EE337CD" w14:textId="77777777" w:rsidR="00B01F96" w:rsidRPr="00F01861" w:rsidRDefault="00B01F96" w:rsidP="00F01861">
      <w:pPr>
        <w:spacing w:after="120"/>
        <w:rPr>
          <w:rFonts w:eastAsia="Times New Roman"/>
          <w:lang w:eastAsia="cs-CZ"/>
        </w:rPr>
      </w:pPr>
      <w:r w:rsidRPr="00F01861">
        <w:rPr>
          <w:rFonts w:eastAsia="Times New Roman"/>
          <w:lang w:eastAsia="cs-CZ"/>
        </w:rPr>
        <w:br w:type="page"/>
      </w:r>
    </w:p>
    <w:p w14:paraId="1DE09448" w14:textId="77777777" w:rsidR="00C937D0" w:rsidRPr="00F01861" w:rsidRDefault="00C937D0" w:rsidP="00F01861">
      <w:pPr>
        <w:spacing w:after="120"/>
        <w:rPr>
          <w:rFonts w:eastAsia="Times New Roman"/>
          <w:lang w:eastAsia="cs-CZ"/>
        </w:rPr>
      </w:pPr>
    </w:p>
    <w:p w14:paraId="4BA55BB5" w14:textId="65BFF811" w:rsidR="00B54488" w:rsidRPr="00F01861" w:rsidRDefault="00B54488" w:rsidP="00F01861">
      <w:pPr>
        <w:pStyle w:val="Normlnweb"/>
        <w:spacing w:before="0" w:beforeAutospacing="0" w:after="120" w:afterAutospacing="0"/>
        <w:ind w:left="360"/>
        <w:rPr>
          <w:rFonts w:ascii="Calibri" w:hAnsi="Calibri"/>
          <w:sz w:val="22"/>
          <w:szCs w:val="22"/>
        </w:rPr>
      </w:pPr>
      <w:bookmarkStart w:id="11" w:name="_GoBack"/>
      <w:proofErr w:type="spellStart"/>
      <w:r w:rsidRPr="00F01861">
        <w:rPr>
          <w:rStyle w:val="reference-text"/>
          <w:rFonts w:ascii="Calibri" w:hAnsi="Calibri"/>
          <w:sz w:val="22"/>
          <w:szCs w:val="22"/>
        </w:rPr>
        <w:t>W.Fleischer</w:t>
      </w:r>
      <w:proofErr w:type="spellEnd"/>
      <w:r w:rsidRPr="00F01861">
        <w:rPr>
          <w:rStyle w:val="reference-text"/>
          <w:rFonts w:ascii="Calibri" w:hAnsi="Calibri"/>
          <w:sz w:val="22"/>
          <w:szCs w:val="22"/>
        </w:rPr>
        <w:t xml:space="preserve"> and </w:t>
      </w:r>
      <w:proofErr w:type="spellStart"/>
      <w:r w:rsidRPr="00F01861">
        <w:rPr>
          <w:rStyle w:val="reference-text"/>
          <w:rFonts w:ascii="Calibri" w:hAnsi="Calibri"/>
          <w:sz w:val="22"/>
          <w:szCs w:val="22"/>
        </w:rPr>
        <w:t>K.Reimer</w:t>
      </w:r>
      <w:proofErr w:type="spellEnd"/>
      <w:r w:rsidRPr="00F01861">
        <w:rPr>
          <w:rStyle w:val="reference-text"/>
          <w:rFonts w:ascii="Calibri" w:hAnsi="Calibri"/>
          <w:sz w:val="22"/>
          <w:szCs w:val="22"/>
        </w:rPr>
        <w:t xml:space="preserve">: </w:t>
      </w:r>
      <w:proofErr w:type="spellStart"/>
      <w:r w:rsidRPr="00F01861">
        <w:rPr>
          <w:rStyle w:val="reference-text"/>
          <w:rFonts w:ascii="Calibri" w:hAnsi="Calibri"/>
          <w:sz w:val="22"/>
          <w:szCs w:val="22"/>
        </w:rPr>
        <w:t>Povidone-iodine</w:t>
      </w:r>
      <w:proofErr w:type="spellEnd"/>
      <w:r w:rsidRPr="00F01861">
        <w:rPr>
          <w:rStyle w:val="reference-text"/>
          <w:rFonts w:ascii="Calibri" w:hAnsi="Calibri"/>
          <w:sz w:val="22"/>
          <w:szCs w:val="22"/>
        </w:rPr>
        <w:t xml:space="preserve"> in </w:t>
      </w:r>
      <w:proofErr w:type="spellStart"/>
      <w:proofErr w:type="gramStart"/>
      <w:r w:rsidRPr="00F01861">
        <w:rPr>
          <w:rStyle w:val="reference-text"/>
          <w:rFonts w:ascii="Calibri" w:hAnsi="Calibri"/>
          <w:sz w:val="22"/>
          <w:szCs w:val="22"/>
        </w:rPr>
        <w:t>antisepsis</w:t>
      </w:r>
      <w:proofErr w:type="spellEnd"/>
      <w:r w:rsidRPr="00F01861">
        <w:rPr>
          <w:rStyle w:val="reference-text"/>
          <w:rFonts w:ascii="Calibri" w:hAnsi="Calibri"/>
          <w:sz w:val="22"/>
          <w:szCs w:val="22"/>
        </w:rPr>
        <w:t xml:space="preserve"> - </w:t>
      </w:r>
      <w:proofErr w:type="spellStart"/>
      <w:r w:rsidRPr="00F01861">
        <w:rPr>
          <w:rStyle w:val="reference-text"/>
          <w:rFonts w:ascii="Calibri" w:hAnsi="Calibri"/>
          <w:sz w:val="22"/>
          <w:szCs w:val="22"/>
        </w:rPr>
        <w:t>State</w:t>
      </w:r>
      <w:proofErr w:type="spellEnd"/>
      <w:proofErr w:type="gramEnd"/>
      <w:r w:rsidRPr="00F01861">
        <w:rPr>
          <w:rStyle w:val="reference-text"/>
          <w:rFonts w:ascii="Calibri" w:hAnsi="Calibri"/>
          <w:sz w:val="22"/>
          <w:szCs w:val="22"/>
        </w:rPr>
        <w:t xml:space="preserve"> </w:t>
      </w:r>
      <w:proofErr w:type="spellStart"/>
      <w:r w:rsidRPr="00F01861">
        <w:rPr>
          <w:rStyle w:val="reference-text"/>
          <w:rFonts w:ascii="Calibri" w:hAnsi="Calibri"/>
          <w:sz w:val="22"/>
          <w:szCs w:val="22"/>
        </w:rPr>
        <w:t>of</w:t>
      </w:r>
      <w:proofErr w:type="spellEnd"/>
      <w:r w:rsidRPr="00F01861">
        <w:rPr>
          <w:rStyle w:val="reference-text"/>
          <w:rFonts w:ascii="Calibri" w:hAnsi="Calibri"/>
          <w:sz w:val="22"/>
          <w:szCs w:val="22"/>
        </w:rPr>
        <w:t xml:space="preserve"> </w:t>
      </w:r>
      <w:proofErr w:type="spellStart"/>
      <w:r w:rsidRPr="00F01861">
        <w:rPr>
          <w:rStyle w:val="reference-text"/>
          <w:rFonts w:ascii="Calibri" w:hAnsi="Calibri"/>
          <w:sz w:val="22"/>
          <w:szCs w:val="22"/>
        </w:rPr>
        <w:t>the</w:t>
      </w:r>
      <w:proofErr w:type="spellEnd"/>
      <w:r w:rsidRPr="00F01861">
        <w:rPr>
          <w:rStyle w:val="reference-text"/>
          <w:rFonts w:ascii="Calibri" w:hAnsi="Calibri"/>
          <w:sz w:val="22"/>
          <w:szCs w:val="22"/>
        </w:rPr>
        <w:t xml:space="preserve"> art,</w:t>
      </w:r>
      <w:r w:rsidR="00191E59">
        <w:rPr>
          <w:rStyle w:val="reference-text"/>
          <w:rFonts w:ascii="Calibri" w:hAnsi="Calibri"/>
          <w:sz w:val="22"/>
          <w:szCs w:val="22"/>
        </w:rPr>
        <w:t xml:space="preserve"> </w:t>
      </w:r>
      <w:r w:rsidRPr="00F01861">
        <w:rPr>
          <w:rStyle w:val="reference-text"/>
          <w:rFonts w:ascii="Calibri" w:hAnsi="Calibri"/>
          <w:sz w:val="22"/>
          <w:szCs w:val="22"/>
        </w:rPr>
        <w:t>Dermatology,</w:t>
      </w:r>
      <w:r w:rsidRPr="00F01861">
        <w:rPr>
          <w:rStyle w:val="reference-text"/>
          <w:rFonts w:ascii="Calibri" w:hAnsi="Calibri"/>
          <w:b/>
          <w:bCs/>
          <w:sz w:val="22"/>
          <w:szCs w:val="22"/>
        </w:rPr>
        <w:t>195</w:t>
      </w:r>
      <w:r w:rsidR="00191E59">
        <w:rPr>
          <w:rStyle w:val="reference-text"/>
          <w:rFonts w:ascii="Calibri" w:hAnsi="Calibri"/>
          <w:b/>
          <w:bCs/>
          <w:sz w:val="22"/>
          <w:szCs w:val="22"/>
        </w:rPr>
        <w:t xml:space="preserve"> </w:t>
      </w:r>
      <w:r w:rsidRPr="00F01861">
        <w:rPr>
          <w:rStyle w:val="reference-text"/>
          <w:rFonts w:ascii="Calibri" w:hAnsi="Calibri"/>
          <w:sz w:val="22"/>
          <w:szCs w:val="22"/>
        </w:rPr>
        <w:t>(</w:t>
      </w:r>
      <w:proofErr w:type="spellStart"/>
      <w:r w:rsidRPr="00F01861">
        <w:rPr>
          <w:rStyle w:val="reference-text"/>
          <w:rFonts w:ascii="Calibri" w:hAnsi="Calibri"/>
          <w:sz w:val="22"/>
          <w:szCs w:val="22"/>
        </w:rPr>
        <w:t>Suppl</w:t>
      </w:r>
      <w:proofErr w:type="spellEnd"/>
      <w:r w:rsidRPr="00F01861">
        <w:rPr>
          <w:rStyle w:val="reference-text"/>
          <w:rFonts w:ascii="Calibri" w:hAnsi="Calibri"/>
          <w:sz w:val="22"/>
          <w:szCs w:val="22"/>
        </w:rPr>
        <w:t xml:space="preserve"> 2),3-9 (1997)</w:t>
      </w:r>
    </w:p>
    <w:p w14:paraId="21BC0885" w14:textId="6446CFD0" w:rsidR="00B32200" w:rsidRPr="00F01861" w:rsidRDefault="00B54488" w:rsidP="00F01861">
      <w:pPr>
        <w:pStyle w:val="Prosttext"/>
        <w:spacing w:after="120"/>
        <w:ind w:left="360"/>
        <w:jc w:val="both"/>
        <w:rPr>
          <w:rStyle w:val="reference-text"/>
        </w:rPr>
      </w:pPr>
      <w:proofErr w:type="spellStart"/>
      <w:r w:rsidRPr="00F01861">
        <w:rPr>
          <w:rStyle w:val="reference-text"/>
        </w:rPr>
        <w:t>R.Niedner</w:t>
      </w:r>
      <w:proofErr w:type="spellEnd"/>
      <w:r w:rsidRPr="00F01861">
        <w:rPr>
          <w:rStyle w:val="reference-text"/>
        </w:rPr>
        <w:t xml:space="preserve">: Cytotoxicity and </w:t>
      </w:r>
      <w:proofErr w:type="spellStart"/>
      <w:r w:rsidRPr="00F01861">
        <w:rPr>
          <w:rStyle w:val="reference-text"/>
        </w:rPr>
        <w:t>sensitization</w:t>
      </w:r>
      <w:proofErr w:type="spellEnd"/>
      <w:r w:rsidRPr="00F01861">
        <w:rPr>
          <w:rStyle w:val="reference-text"/>
        </w:rPr>
        <w:t xml:space="preserve"> </w:t>
      </w:r>
      <w:proofErr w:type="spellStart"/>
      <w:r w:rsidRPr="00F01861">
        <w:rPr>
          <w:rStyle w:val="reference-text"/>
        </w:rPr>
        <w:t>of</w:t>
      </w:r>
      <w:proofErr w:type="spellEnd"/>
      <w:r w:rsidRPr="00F01861">
        <w:rPr>
          <w:rStyle w:val="reference-text"/>
        </w:rPr>
        <w:t xml:space="preserve"> </w:t>
      </w:r>
      <w:proofErr w:type="spellStart"/>
      <w:r w:rsidRPr="00F01861">
        <w:rPr>
          <w:rStyle w:val="reference-text"/>
        </w:rPr>
        <w:t>povidone-iodine</w:t>
      </w:r>
      <w:proofErr w:type="spellEnd"/>
      <w:r w:rsidRPr="00F01861">
        <w:rPr>
          <w:rStyle w:val="reference-text"/>
        </w:rPr>
        <w:t xml:space="preserve"> and </w:t>
      </w:r>
      <w:proofErr w:type="spellStart"/>
      <w:r w:rsidRPr="00F01861">
        <w:rPr>
          <w:rStyle w:val="reference-text"/>
        </w:rPr>
        <w:t>other</w:t>
      </w:r>
      <w:proofErr w:type="spellEnd"/>
      <w:r w:rsidRPr="00F01861">
        <w:rPr>
          <w:rStyle w:val="reference-text"/>
        </w:rPr>
        <w:t xml:space="preserve"> </w:t>
      </w:r>
      <w:proofErr w:type="spellStart"/>
      <w:r w:rsidRPr="00F01861">
        <w:rPr>
          <w:rStyle w:val="reference-text"/>
        </w:rPr>
        <w:t>frequently</w:t>
      </w:r>
      <w:proofErr w:type="spellEnd"/>
      <w:r w:rsidRPr="00F01861">
        <w:rPr>
          <w:rStyle w:val="reference-text"/>
        </w:rPr>
        <w:t xml:space="preserve"> </w:t>
      </w:r>
      <w:proofErr w:type="spellStart"/>
      <w:r w:rsidRPr="00F01861">
        <w:rPr>
          <w:rStyle w:val="reference-text"/>
        </w:rPr>
        <w:t>used</w:t>
      </w:r>
      <w:proofErr w:type="spellEnd"/>
      <w:r w:rsidRPr="00F01861">
        <w:rPr>
          <w:rStyle w:val="reference-text"/>
        </w:rPr>
        <w:t xml:space="preserve"> anti-</w:t>
      </w:r>
      <w:proofErr w:type="spellStart"/>
      <w:r w:rsidRPr="00F01861">
        <w:rPr>
          <w:rStyle w:val="reference-text"/>
        </w:rPr>
        <w:t>infective</w:t>
      </w:r>
      <w:proofErr w:type="spellEnd"/>
      <w:r w:rsidRPr="00F01861">
        <w:rPr>
          <w:rStyle w:val="reference-text"/>
        </w:rPr>
        <w:t xml:space="preserve"> </w:t>
      </w:r>
      <w:proofErr w:type="spellStart"/>
      <w:r w:rsidRPr="00F01861">
        <w:rPr>
          <w:rStyle w:val="reference-text"/>
        </w:rPr>
        <w:t>agents</w:t>
      </w:r>
      <w:proofErr w:type="spellEnd"/>
      <w:r w:rsidRPr="00F01861">
        <w:rPr>
          <w:rStyle w:val="reference-text"/>
        </w:rPr>
        <w:t>, Dermatology,</w:t>
      </w:r>
      <w:r w:rsidRPr="00F01861">
        <w:rPr>
          <w:rStyle w:val="reference-text"/>
          <w:b/>
          <w:bCs/>
        </w:rPr>
        <w:t>195</w:t>
      </w:r>
      <w:r w:rsidR="00191E59">
        <w:rPr>
          <w:rStyle w:val="reference-text"/>
          <w:b/>
          <w:bCs/>
        </w:rPr>
        <w:t xml:space="preserve"> </w:t>
      </w:r>
      <w:r w:rsidRPr="00F01861">
        <w:rPr>
          <w:rStyle w:val="reference-text"/>
        </w:rPr>
        <w:t>(</w:t>
      </w:r>
      <w:proofErr w:type="spellStart"/>
      <w:r w:rsidRPr="00F01861">
        <w:rPr>
          <w:rStyle w:val="reference-text"/>
        </w:rPr>
        <w:t>Suppl</w:t>
      </w:r>
      <w:proofErr w:type="spellEnd"/>
      <w:r w:rsidRPr="00F01861">
        <w:rPr>
          <w:rStyle w:val="reference-text"/>
        </w:rPr>
        <w:t xml:space="preserve"> 2) 89-92 (1997)</w:t>
      </w:r>
    </w:p>
    <w:p w14:paraId="459FA105" w14:textId="6581A4A3" w:rsidR="00B54488" w:rsidRPr="00F01861" w:rsidRDefault="00AF1FE6" w:rsidP="00F01861">
      <w:pPr>
        <w:pStyle w:val="Prosttext"/>
        <w:spacing w:after="120"/>
        <w:ind w:left="360"/>
        <w:jc w:val="both"/>
        <w:rPr>
          <w:rStyle w:val="Hypertextovodkaz"/>
          <w:rFonts w:ascii="Calibri" w:hAnsi="Calibri"/>
        </w:rPr>
      </w:pPr>
      <w:hyperlink r:id="rId37" w:history="1">
        <w:proofErr w:type="spellStart"/>
        <w:r w:rsidR="00B54488" w:rsidRPr="00F01861">
          <w:rPr>
            <w:rStyle w:val="Hypertextovodkaz"/>
            <w:rFonts w:ascii="Calibri" w:hAnsi="Calibri"/>
          </w:rPr>
          <w:t>Aplicare</w:t>
        </w:r>
        <w:proofErr w:type="spellEnd"/>
        <w:r w:rsidR="00B54488" w:rsidRPr="00F01861">
          <w:rPr>
            <w:rStyle w:val="Hypertextovodkaz"/>
            <w:rFonts w:ascii="Calibri" w:hAnsi="Calibri"/>
          </w:rPr>
          <w:t xml:space="preserve">: </w:t>
        </w:r>
        <w:proofErr w:type="spellStart"/>
        <w:r w:rsidR="00B54488" w:rsidRPr="00F01861">
          <w:rPr>
            <w:rStyle w:val="Hypertextovodkaz"/>
            <w:rFonts w:ascii="Calibri" w:hAnsi="Calibri"/>
          </w:rPr>
          <w:t>Is</w:t>
        </w:r>
        <w:proofErr w:type="spellEnd"/>
        <w:r w:rsidR="00B54488" w:rsidRPr="00F01861">
          <w:rPr>
            <w:rStyle w:val="Hypertextovodkaz"/>
            <w:rFonts w:ascii="Calibri" w:hAnsi="Calibri"/>
          </w:rPr>
          <w:t xml:space="preserve"> </w:t>
        </w:r>
        <w:proofErr w:type="spellStart"/>
        <w:r w:rsidR="00B54488" w:rsidRPr="00F01861">
          <w:rPr>
            <w:rStyle w:val="Hypertextovodkaz"/>
            <w:rFonts w:ascii="Calibri" w:hAnsi="Calibri"/>
          </w:rPr>
          <w:t>Povidone-Iodine</w:t>
        </w:r>
        <w:proofErr w:type="spellEnd"/>
        <w:r w:rsidR="00B54488" w:rsidRPr="00F01861">
          <w:rPr>
            <w:rStyle w:val="Hypertextovodkaz"/>
            <w:rFonts w:ascii="Calibri" w:hAnsi="Calibri"/>
          </w:rPr>
          <w:t xml:space="preserve"> (PVP-I) </w:t>
        </w:r>
        <w:proofErr w:type="spellStart"/>
        <w:r w:rsidR="00B54488" w:rsidRPr="00F01861">
          <w:rPr>
            <w:rStyle w:val="Hypertextovodkaz"/>
            <w:rFonts w:ascii="Calibri" w:hAnsi="Calibri"/>
          </w:rPr>
          <w:t>deactivated</w:t>
        </w:r>
        <w:proofErr w:type="spellEnd"/>
        <w:r w:rsidR="00B54488" w:rsidRPr="00F01861">
          <w:rPr>
            <w:rStyle w:val="Hypertextovodkaz"/>
            <w:rFonts w:ascii="Calibri" w:hAnsi="Calibri"/>
          </w:rPr>
          <w:t xml:space="preserve"> in </w:t>
        </w:r>
        <w:proofErr w:type="spellStart"/>
        <w:r w:rsidR="00B54488" w:rsidRPr="00F01861">
          <w:rPr>
            <w:rStyle w:val="Hypertextovodkaz"/>
            <w:rFonts w:ascii="Calibri" w:hAnsi="Calibri"/>
          </w:rPr>
          <w:t>the</w:t>
        </w:r>
        <w:proofErr w:type="spellEnd"/>
        <w:r w:rsidR="00B54488" w:rsidRPr="00F01861">
          <w:rPr>
            <w:rStyle w:val="Hypertextovodkaz"/>
            <w:rFonts w:ascii="Calibri" w:hAnsi="Calibri"/>
          </w:rPr>
          <w:t xml:space="preserve"> presence </w:t>
        </w:r>
        <w:proofErr w:type="spellStart"/>
        <w:r w:rsidR="00B54488" w:rsidRPr="00F01861">
          <w:rPr>
            <w:rStyle w:val="Hypertextovodkaz"/>
            <w:rFonts w:ascii="Calibri" w:hAnsi="Calibri"/>
          </w:rPr>
          <w:t>of</w:t>
        </w:r>
        <w:proofErr w:type="spellEnd"/>
        <w:r w:rsidR="00B54488" w:rsidRPr="00F01861">
          <w:rPr>
            <w:rStyle w:val="Hypertextovodkaz"/>
            <w:rFonts w:ascii="Calibri" w:hAnsi="Calibri"/>
          </w:rPr>
          <w:t xml:space="preserve"> </w:t>
        </w:r>
        <w:proofErr w:type="spellStart"/>
        <w:r w:rsidR="00B54488" w:rsidRPr="00F01861">
          <w:rPr>
            <w:rStyle w:val="Hypertextovodkaz"/>
            <w:rFonts w:ascii="Calibri" w:hAnsi="Calibri"/>
          </w:rPr>
          <w:t>blood</w:t>
        </w:r>
        <w:proofErr w:type="spellEnd"/>
        <w:r w:rsidR="00B54488" w:rsidRPr="00F01861">
          <w:rPr>
            <w:rStyle w:val="Hypertextovodkaz"/>
            <w:rFonts w:ascii="Calibri" w:hAnsi="Calibri"/>
          </w:rPr>
          <w:t xml:space="preserve"> and </w:t>
        </w:r>
        <w:proofErr w:type="spellStart"/>
        <w:r w:rsidR="00B54488" w:rsidRPr="00F01861">
          <w:rPr>
            <w:rStyle w:val="Hypertextovodkaz"/>
            <w:rFonts w:ascii="Calibri" w:hAnsi="Calibri"/>
          </w:rPr>
          <w:t>organic</w:t>
        </w:r>
        <w:proofErr w:type="spellEnd"/>
        <w:r w:rsidR="00B54488" w:rsidRPr="00F01861">
          <w:rPr>
            <w:rStyle w:val="Hypertextovodkaz"/>
            <w:rFonts w:ascii="Calibri" w:hAnsi="Calibri"/>
          </w:rPr>
          <w:t xml:space="preserve"> </w:t>
        </w:r>
        <w:proofErr w:type="spellStart"/>
        <w:r w:rsidR="00B54488" w:rsidRPr="00F01861">
          <w:rPr>
            <w:rStyle w:val="Hypertextovodkaz"/>
            <w:rFonts w:ascii="Calibri" w:hAnsi="Calibri"/>
          </w:rPr>
          <w:t>material</w:t>
        </w:r>
        <w:proofErr w:type="spellEnd"/>
        <w:r w:rsidR="00B54488" w:rsidRPr="00F01861">
          <w:rPr>
            <w:rStyle w:val="Hypertextovodkaz"/>
            <w:rFonts w:ascii="Calibri" w:hAnsi="Calibri"/>
          </w:rPr>
          <w:t>?</w:t>
        </w:r>
      </w:hyperlink>
    </w:p>
    <w:p w14:paraId="17F11A54" w14:textId="3B1B5A94" w:rsidR="00F64957" w:rsidRPr="00F01861" w:rsidRDefault="00F64957" w:rsidP="00F01861">
      <w:pPr>
        <w:pStyle w:val="Prosttext"/>
        <w:spacing w:after="120"/>
        <w:ind w:left="360"/>
        <w:jc w:val="both"/>
        <w:rPr>
          <w:rStyle w:val="Hypertextovodkaz"/>
          <w:rFonts w:ascii="Calibri" w:hAnsi="Calibri"/>
        </w:rPr>
      </w:pPr>
      <w:proofErr w:type="spellStart"/>
      <w:r w:rsidRPr="00F01861">
        <w:rPr>
          <w:rStyle w:val="Hypertextovodkaz"/>
          <w:rFonts w:ascii="Calibri" w:hAnsi="Calibri"/>
        </w:rPr>
        <w:t>Clin</w:t>
      </w:r>
      <w:proofErr w:type="spellEnd"/>
      <w:r w:rsidRPr="00F01861">
        <w:rPr>
          <w:rStyle w:val="Hypertextovodkaz"/>
          <w:rFonts w:ascii="Calibri" w:hAnsi="Calibri"/>
        </w:rPr>
        <w:t xml:space="preserve"> </w:t>
      </w:r>
      <w:proofErr w:type="spellStart"/>
      <w:r w:rsidRPr="00F01861">
        <w:rPr>
          <w:rStyle w:val="Hypertextovodkaz"/>
          <w:rFonts w:ascii="Calibri" w:hAnsi="Calibri"/>
        </w:rPr>
        <w:t>Microbiol</w:t>
      </w:r>
      <w:proofErr w:type="spellEnd"/>
      <w:r w:rsidRPr="00F01861">
        <w:rPr>
          <w:rStyle w:val="Hypertextovodkaz"/>
          <w:rFonts w:ascii="Calibri" w:hAnsi="Calibri"/>
        </w:rPr>
        <w:t xml:space="preserve"> 1982 </w:t>
      </w:r>
      <w:proofErr w:type="spellStart"/>
      <w:r w:rsidRPr="00F01861">
        <w:rPr>
          <w:rStyle w:val="Hypertextovodkaz"/>
          <w:rFonts w:ascii="Calibri" w:hAnsi="Calibri"/>
        </w:rPr>
        <w:t>Apr</w:t>
      </w:r>
      <w:proofErr w:type="spellEnd"/>
      <w:r w:rsidRPr="00F01861">
        <w:rPr>
          <w:rStyle w:val="Hypertextovodkaz"/>
          <w:rFonts w:ascii="Calibri" w:hAnsi="Calibri"/>
        </w:rPr>
        <w:t>; 15(4): 625-639</w:t>
      </w:r>
      <w:r w:rsidR="00860F6B" w:rsidRPr="00F01861">
        <w:rPr>
          <w:rStyle w:val="Hypertextovodkaz"/>
          <w:rFonts w:ascii="Calibri" w:hAnsi="Calibri"/>
        </w:rPr>
        <w:t xml:space="preserve">, </w:t>
      </w:r>
    </w:p>
    <w:p w14:paraId="178BD65E" w14:textId="5DB8E679" w:rsidR="00860F6B" w:rsidRPr="00F01861" w:rsidRDefault="00AF1FE6" w:rsidP="00F01861">
      <w:pPr>
        <w:pStyle w:val="Prosttext"/>
        <w:spacing w:after="120"/>
        <w:ind w:left="360"/>
        <w:jc w:val="both"/>
      </w:pPr>
      <w:hyperlink r:id="rId38" w:history="1">
        <w:r w:rsidR="00191E59" w:rsidRPr="00BD5711">
          <w:rPr>
            <w:rStyle w:val="Hypertextovodkaz"/>
            <w:rFonts w:ascii="Calibri" w:hAnsi="Calibri"/>
          </w:rPr>
          <w:t>http://www.ncbi.nlm.nih.gov/pmc/articles/PMC272159/</w:t>
        </w:r>
      </w:hyperlink>
    </w:p>
    <w:p w14:paraId="5A0E9EEF" w14:textId="074F6EB1" w:rsidR="004F3BCE" w:rsidRPr="00191E59" w:rsidRDefault="004F3BCE" w:rsidP="00191E59">
      <w:pPr>
        <w:autoSpaceDE w:val="0"/>
        <w:autoSpaceDN w:val="0"/>
        <w:adjustRightInd w:val="0"/>
        <w:spacing w:after="120" w:line="240" w:lineRule="auto"/>
        <w:ind w:left="360"/>
        <w:rPr>
          <w:rFonts w:asciiTheme="minorHAnsi" w:eastAsiaTheme="minorHAnsi" w:hAnsiTheme="minorHAnsi" w:cs="Arial"/>
          <w:bCs/>
        </w:rPr>
      </w:pPr>
      <w:r w:rsidRPr="00191E59">
        <w:rPr>
          <w:rFonts w:asciiTheme="minorHAnsi" w:eastAsiaTheme="minorHAnsi" w:hAnsiTheme="minorHAnsi" w:cs="Arial"/>
          <w:bCs/>
        </w:rPr>
        <w:t xml:space="preserve">AAC </w:t>
      </w:r>
      <w:proofErr w:type="spellStart"/>
      <w:r w:rsidRPr="00191E59">
        <w:rPr>
          <w:rFonts w:asciiTheme="minorHAnsi" w:eastAsiaTheme="minorHAnsi" w:hAnsiTheme="minorHAnsi" w:cs="Arial"/>
          <w:bCs/>
        </w:rPr>
        <w:t>Accepted</w:t>
      </w:r>
      <w:proofErr w:type="spellEnd"/>
      <w:r w:rsidRPr="00191E59">
        <w:rPr>
          <w:rFonts w:asciiTheme="minorHAnsi" w:eastAsiaTheme="minorHAnsi" w:hAnsiTheme="minorHAnsi" w:cs="Arial"/>
          <w:bCs/>
        </w:rPr>
        <w:t xml:space="preserve"> </w:t>
      </w:r>
      <w:proofErr w:type="spellStart"/>
      <w:r w:rsidRPr="00191E59">
        <w:rPr>
          <w:rFonts w:asciiTheme="minorHAnsi" w:eastAsiaTheme="minorHAnsi" w:hAnsiTheme="minorHAnsi" w:cs="Arial"/>
          <w:bCs/>
        </w:rPr>
        <w:t>Manuscript</w:t>
      </w:r>
      <w:proofErr w:type="spellEnd"/>
      <w:r w:rsidRPr="00191E59">
        <w:rPr>
          <w:rFonts w:asciiTheme="minorHAnsi" w:eastAsiaTheme="minorHAnsi" w:hAnsiTheme="minorHAnsi" w:cs="Arial"/>
          <w:bCs/>
        </w:rPr>
        <w:t xml:space="preserve"> </w:t>
      </w:r>
      <w:proofErr w:type="spellStart"/>
      <w:r w:rsidRPr="00191E59">
        <w:rPr>
          <w:rFonts w:asciiTheme="minorHAnsi" w:eastAsiaTheme="minorHAnsi" w:hAnsiTheme="minorHAnsi" w:cs="Arial"/>
          <w:bCs/>
        </w:rPr>
        <w:t>Posted</w:t>
      </w:r>
      <w:proofErr w:type="spellEnd"/>
      <w:r w:rsidRPr="00191E59">
        <w:rPr>
          <w:rFonts w:asciiTheme="minorHAnsi" w:eastAsiaTheme="minorHAnsi" w:hAnsiTheme="minorHAnsi" w:cs="Arial"/>
          <w:bCs/>
        </w:rPr>
        <w:t xml:space="preserve"> Online 2 </w:t>
      </w:r>
      <w:proofErr w:type="spellStart"/>
      <w:r w:rsidRPr="00191E59">
        <w:rPr>
          <w:rFonts w:asciiTheme="minorHAnsi" w:eastAsiaTheme="minorHAnsi" w:hAnsiTheme="minorHAnsi" w:cs="Arial"/>
          <w:bCs/>
        </w:rPr>
        <w:t>March</w:t>
      </w:r>
      <w:proofErr w:type="spellEnd"/>
      <w:r w:rsidRPr="00191E59">
        <w:rPr>
          <w:rFonts w:asciiTheme="minorHAnsi" w:eastAsiaTheme="minorHAnsi" w:hAnsiTheme="minorHAnsi" w:cs="Arial"/>
          <w:bCs/>
        </w:rPr>
        <w:t xml:space="preserve"> 2015</w:t>
      </w:r>
      <w:r w:rsidR="00191E59">
        <w:rPr>
          <w:rFonts w:asciiTheme="minorHAnsi" w:eastAsiaTheme="minorHAnsi" w:hAnsiTheme="minorHAnsi" w:cs="Arial"/>
          <w:bCs/>
        </w:rPr>
        <w:t xml:space="preserve">, </w:t>
      </w:r>
      <w:proofErr w:type="spellStart"/>
      <w:r w:rsidRPr="00191E59">
        <w:rPr>
          <w:rFonts w:asciiTheme="minorHAnsi" w:eastAsiaTheme="minorHAnsi" w:hAnsiTheme="minorHAnsi" w:cs="Arial"/>
          <w:bCs/>
        </w:rPr>
        <w:t>Antimicrob</w:t>
      </w:r>
      <w:proofErr w:type="spellEnd"/>
      <w:r w:rsidRPr="00191E59">
        <w:rPr>
          <w:rFonts w:asciiTheme="minorHAnsi" w:eastAsiaTheme="minorHAnsi" w:hAnsiTheme="minorHAnsi" w:cs="Arial"/>
          <w:bCs/>
        </w:rPr>
        <w:t xml:space="preserve">. </w:t>
      </w:r>
      <w:proofErr w:type="spellStart"/>
      <w:r w:rsidRPr="00191E59">
        <w:rPr>
          <w:rFonts w:asciiTheme="minorHAnsi" w:eastAsiaTheme="minorHAnsi" w:hAnsiTheme="minorHAnsi" w:cs="Arial"/>
          <w:bCs/>
        </w:rPr>
        <w:t>Agents</w:t>
      </w:r>
      <w:proofErr w:type="spellEnd"/>
      <w:r w:rsidRPr="00191E59">
        <w:rPr>
          <w:rFonts w:asciiTheme="minorHAnsi" w:eastAsiaTheme="minorHAnsi" w:hAnsiTheme="minorHAnsi" w:cs="Arial"/>
          <w:bCs/>
        </w:rPr>
        <w:t xml:space="preserve"> </w:t>
      </w:r>
      <w:proofErr w:type="spellStart"/>
      <w:r w:rsidRPr="00191E59">
        <w:rPr>
          <w:rFonts w:asciiTheme="minorHAnsi" w:eastAsiaTheme="minorHAnsi" w:hAnsiTheme="minorHAnsi" w:cs="Arial"/>
          <w:bCs/>
        </w:rPr>
        <w:t>Chemother</w:t>
      </w:r>
      <w:proofErr w:type="spellEnd"/>
      <w:r w:rsidRPr="00191E59">
        <w:rPr>
          <w:rFonts w:asciiTheme="minorHAnsi" w:eastAsiaTheme="minorHAnsi" w:hAnsiTheme="minorHAnsi" w:cs="Arial"/>
          <w:bCs/>
        </w:rPr>
        <w:t>. doi:10.1128/AAC.04624-14</w:t>
      </w:r>
    </w:p>
    <w:p w14:paraId="50B4FA91" w14:textId="085993BB" w:rsidR="00D110AC" w:rsidRPr="00191E59" w:rsidRDefault="00D110AC" w:rsidP="00F01861">
      <w:pPr>
        <w:pStyle w:val="Default"/>
        <w:spacing w:after="120"/>
        <w:ind w:firstLine="360"/>
        <w:rPr>
          <w:rFonts w:asciiTheme="minorHAnsi" w:hAnsiTheme="minorHAnsi" w:cs="Cordia New"/>
          <w:sz w:val="22"/>
          <w:szCs w:val="22"/>
          <w:lang w:val="cs-CZ"/>
        </w:rPr>
      </w:pPr>
      <w:proofErr w:type="spellStart"/>
      <w:r w:rsidRPr="00191E59">
        <w:rPr>
          <w:rFonts w:asciiTheme="minorHAnsi" w:hAnsiTheme="minorHAnsi" w:cs="Cordia New"/>
          <w:sz w:val="22"/>
          <w:szCs w:val="22"/>
          <w:lang w:val="cs-CZ"/>
        </w:rPr>
        <w:t>Antiseptics</w:t>
      </w:r>
      <w:proofErr w:type="spellEnd"/>
      <w:r w:rsidRPr="00191E59">
        <w:rPr>
          <w:rFonts w:asciiTheme="minorHAnsi" w:hAnsiTheme="minorHAnsi" w:cs="Cordia New"/>
          <w:sz w:val="22"/>
          <w:szCs w:val="22"/>
          <w:lang w:val="cs-CZ"/>
        </w:rPr>
        <w:t xml:space="preserve"> in </w:t>
      </w:r>
      <w:proofErr w:type="spellStart"/>
      <w:r w:rsidRPr="00191E59">
        <w:rPr>
          <w:rFonts w:asciiTheme="minorHAnsi" w:hAnsiTheme="minorHAnsi" w:cs="Cordia New"/>
          <w:sz w:val="22"/>
          <w:szCs w:val="22"/>
          <w:lang w:val="cs-CZ"/>
        </w:rPr>
        <w:t>the</w:t>
      </w:r>
      <w:proofErr w:type="spellEnd"/>
      <w:r w:rsidRPr="00191E59">
        <w:rPr>
          <w:rFonts w:asciiTheme="minorHAnsi" w:hAnsiTheme="minorHAnsi" w:cs="Cordia New"/>
          <w:sz w:val="22"/>
          <w:szCs w:val="22"/>
          <w:lang w:val="cs-CZ"/>
        </w:rPr>
        <w:t xml:space="preserve"> </w:t>
      </w:r>
      <w:proofErr w:type="spellStart"/>
      <w:r w:rsidRPr="00191E59">
        <w:rPr>
          <w:rFonts w:asciiTheme="minorHAnsi" w:hAnsiTheme="minorHAnsi" w:cs="Cordia New"/>
          <w:sz w:val="22"/>
          <w:szCs w:val="22"/>
          <w:lang w:val="cs-CZ"/>
        </w:rPr>
        <w:t>era</w:t>
      </w:r>
      <w:proofErr w:type="spellEnd"/>
      <w:r w:rsidRPr="00191E59">
        <w:rPr>
          <w:rFonts w:asciiTheme="minorHAnsi" w:hAnsiTheme="minorHAnsi" w:cs="Cordia New"/>
          <w:sz w:val="22"/>
          <w:szCs w:val="22"/>
          <w:lang w:val="cs-CZ"/>
        </w:rPr>
        <w:t xml:space="preserve"> </w:t>
      </w:r>
      <w:proofErr w:type="spellStart"/>
      <w:r w:rsidRPr="00191E59">
        <w:rPr>
          <w:rFonts w:asciiTheme="minorHAnsi" w:hAnsiTheme="minorHAnsi" w:cs="Cordia New"/>
          <w:sz w:val="22"/>
          <w:szCs w:val="22"/>
          <w:lang w:val="cs-CZ"/>
        </w:rPr>
        <w:t>of</w:t>
      </w:r>
      <w:proofErr w:type="spellEnd"/>
      <w:r w:rsidRPr="00191E59">
        <w:rPr>
          <w:rFonts w:asciiTheme="minorHAnsi" w:hAnsiTheme="minorHAnsi" w:cs="Cordia New"/>
          <w:sz w:val="22"/>
          <w:szCs w:val="22"/>
          <w:lang w:val="cs-CZ"/>
        </w:rPr>
        <w:t xml:space="preserve"> </w:t>
      </w:r>
      <w:proofErr w:type="spellStart"/>
      <w:r w:rsidRPr="00191E59">
        <w:rPr>
          <w:rFonts w:asciiTheme="minorHAnsi" w:hAnsiTheme="minorHAnsi" w:cs="Cordia New"/>
          <w:sz w:val="22"/>
          <w:szCs w:val="22"/>
          <w:lang w:val="cs-CZ"/>
        </w:rPr>
        <w:t>bacterial</w:t>
      </w:r>
      <w:proofErr w:type="spellEnd"/>
      <w:r w:rsidRPr="00191E59">
        <w:rPr>
          <w:rFonts w:asciiTheme="minorHAnsi" w:hAnsiTheme="minorHAnsi" w:cs="Cordia New"/>
          <w:sz w:val="22"/>
          <w:szCs w:val="22"/>
          <w:lang w:val="cs-CZ"/>
        </w:rPr>
        <w:t xml:space="preserve"> </w:t>
      </w:r>
      <w:proofErr w:type="spellStart"/>
      <w:r w:rsidRPr="00191E59">
        <w:rPr>
          <w:rFonts w:asciiTheme="minorHAnsi" w:hAnsiTheme="minorHAnsi" w:cs="Cordia New"/>
          <w:sz w:val="22"/>
          <w:szCs w:val="22"/>
          <w:lang w:val="cs-CZ"/>
        </w:rPr>
        <w:t>resistance</w:t>
      </w:r>
      <w:proofErr w:type="spellEnd"/>
      <w:r w:rsidRPr="00191E59">
        <w:rPr>
          <w:rFonts w:asciiTheme="minorHAnsi" w:hAnsiTheme="minorHAnsi" w:cs="Cordia New"/>
          <w:sz w:val="22"/>
          <w:szCs w:val="22"/>
          <w:lang w:val="cs-CZ"/>
        </w:rPr>
        <w:t xml:space="preserve">: a </w:t>
      </w:r>
      <w:proofErr w:type="spellStart"/>
      <w:r w:rsidRPr="00191E59">
        <w:rPr>
          <w:rFonts w:asciiTheme="minorHAnsi" w:hAnsiTheme="minorHAnsi" w:cs="Cordia New"/>
          <w:sz w:val="22"/>
          <w:szCs w:val="22"/>
          <w:lang w:val="cs-CZ"/>
        </w:rPr>
        <w:t>focus</w:t>
      </w:r>
      <w:proofErr w:type="spellEnd"/>
      <w:r w:rsidRPr="00191E59">
        <w:rPr>
          <w:rFonts w:asciiTheme="minorHAnsi" w:hAnsiTheme="minorHAnsi" w:cs="Cordia New"/>
          <w:sz w:val="22"/>
          <w:szCs w:val="22"/>
          <w:lang w:val="cs-CZ"/>
        </w:rPr>
        <w:t xml:space="preserve"> on </w:t>
      </w:r>
      <w:proofErr w:type="spellStart"/>
      <w:r w:rsidRPr="00191E59">
        <w:rPr>
          <w:rFonts w:asciiTheme="minorHAnsi" w:hAnsiTheme="minorHAnsi" w:cs="Cordia New"/>
          <w:sz w:val="22"/>
          <w:szCs w:val="22"/>
          <w:lang w:val="cs-CZ"/>
        </w:rPr>
        <w:t>povidone</w:t>
      </w:r>
      <w:proofErr w:type="spellEnd"/>
      <w:r w:rsidRPr="00191E59">
        <w:rPr>
          <w:rFonts w:asciiTheme="minorHAnsi" w:hAnsiTheme="minorHAnsi" w:cs="Cordia New"/>
          <w:sz w:val="22"/>
          <w:szCs w:val="22"/>
          <w:lang w:val="cs-CZ"/>
        </w:rPr>
        <w:t xml:space="preserve"> </w:t>
      </w:r>
      <w:proofErr w:type="spellStart"/>
      <w:r w:rsidRPr="00191E59">
        <w:rPr>
          <w:rFonts w:asciiTheme="minorHAnsi" w:hAnsiTheme="minorHAnsi" w:cs="Cordia New"/>
          <w:sz w:val="22"/>
          <w:szCs w:val="22"/>
          <w:lang w:val="cs-CZ"/>
        </w:rPr>
        <w:t>iodine</w:t>
      </w:r>
      <w:proofErr w:type="spellEnd"/>
      <w:r w:rsidRPr="00191E59">
        <w:rPr>
          <w:rFonts w:asciiTheme="minorHAnsi" w:hAnsiTheme="minorHAnsi" w:cs="Cordia New"/>
          <w:sz w:val="22"/>
          <w:szCs w:val="22"/>
          <w:lang w:val="cs-CZ"/>
        </w:rPr>
        <w:t xml:space="preserve"> </w:t>
      </w:r>
    </w:p>
    <w:p w14:paraId="49FD7FEA" w14:textId="77777777" w:rsidR="00C005C5" w:rsidRPr="00F01861" w:rsidRDefault="00D110AC" w:rsidP="00F01861">
      <w:pPr>
        <w:spacing w:after="120" w:line="240" w:lineRule="auto"/>
        <w:ind w:left="360"/>
        <w:jc w:val="both"/>
        <w:rPr>
          <w:rFonts w:asciiTheme="minorHAnsi" w:hAnsiTheme="minorHAnsi"/>
        </w:rPr>
      </w:pPr>
      <w:r w:rsidRPr="00F01861">
        <w:rPr>
          <w:rFonts w:asciiTheme="minorHAnsi" w:eastAsiaTheme="minorHAnsi" w:hAnsiTheme="minorHAnsi" w:cs="Cordia New"/>
          <w:color w:val="000000"/>
        </w:rPr>
        <w:t xml:space="preserve">Jean-Marie </w:t>
      </w:r>
      <w:proofErr w:type="spellStart"/>
      <w:r w:rsidRPr="00F01861">
        <w:rPr>
          <w:rFonts w:asciiTheme="minorHAnsi" w:eastAsiaTheme="minorHAnsi" w:hAnsiTheme="minorHAnsi" w:cs="Cordia New"/>
          <w:color w:val="000000"/>
        </w:rPr>
        <w:t>Lachapelle</w:t>
      </w:r>
      <w:proofErr w:type="spellEnd"/>
      <w:r w:rsidRPr="00F01861">
        <w:rPr>
          <w:rFonts w:asciiTheme="minorHAnsi" w:eastAsiaTheme="minorHAnsi" w:hAnsiTheme="minorHAnsi" w:cs="Cordia New"/>
          <w:color w:val="000000"/>
        </w:rPr>
        <w:t xml:space="preserve">*1, Olivier Castel2, </w:t>
      </w:r>
      <w:proofErr w:type="spellStart"/>
      <w:r w:rsidRPr="00F01861">
        <w:rPr>
          <w:rFonts w:asciiTheme="minorHAnsi" w:eastAsiaTheme="minorHAnsi" w:hAnsiTheme="minorHAnsi" w:cs="Cordia New"/>
          <w:color w:val="000000"/>
        </w:rPr>
        <w:t>Alejandro</w:t>
      </w:r>
      <w:proofErr w:type="spellEnd"/>
      <w:r w:rsidRPr="00F01861">
        <w:rPr>
          <w:rFonts w:asciiTheme="minorHAnsi" w:eastAsiaTheme="minorHAnsi" w:hAnsiTheme="minorHAnsi" w:cs="Cordia New"/>
          <w:color w:val="000000"/>
        </w:rPr>
        <w:t xml:space="preserve"> </w:t>
      </w:r>
      <w:proofErr w:type="spellStart"/>
      <w:r w:rsidRPr="00F01861">
        <w:rPr>
          <w:rFonts w:asciiTheme="minorHAnsi" w:eastAsiaTheme="minorHAnsi" w:hAnsiTheme="minorHAnsi" w:cs="Cordia New"/>
          <w:color w:val="000000"/>
        </w:rPr>
        <w:t>Fueyo</w:t>
      </w:r>
      <w:proofErr w:type="spellEnd"/>
      <w:r w:rsidRPr="00F01861">
        <w:rPr>
          <w:rFonts w:asciiTheme="minorHAnsi" w:eastAsiaTheme="minorHAnsi" w:hAnsiTheme="minorHAnsi" w:cs="Cordia New"/>
          <w:color w:val="000000"/>
        </w:rPr>
        <w:t xml:space="preserve"> Casado3, Bernard Leroy1, Giuseppe Micali4, </w:t>
      </w:r>
      <w:proofErr w:type="spellStart"/>
      <w:r w:rsidRPr="00F01861">
        <w:rPr>
          <w:rFonts w:asciiTheme="minorHAnsi" w:eastAsiaTheme="minorHAnsi" w:hAnsiTheme="minorHAnsi" w:cs="Cordia New"/>
          <w:color w:val="000000"/>
        </w:rPr>
        <w:t>Dominique</w:t>
      </w:r>
      <w:proofErr w:type="spellEnd"/>
      <w:r w:rsidRPr="00F01861">
        <w:rPr>
          <w:rFonts w:asciiTheme="minorHAnsi" w:eastAsiaTheme="minorHAnsi" w:hAnsiTheme="minorHAnsi" w:cs="Cordia New"/>
          <w:color w:val="000000"/>
        </w:rPr>
        <w:t xml:space="preserve"> Tennstedt1 &amp; Julien Lambert5</w:t>
      </w:r>
    </w:p>
    <w:bookmarkEnd w:id="11"/>
    <w:p w14:paraId="1D211BC9" w14:textId="77777777" w:rsidR="00310B05" w:rsidRPr="00F01861" w:rsidRDefault="00310B05" w:rsidP="00F01861">
      <w:pPr>
        <w:spacing w:after="120"/>
      </w:pPr>
    </w:p>
    <w:p w14:paraId="1A33B774" w14:textId="77777777" w:rsidR="000877E9" w:rsidRPr="00F01861" w:rsidRDefault="000877E9" w:rsidP="00F01861">
      <w:pPr>
        <w:spacing w:after="120"/>
        <w:jc w:val="both"/>
      </w:pPr>
    </w:p>
    <w:sectPr w:rsidR="000877E9" w:rsidRPr="00F018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E00E6"/>
    <w:multiLevelType w:val="hybridMultilevel"/>
    <w:tmpl w:val="627E06A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D44F8F"/>
    <w:multiLevelType w:val="hybridMultilevel"/>
    <w:tmpl w:val="B210B83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0C059C"/>
    <w:multiLevelType w:val="hybridMultilevel"/>
    <w:tmpl w:val="CA18A56E"/>
    <w:lvl w:ilvl="0" w:tplc="337CAA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F84159"/>
    <w:multiLevelType w:val="hybridMultilevel"/>
    <w:tmpl w:val="FFD65D8E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BA3366"/>
    <w:multiLevelType w:val="hybridMultilevel"/>
    <w:tmpl w:val="D6C28B34"/>
    <w:lvl w:ilvl="0" w:tplc="3FC8547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F11AAA"/>
    <w:multiLevelType w:val="hybridMultilevel"/>
    <w:tmpl w:val="6FF699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A34647"/>
    <w:multiLevelType w:val="hybridMultilevel"/>
    <w:tmpl w:val="3BAA75F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0256B7"/>
    <w:multiLevelType w:val="hybridMultilevel"/>
    <w:tmpl w:val="A306A950"/>
    <w:lvl w:ilvl="0" w:tplc="07D4D07C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4"/>
  </w:num>
  <w:num w:numId="5">
    <w:abstractNumId w:val="0"/>
  </w:num>
  <w:num w:numId="6">
    <w:abstractNumId w:val="5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B01"/>
    <w:rsid w:val="00041A88"/>
    <w:rsid w:val="00042A76"/>
    <w:rsid w:val="000620C8"/>
    <w:rsid w:val="00075FB1"/>
    <w:rsid w:val="000877E9"/>
    <w:rsid w:val="000A40CF"/>
    <w:rsid w:val="000B1182"/>
    <w:rsid w:val="000F7BCB"/>
    <w:rsid w:val="001111B7"/>
    <w:rsid w:val="0012442B"/>
    <w:rsid w:val="0013199B"/>
    <w:rsid w:val="00150BA5"/>
    <w:rsid w:val="00191E59"/>
    <w:rsid w:val="002326BE"/>
    <w:rsid w:val="00255AA9"/>
    <w:rsid w:val="00294EA1"/>
    <w:rsid w:val="002A2220"/>
    <w:rsid w:val="002B7CCD"/>
    <w:rsid w:val="002F6B2F"/>
    <w:rsid w:val="0030754A"/>
    <w:rsid w:val="00310B05"/>
    <w:rsid w:val="00311951"/>
    <w:rsid w:val="003145AB"/>
    <w:rsid w:val="00330404"/>
    <w:rsid w:val="003353AC"/>
    <w:rsid w:val="00377BB5"/>
    <w:rsid w:val="003E5498"/>
    <w:rsid w:val="00437775"/>
    <w:rsid w:val="00437B3D"/>
    <w:rsid w:val="0044454C"/>
    <w:rsid w:val="00450BDC"/>
    <w:rsid w:val="004813F2"/>
    <w:rsid w:val="004A10DF"/>
    <w:rsid w:val="004D10C2"/>
    <w:rsid w:val="004F3BCE"/>
    <w:rsid w:val="00503920"/>
    <w:rsid w:val="0052477A"/>
    <w:rsid w:val="00554276"/>
    <w:rsid w:val="00574EA7"/>
    <w:rsid w:val="00577278"/>
    <w:rsid w:val="00597CAC"/>
    <w:rsid w:val="005A5150"/>
    <w:rsid w:val="005C1396"/>
    <w:rsid w:val="005E5268"/>
    <w:rsid w:val="005F2364"/>
    <w:rsid w:val="0060178D"/>
    <w:rsid w:val="00617A48"/>
    <w:rsid w:val="006427FB"/>
    <w:rsid w:val="00655656"/>
    <w:rsid w:val="00657343"/>
    <w:rsid w:val="00662023"/>
    <w:rsid w:val="0069028E"/>
    <w:rsid w:val="006B5384"/>
    <w:rsid w:val="006F5B60"/>
    <w:rsid w:val="00700B0F"/>
    <w:rsid w:val="0071347D"/>
    <w:rsid w:val="007221A5"/>
    <w:rsid w:val="00735175"/>
    <w:rsid w:val="00755A95"/>
    <w:rsid w:val="00755FE3"/>
    <w:rsid w:val="00782B01"/>
    <w:rsid w:val="007904B2"/>
    <w:rsid w:val="007F3A15"/>
    <w:rsid w:val="00843F6C"/>
    <w:rsid w:val="00850CC1"/>
    <w:rsid w:val="00854DBF"/>
    <w:rsid w:val="00860F6B"/>
    <w:rsid w:val="008B4237"/>
    <w:rsid w:val="008E0130"/>
    <w:rsid w:val="008F4560"/>
    <w:rsid w:val="00935165"/>
    <w:rsid w:val="00960B52"/>
    <w:rsid w:val="009B5090"/>
    <w:rsid w:val="009C3F6F"/>
    <w:rsid w:val="009D3787"/>
    <w:rsid w:val="009E6C04"/>
    <w:rsid w:val="00A37FA8"/>
    <w:rsid w:val="00A60E0B"/>
    <w:rsid w:val="00A77F53"/>
    <w:rsid w:val="00A82BCD"/>
    <w:rsid w:val="00A93D81"/>
    <w:rsid w:val="00AA1D29"/>
    <w:rsid w:val="00AA1E03"/>
    <w:rsid w:val="00AF1FE6"/>
    <w:rsid w:val="00B01F96"/>
    <w:rsid w:val="00B055E9"/>
    <w:rsid w:val="00B22B21"/>
    <w:rsid w:val="00B32200"/>
    <w:rsid w:val="00B5383A"/>
    <w:rsid w:val="00B54488"/>
    <w:rsid w:val="00B72A12"/>
    <w:rsid w:val="00B756D2"/>
    <w:rsid w:val="00BC5FB5"/>
    <w:rsid w:val="00BD5F76"/>
    <w:rsid w:val="00C005C5"/>
    <w:rsid w:val="00C5031A"/>
    <w:rsid w:val="00C937D0"/>
    <w:rsid w:val="00CA67DF"/>
    <w:rsid w:val="00CE0ED7"/>
    <w:rsid w:val="00CF3D79"/>
    <w:rsid w:val="00D01616"/>
    <w:rsid w:val="00D07ADA"/>
    <w:rsid w:val="00D110AC"/>
    <w:rsid w:val="00D12D84"/>
    <w:rsid w:val="00D200C7"/>
    <w:rsid w:val="00D51777"/>
    <w:rsid w:val="00DD63DE"/>
    <w:rsid w:val="00E24DFA"/>
    <w:rsid w:val="00E348F1"/>
    <w:rsid w:val="00E65868"/>
    <w:rsid w:val="00EC6C2C"/>
    <w:rsid w:val="00ED7608"/>
    <w:rsid w:val="00F01861"/>
    <w:rsid w:val="00F04A38"/>
    <w:rsid w:val="00F07EB4"/>
    <w:rsid w:val="00F21B6A"/>
    <w:rsid w:val="00F50586"/>
    <w:rsid w:val="00F52B09"/>
    <w:rsid w:val="00F64957"/>
    <w:rsid w:val="00FD3120"/>
    <w:rsid w:val="00FD3EA9"/>
    <w:rsid w:val="00FD57F9"/>
    <w:rsid w:val="00FE0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D9EFD"/>
  <w15:docId w15:val="{BD35AC52-5485-4C68-BB5A-F2C04AC0E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51777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450BDC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0BDC"/>
    <w:pPr>
      <w:keepNext/>
      <w:keepLines/>
      <w:spacing w:before="200" w:after="0"/>
      <w:outlineLvl w:val="1"/>
    </w:pPr>
    <w:rPr>
      <w:rFonts w:eastAsiaTheme="majorEastAsia" w:cstheme="majorBidi"/>
      <w:bCs/>
      <w:i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D51777"/>
    <w:rPr>
      <w:rFonts w:ascii="Times New Roman" w:hAnsi="Times New Roman" w:cs="Times New Roman" w:hint="default"/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unhideWhenUsed/>
    <w:rsid w:val="00D51777"/>
    <w:pPr>
      <w:spacing w:before="360" w:after="0"/>
    </w:pPr>
    <w:rPr>
      <w:rFonts w:ascii="Arial" w:hAnsi="Arial" w:cs="Arial"/>
      <w:b/>
      <w:bCs/>
      <w:caps/>
      <w:sz w:val="24"/>
      <w:szCs w:val="24"/>
    </w:rPr>
  </w:style>
  <w:style w:type="paragraph" w:styleId="Obsah2">
    <w:name w:val="toc 2"/>
    <w:basedOn w:val="Normln"/>
    <w:next w:val="Normln"/>
    <w:autoRedefine/>
    <w:uiPriority w:val="39"/>
    <w:unhideWhenUsed/>
    <w:rsid w:val="00D51777"/>
    <w:pPr>
      <w:spacing w:before="240" w:after="0"/>
    </w:pPr>
    <w:rPr>
      <w:rFonts w:ascii="Times New Roman" w:hAnsi="Times New Roman"/>
      <w:b/>
      <w:bCs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854DBF"/>
    <w:rPr>
      <w:color w:val="800080" w:themeColor="followedHyperlink"/>
      <w:u w:val="single"/>
    </w:rPr>
  </w:style>
  <w:style w:type="paragraph" w:customStyle="1" w:styleId="CM1">
    <w:name w:val="CM1"/>
    <w:basedOn w:val="Normln"/>
    <w:next w:val="Normln"/>
    <w:uiPriority w:val="99"/>
    <w:rsid w:val="009E6C04"/>
    <w:pPr>
      <w:autoSpaceDE w:val="0"/>
      <w:autoSpaceDN w:val="0"/>
      <w:adjustRightInd w:val="0"/>
      <w:spacing w:after="0" w:line="240" w:lineRule="auto"/>
    </w:pPr>
    <w:rPr>
      <w:rFonts w:ascii="EUAlbertina" w:eastAsiaTheme="minorHAnsi" w:hAnsi="EUAlbertina" w:cstheme="minorBidi"/>
      <w:sz w:val="24"/>
      <w:szCs w:val="24"/>
    </w:rPr>
  </w:style>
  <w:style w:type="paragraph" w:customStyle="1" w:styleId="CM3">
    <w:name w:val="CM3"/>
    <w:basedOn w:val="Normln"/>
    <w:next w:val="Normln"/>
    <w:uiPriority w:val="99"/>
    <w:rsid w:val="009E6C04"/>
    <w:pPr>
      <w:autoSpaceDE w:val="0"/>
      <w:autoSpaceDN w:val="0"/>
      <w:adjustRightInd w:val="0"/>
      <w:spacing w:after="0" w:line="240" w:lineRule="auto"/>
    </w:pPr>
    <w:rPr>
      <w:rFonts w:ascii="EUAlbertina" w:eastAsiaTheme="minorHAnsi" w:hAnsi="EUAlbertina" w:cstheme="minorBidi"/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unhideWhenUsed/>
    <w:rsid w:val="009E6C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9E6C04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A1E03"/>
    <w:pPr>
      <w:ind w:left="720"/>
      <w:contextualSpacing/>
    </w:pPr>
  </w:style>
  <w:style w:type="paragraph" w:customStyle="1" w:styleId="Default">
    <w:name w:val="Default"/>
    <w:basedOn w:val="Normln"/>
    <w:rsid w:val="000877E9"/>
    <w:pPr>
      <w:autoSpaceDE w:val="0"/>
      <w:autoSpaceDN w:val="0"/>
      <w:spacing w:after="0" w:line="240" w:lineRule="auto"/>
    </w:pPr>
    <w:rPr>
      <w:rFonts w:ascii="EUAlbertina" w:eastAsiaTheme="minorHAnsi" w:hAnsi="EUAlbertina"/>
      <w:color w:val="000000"/>
      <w:sz w:val="24"/>
      <w:szCs w:val="24"/>
      <w:lang w:val="en-GB"/>
    </w:rPr>
  </w:style>
  <w:style w:type="table" w:styleId="Mkatabulky">
    <w:name w:val="Table Grid"/>
    <w:basedOn w:val="Normlntabulka"/>
    <w:uiPriority w:val="59"/>
    <w:rsid w:val="000877E9"/>
    <w:pPr>
      <w:spacing w:after="0" w:line="240" w:lineRule="auto"/>
    </w:pPr>
    <w:rPr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semiHidden/>
    <w:unhideWhenUsed/>
    <w:rsid w:val="003145AB"/>
    <w:pPr>
      <w:spacing w:after="0" w:line="240" w:lineRule="auto"/>
    </w:pPr>
    <w:rPr>
      <w:rFonts w:eastAsiaTheme="minorHAnsi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3145AB"/>
    <w:rPr>
      <w:rFonts w:ascii="Calibri" w:hAnsi="Calibri" w:cs="Times New Roman"/>
    </w:rPr>
  </w:style>
  <w:style w:type="paragraph" w:styleId="Normlnweb">
    <w:name w:val="Normal (Web)"/>
    <w:basedOn w:val="Normln"/>
    <w:uiPriority w:val="99"/>
    <w:unhideWhenUsed/>
    <w:rsid w:val="00B322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reference-text">
    <w:name w:val="reference-text"/>
    <w:basedOn w:val="Standardnpsmoodstavce"/>
    <w:rsid w:val="00B54488"/>
  </w:style>
  <w:style w:type="paragraph" w:customStyle="1" w:styleId="Pa2">
    <w:name w:val="Pa2"/>
    <w:basedOn w:val="Default"/>
    <w:next w:val="Default"/>
    <w:uiPriority w:val="99"/>
    <w:rsid w:val="00D110AC"/>
    <w:pPr>
      <w:adjustRightInd w:val="0"/>
      <w:spacing w:line="621" w:lineRule="atLeast"/>
    </w:pPr>
    <w:rPr>
      <w:rFonts w:ascii="Cordia New" w:hAnsi="Cordia New"/>
      <w:color w:val="auto"/>
      <w:lang w:val="cs-CZ"/>
    </w:rPr>
  </w:style>
  <w:style w:type="character" w:customStyle="1" w:styleId="A5">
    <w:name w:val="A5"/>
    <w:uiPriority w:val="99"/>
    <w:rsid w:val="00D110AC"/>
    <w:rPr>
      <w:rFonts w:cs="Cordia New"/>
      <w:color w:val="000000"/>
      <w:sz w:val="17"/>
      <w:szCs w:val="17"/>
    </w:rPr>
  </w:style>
  <w:style w:type="character" w:customStyle="1" w:styleId="Nadpis1Char">
    <w:name w:val="Nadpis 1 Char"/>
    <w:basedOn w:val="Standardnpsmoodstavce"/>
    <w:link w:val="Nadpis1"/>
    <w:uiPriority w:val="9"/>
    <w:rsid w:val="00450BDC"/>
    <w:rPr>
      <w:rFonts w:ascii="Calibri" w:eastAsiaTheme="majorEastAsia" w:hAnsi="Calibr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450BDC"/>
    <w:rPr>
      <w:rFonts w:ascii="Calibri" w:eastAsiaTheme="majorEastAsia" w:hAnsi="Calibri" w:cstheme="majorBidi"/>
      <w:bCs/>
      <w:i/>
      <w:color w:val="4F81BD" w:themeColor="accent1"/>
      <w:sz w:val="26"/>
      <w:szCs w:val="26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D3787"/>
    <w:pPr>
      <w:outlineLvl w:val="9"/>
    </w:pPr>
    <w:rPr>
      <w:rFonts w:asciiTheme="majorHAnsi" w:hAnsiTheme="majorHAnsi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F7BC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F7BC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F7BCB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F7BC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F7BCB"/>
    <w:rPr>
      <w:rFonts w:ascii="Calibri" w:eastAsia="Calibri" w:hAnsi="Calibri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0F7BCB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F7B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7BCB"/>
    <w:rPr>
      <w:rFonts w:ascii="Tahoma" w:eastAsia="Calibri" w:hAnsi="Tahoma" w:cs="Tahoma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191E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8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s.wikipedia.org/wiki/Polyvinylpyrrolidon" TargetMode="External"/><Relationship Id="rId18" Type="http://schemas.openxmlformats.org/officeDocument/2006/relationships/hyperlink" Target="https://cs.wikipedia.org/wiki/Eukaryotick%C3%A1_bu%C5%88ka" TargetMode="External"/><Relationship Id="rId26" Type="http://schemas.openxmlformats.org/officeDocument/2006/relationships/hyperlink" Target="https://cs.wikipedia.org/wiki/Houby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cs.wikipedia.org/wiki/Oxidace" TargetMode="External"/><Relationship Id="rId34" Type="http://schemas.openxmlformats.org/officeDocument/2006/relationships/hyperlink" Target="https://cs.wikipedia.org/wiki/Jodovan%C3%BD_povidon" TargetMode="External"/><Relationship Id="rId7" Type="http://schemas.openxmlformats.org/officeDocument/2006/relationships/hyperlink" Target="http://www.ncbi.nlm.nih.gov/pubmed/?term=Castro%20SI%5BAuthor%5D&amp;cauthor=true&amp;cauthor_uid=22192200" TargetMode="External"/><Relationship Id="rId12" Type="http://schemas.openxmlformats.org/officeDocument/2006/relationships/hyperlink" Target="https://cs.wikipedia.org/wiki/Jod" TargetMode="External"/><Relationship Id="rId17" Type="http://schemas.openxmlformats.org/officeDocument/2006/relationships/hyperlink" Target="https://cs.wikipedia.org/wiki/Aceton" TargetMode="External"/><Relationship Id="rId25" Type="http://schemas.openxmlformats.org/officeDocument/2006/relationships/hyperlink" Target="https://cs.wikipedia.org/wiki/Virus" TargetMode="External"/><Relationship Id="rId33" Type="http://schemas.openxmlformats.org/officeDocument/2006/relationships/hyperlink" Target="https://cs.wikipedia.org/wiki/Bakterie" TargetMode="External"/><Relationship Id="rId38" Type="http://schemas.openxmlformats.org/officeDocument/2006/relationships/hyperlink" Target="http://www.ncbi.nlm.nih.gov/pmc/articles/PMC272159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s.wikipedia.org/wiki/Ethanol" TargetMode="External"/><Relationship Id="rId20" Type="http://schemas.openxmlformats.org/officeDocument/2006/relationships/hyperlink" Target="https://cs.wikipedia.org/wiki/Lipidy" TargetMode="External"/><Relationship Id="rId29" Type="http://schemas.openxmlformats.org/officeDocument/2006/relationships/hyperlink" Target="https://cs.wikipedia.org/wiki/Jodovan%C3%BD_povidon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ema.europa.eu/docs/en_GB/document_library/Maximum_Residue_Limits_-_Report/2009/11/WC500014479.pdf" TargetMode="External"/><Relationship Id="rId11" Type="http://schemas.openxmlformats.org/officeDocument/2006/relationships/hyperlink" Target="https://cs.wikipedia.org/wiki/Komplex_%28chemie%29" TargetMode="External"/><Relationship Id="rId24" Type="http://schemas.openxmlformats.org/officeDocument/2006/relationships/hyperlink" Target="https://cs.wikipedia.org/wiki/Bakterie" TargetMode="External"/><Relationship Id="rId32" Type="http://schemas.openxmlformats.org/officeDocument/2006/relationships/hyperlink" Target="https://cs.wikipedia.org/wiki/Jodovan%C3%BD_povidon" TargetMode="External"/><Relationship Id="rId37" Type="http://schemas.openxmlformats.org/officeDocument/2006/relationships/hyperlink" Target="http://www.aplicare.com/FAQ-PVP_Deactivated_by_Blood.htm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cs.wikipedia.org/wiki/Voda" TargetMode="External"/><Relationship Id="rId23" Type="http://schemas.openxmlformats.org/officeDocument/2006/relationships/hyperlink" Target="https://cs.wikipedia.org/wiki/Bun%C4%9B%C4%8Dn%C3%A1_membr%C3%A1na" TargetMode="External"/><Relationship Id="rId28" Type="http://schemas.openxmlformats.org/officeDocument/2006/relationships/hyperlink" Target="https://cs.wikipedia.org/wiki/Spora" TargetMode="External"/><Relationship Id="rId36" Type="http://schemas.openxmlformats.org/officeDocument/2006/relationships/hyperlink" Target="https://cs.wikipedia.org/wiki/Jodovan%C3%BD_povidon" TargetMode="External"/><Relationship Id="rId10" Type="http://schemas.openxmlformats.org/officeDocument/2006/relationships/hyperlink" Target="http://www.ncbi.nlm.nih.gov/pubmed/?term=Lacasse%20P%5BAuthor%5D&amp;cauthor=true&amp;cauthor_uid=22192200" TargetMode="External"/><Relationship Id="rId19" Type="http://schemas.openxmlformats.org/officeDocument/2006/relationships/hyperlink" Target="https://cs.wikipedia.org/wiki/Prokaryotick%C3%A1_bu%C5%88ka" TargetMode="External"/><Relationship Id="rId31" Type="http://schemas.openxmlformats.org/officeDocument/2006/relationships/hyperlink" Target="https://cs.wikipedia.org/wiki/Jodovan%C3%BD_povido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cbi.nlm.nih.gov/pubmed/?term=Robichaud%20A%5BAuthor%5D&amp;cauthor=true&amp;cauthor_uid=22192200" TargetMode="External"/><Relationship Id="rId14" Type="http://schemas.openxmlformats.org/officeDocument/2006/relationships/hyperlink" Target="https://cs.wikipedia.org/wiki/Rozpustnost" TargetMode="External"/><Relationship Id="rId22" Type="http://schemas.openxmlformats.org/officeDocument/2006/relationships/hyperlink" Target="https://cs.wikipedia.org/wiki/Cytoplazma" TargetMode="External"/><Relationship Id="rId27" Type="http://schemas.openxmlformats.org/officeDocument/2006/relationships/hyperlink" Target="https://cs.wikipedia.org/wiki/Prvok" TargetMode="External"/><Relationship Id="rId30" Type="http://schemas.openxmlformats.org/officeDocument/2006/relationships/hyperlink" Target="https://cs.wikipedia.org/wiki/Savci" TargetMode="External"/><Relationship Id="rId35" Type="http://schemas.openxmlformats.org/officeDocument/2006/relationships/hyperlink" Target="https://cs.wikipedia.org/wiki/Jodovan%C3%BD_povidon" TargetMode="External"/><Relationship Id="rId8" Type="http://schemas.openxmlformats.org/officeDocument/2006/relationships/hyperlink" Target="http://www.ncbi.nlm.nih.gov/pubmed/?term=Berthiaume%20R%5BAuthor%5D&amp;cauthor=true&amp;cauthor_uid=22192200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EEB1EC-A364-4D2E-9D7E-A81CF8209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2881</Words>
  <Characters>16998</Characters>
  <Application>Microsoft Office Word</Application>
  <DocSecurity>0</DocSecurity>
  <Lines>141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Morávková Věra</dc:creator>
  <cp:keywords/>
  <dc:description/>
  <cp:lastModifiedBy>Morávková Věra</cp:lastModifiedBy>
  <cp:revision>4</cp:revision>
  <dcterms:created xsi:type="dcterms:W3CDTF">2023-05-30T07:50:00Z</dcterms:created>
  <dcterms:modified xsi:type="dcterms:W3CDTF">2023-05-30T07:56:00Z</dcterms:modified>
</cp:coreProperties>
</file>